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版本号：JXZB2026-07-3620260729001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2025年韩城市义务教育薄弱环节改造提升采购项目厨房设备采购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JXZB2026-07-36</w:t>
      </w:r>
      <w:r>
        <w:br/>
      </w:r>
      <w:r>
        <w:br/>
      </w:r>
      <w:r>
        <w:br/>
      </w:r>
    </w:p>
    <w:p>
      <w:pPr>
        <w:pStyle w:val="null3"/>
        <w:jc w:val="center"/>
        <w:outlineLvl w:val="2"/>
      </w:pPr>
      <w:r>
        <w:rPr>
          <w:rFonts w:ascii="仿宋_GB2312" w:hAnsi="仿宋_GB2312" w:cs="仿宋_GB2312" w:eastAsia="仿宋_GB2312"/>
          <w:sz w:val="28"/>
          <w:b/>
        </w:rPr>
        <w:t>韩城市教育体育局</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韩城市教育体育局</w:t>
      </w:r>
      <w:r>
        <w:rPr>
          <w:rFonts w:ascii="仿宋_GB2312" w:hAnsi="仿宋_GB2312" w:cs="仿宋_GB2312" w:eastAsia="仿宋_GB2312"/>
        </w:rPr>
        <w:t>委托，拟对</w:t>
      </w:r>
      <w:r>
        <w:rPr>
          <w:rFonts w:ascii="仿宋_GB2312" w:hAnsi="仿宋_GB2312" w:cs="仿宋_GB2312" w:eastAsia="仿宋_GB2312"/>
        </w:rPr>
        <w:t>2025年韩城市义务教育薄弱环节改造提升采购项目厨房设备采购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JXZB2026-07-36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2025年韩城市义务教育薄弱环节改造提升采购项目厨房设备采购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厨房设备采购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财务状况报告：提供2024年至今任意一年完整的财务审计报告或开标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p>
      <w:pPr>
        <w:pStyle w:val="null3"/>
      </w:pPr>
      <w:r>
        <w:rPr>
          <w:rFonts w:ascii="仿宋_GB2312" w:hAnsi="仿宋_GB2312" w:cs="仿宋_GB2312" w:eastAsia="仿宋_GB2312"/>
        </w:rPr>
        <w:t>3、社会保障资金缴纳证明：提供开标时间前六个月内任意一个月的社会保障资金缴存单据或社保机构开具的社会保险参保缴费情况证明，依法不需要缴纳社会保障资金的单位应提供相关证明材料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4、税收缴纳证明：提供开标时间前六个月内已缴纳的任意一个月的纳税证明或完税证明，依法免税的单位应提供相关证明材料</w:t>
      </w:r>
    </w:p>
    <w:p>
      <w:pPr>
        <w:pStyle w:val="null3"/>
      </w:pPr>
      <w:r>
        <w:rPr>
          <w:rFonts w:ascii="仿宋_GB2312" w:hAnsi="仿宋_GB2312" w:cs="仿宋_GB2312" w:eastAsia="仿宋_GB2312"/>
        </w:rPr>
        <w:t>5、信用记录：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p>
      <w:pPr>
        <w:pStyle w:val="null3"/>
      </w:pPr>
      <w:r>
        <w:rPr>
          <w:rFonts w:ascii="仿宋_GB2312" w:hAnsi="仿宋_GB2312" w:cs="仿宋_GB2312" w:eastAsia="仿宋_GB2312"/>
        </w:rPr>
        <w:t>6、承诺：提供具有履行合同所必需的设备和专业技术能力的承诺</w:t>
      </w:r>
    </w:p>
    <w:p>
      <w:pPr>
        <w:pStyle w:val="null3"/>
      </w:pPr>
      <w:r>
        <w:rPr>
          <w:rFonts w:ascii="仿宋_GB2312" w:hAnsi="仿宋_GB2312" w:cs="仿宋_GB2312" w:eastAsia="仿宋_GB2312"/>
        </w:rPr>
        <w:t>7、法定代表人授权书：法定代表人授权书（附法定代表人、被授权人身份证复印件）（法定代表人直接参加投标，须提供法定代表人身份证明书）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韩城市教育体育局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韩城市新城区太史大街政务服务大厅5楼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18220657785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西安市南二环西段208号捷瑞智能大厦东区9楼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雷芳娟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19039036733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0913-8334929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采购包1：479,681.00元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代理服务费收费标准：参照《国家计委关于印发&lt;招标代理服务收费管理暂行办法&gt;的通知》（计价格〔2002〕1980号）和发改办价格〔2003〕857号及发改价格〔2011〕534号文中规定的标准执行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韩城市教育体育局</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韩城市教育体育局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韩城市教育体育局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供应商保证所使用的全部成果、技术、资料均合法合规、权属清晰、授权完整，不存在侵权、权属争议及使用限制。</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联系人：雷芳娟</w:t>
      </w:r>
    </w:p>
    <w:p>
      <w:pPr>
        <w:pStyle w:val="null3"/>
      </w:pPr>
      <w:r>
        <w:rPr>
          <w:rFonts w:ascii="仿宋_GB2312" w:hAnsi="仿宋_GB2312" w:cs="仿宋_GB2312" w:eastAsia="仿宋_GB2312"/>
        </w:rPr>
        <w:t>联系电话：19039036733</w:t>
      </w:r>
    </w:p>
    <w:p>
      <w:pPr>
        <w:pStyle w:val="null3"/>
      </w:pPr>
      <w:r>
        <w:rPr>
          <w:rFonts w:ascii="仿宋_GB2312" w:hAnsi="仿宋_GB2312" w:cs="仿宋_GB2312" w:eastAsia="仿宋_GB2312"/>
        </w:rPr>
        <w:t>地址：西安市南二环西段208号捷瑞智能大厦东区9楼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厨房设备采购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479,681.00</w:t>
      </w:r>
    </w:p>
    <w:p>
      <w:pPr>
        <w:pStyle w:val="null3"/>
      </w:pPr>
      <w:r>
        <w:rPr>
          <w:rFonts w:ascii="仿宋_GB2312" w:hAnsi="仿宋_GB2312" w:cs="仿宋_GB2312" w:eastAsia="仿宋_GB2312"/>
        </w:rPr>
        <w:t>采购包最高限价（元）: 479,681.00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厨房设备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479,681.00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标的名称：厨房设备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18"/>
              <w:gridCol w:w="300"/>
              <w:gridCol w:w="1842"/>
              <w:gridCol w:w="143"/>
              <w:gridCol w:w="139"/>
            </w:tblGrid>
            <w:tr>
              <w:tc>
                <w:tcPr>
                  <w:tcW w:type="dxa" w:w="11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0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184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技术要求</w:t>
                  </w:r>
                </w:p>
              </w:tc>
              <w:tc>
                <w:tcPr>
                  <w:tcW w:type="dxa" w:w="14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13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118"/>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842"/>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c>
                <w:tcPr>
                  <w:tcW w:type="dxa" w:w="139"/>
                  <w:vMerge/>
                  <w:tcBorders>
                    <w:top w:val="single" w:color="000000" w:sz="4"/>
                    <w:left w:val="single" w:color="000000" w:sz="4"/>
                    <w:bottom w:val="single" w:color="000000" w:sz="4"/>
                    <w:right w:val="single" w:color="000000" w:sz="4"/>
                  </w:tcBorders>
                </w:tcP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抽油烟机</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约</w:t>
                  </w:r>
                  <w:r>
                    <w:rPr>
                      <w:rFonts w:ascii="仿宋_GB2312" w:hAnsi="仿宋_GB2312" w:cs="仿宋_GB2312" w:eastAsia="仿宋_GB2312"/>
                      <w:sz w:val="21"/>
                      <w:color w:val="000000"/>
                    </w:rPr>
                    <w:t>4米，含采烟罩，排风管、风机、弯头等，材质：优质不锈钢板厚度：≥1.0MM,采用轴流风机;通风量≥5000立方米/h;风管,弯头,直径为优质不锈钢板直径￠400MM.三相电3kW。风管,弯头,直径为￠400MM优质不锈钢板，含配套楼顶抽排烟机和油烟净化装置一套。</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蒸机（核心产品）</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双开门，</w:t>
                  </w:r>
                  <w:r>
                    <w:rPr>
                      <w:rFonts w:ascii="仿宋_GB2312" w:hAnsi="仿宋_GB2312" w:cs="仿宋_GB2312" w:eastAsia="仿宋_GB2312"/>
                      <w:sz w:val="21"/>
                      <w:color w:val="000000"/>
                    </w:rPr>
                    <w:t>24层，24层,配24个蒸盘.功率:≥24KW.汽电两用型；采用厚≥1.0mm优质不锈钢板冲压制作， 电热管均为优质不锈钢，功率≥24KW。保温层为聚氨酯一次性发泡。含配套龙头、软管、下水管等安装配件。</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压面机</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生产能力，</w:t>
                  </w:r>
                  <w:r>
                    <w:rPr>
                      <w:rFonts w:ascii="仿宋_GB2312" w:hAnsi="仿宋_GB2312" w:cs="仿宋_GB2312" w:eastAsia="仿宋_GB2312"/>
                      <w:sz w:val="21"/>
                      <w:color w:val="000000"/>
                    </w:rPr>
                    <w:t>≥110KG/H ，配备宽、窄两种刀具。外形尺寸≥1200*1200*450mm; 材质：上外壳采用优质不锈钢板，底架≥50*50角钢焊接喷塑处理 额定电压380V,50HZ，功率≥2.2KW、压面厚度可调，操作方便，设备运转动力大、噪音小，配备安全保护系统，符合国家食品卫生标准。</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和面机</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≥3KW，生产能力≥50KG/次，上外壳机架、面斗、操纵机构采用优质不锈钢板，手动翻斗，倒顺开关直接控制电动机正反转，操作方便和面机采用电机内置式结构，占用空间小，结构紧凑。 带压力轴承 轴套油封超耐用 防漏油 无噪音</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双开发酵箱</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≥960*700*1560mm；全钢带优质电气元件，带优质轮，双层发泡，配备220V功率≥2.4KW，含配套龙头、软管、下水管等安装配件。</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揉面机</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≥710*410*870mm，每次≥25kg，额定电压380v，功率≥2.2kw，自动上面。</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平冷操作台</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w:t>
                  </w:r>
                  <w:r>
                    <w:rPr>
                      <w:rFonts w:ascii="仿宋_GB2312" w:hAnsi="仿宋_GB2312" w:cs="仿宋_GB2312" w:eastAsia="仿宋_GB2312"/>
                      <w:sz w:val="21"/>
                      <w:color w:val="000000"/>
                    </w:rPr>
                    <w:t>201不锈钢，内箱圆弧设计</w:t>
                  </w:r>
                  <w:r>
                    <w:br/>
                  </w:r>
                  <w:r>
                    <w:rPr>
                      <w:rFonts w:ascii="仿宋_GB2312" w:hAnsi="仿宋_GB2312" w:cs="仿宋_GB2312" w:eastAsia="仿宋_GB2312"/>
                      <w:sz w:val="21"/>
                      <w:color w:val="000000"/>
                    </w:rPr>
                    <w:t>-外嵌式蒸发器，外挂防尘网</w:t>
                  </w:r>
                  <w:r>
                    <w:br/>
                  </w:r>
                  <w:r>
                    <w:rPr>
                      <w:rFonts w:ascii="仿宋_GB2312" w:hAnsi="仿宋_GB2312" w:cs="仿宋_GB2312" w:eastAsia="仿宋_GB2312"/>
                      <w:sz w:val="21"/>
                      <w:color w:val="000000"/>
                    </w:rPr>
                    <w:t xml:space="preserve">-28cm小机组设计， 3D立体回风系统 </w:t>
                  </w:r>
                  <w:r>
                    <w:br/>
                  </w:r>
                  <w:r>
                    <w:rPr>
                      <w:rFonts w:ascii="仿宋_GB2312" w:hAnsi="仿宋_GB2312" w:cs="仿宋_GB2312" w:eastAsia="仿宋_GB2312"/>
                      <w:sz w:val="21"/>
                      <w:color w:val="000000"/>
                    </w:rPr>
                    <w:t>-顶部斜45°出风设计，360° 风冷无霜循环</w:t>
                  </w:r>
                  <w:r>
                    <w:br/>
                  </w:r>
                  <w:r>
                    <w:rPr>
                      <w:rFonts w:ascii="仿宋_GB2312" w:hAnsi="仿宋_GB2312" w:cs="仿宋_GB2312" w:eastAsia="仿宋_GB2312"/>
                      <w:sz w:val="21"/>
                      <w:color w:val="000000"/>
                    </w:rPr>
                    <w:t>-冷冻门框加装发热丝</w:t>
                  </w:r>
                  <w:r>
                    <w:br/>
                  </w:r>
                  <w:r>
                    <w:rPr>
                      <w:rFonts w:ascii="仿宋_GB2312" w:hAnsi="仿宋_GB2312" w:cs="仿宋_GB2312" w:eastAsia="仿宋_GB2312"/>
                      <w:sz w:val="21"/>
                      <w:color w:val="000000"/>
                    </w:rPr>
                    <w:t>-内箱尺寸(mm)：≥1080*570/410*590</w:t>
                  </w:r>
                  <w:r>
                    <w:br/>
                  </w:r>
                  <w:r>
                    <w:rPr>
                      <w:rFonts w:ascii="仿宋_GB2312" w:hAnsi="仿宋_GB2312" w:cs="仿宋_GB2312" w:eastAsia="仿宋_GB2312"/>
                      <w:sz w:val="21"/>
                      <w:color w:val="000000"/>
                    </w:rPr>
                    <w:t>-控温类型：电子数字温控</w:t>
                  </w:r>
                  <w:r>
                    <w:br/>
                  </w:r>
                  <w:r>
                    <w:rPr>
                      <w:rFonts w:ascii="仿宋_GB2312" w:hAnsi="仿宋_GB2312" w:cs="仿宋_GB2312" w:eastAsia="仿宋_GB2312"/>
                      <w:sz w:val="21"/>
                      <w:color w:val="000000"/>
                    </w:rPr>
                    <w:t>-制冷剂：冷藏：R134a,冷冻：R404a</w:t>
                  </w:r>
                  <w:r>
                    <w:br/>
                  </w:r>
                  <w:r>
                    <w:rPr>
                      <w:rFonts w:ascii="仿宋_GB2312" w:hAnsi="仿宋_GB2312" w:cs="仿宋_GB2312" w:eastAsia="仿宋_GB2312"/>
                      <w:sz w:val="21"/>
                      <w:color w:val="000000"/>
                    </w:rPr>
                    <w:t>-压缩机：国产压缩机：制冷稳定，性价比高</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电热水器</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220V，加热方式：双管加热，防水等级IPX4，一级效能，内胆为金圭材质，加热功率≥3KW，尺寸≥960*700*1560mm；容量≥80升，全钢带优质电气元件，带优质轮，双层发泡，含配套龙头、软管、下水管等安装配件。</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双开消毒柜</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220V,尺寸≥490*1190*1730；材质：采用优质钢板，中间保温层采用阻燃高密度聚氨酯发泡，内部合理设计、加装微电脑高感应探头，使内部每一个角落温度相同，配备不锈钢可调制消毒框和支架，可视安全防爆双层玻璃门，高温热风125°</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冷藏柜</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立式展示柜；容量</w:t>
                  </w:r>
                  <w:r>
                    <w:rPr>
                      <w:rFonts w:ascii="仿宋_GB2312" w:hAnsi="仿宋_GB2312" w:cs="仿宋_GB2312" w:eastAsia="仿宋_GB2312"/>
                      <w:sz w:val="21"/>
                      <w:color w:val="000000"/>
                    </w:rPr>
                    <w:t>≥256升；制冷系统采用品牌压缩机；整体发泡，内藏铜管，铜管内藏式管板蒸发器；门胆采用无毒、无味易清洗ABS工程塑料；箱温采用压力式温度控制器控制； 边柜台面有加强筋，底层围板封闭。</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留样柜</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≥70W、容量≥48L 分层浸塑层架，聚氨脂高压发泡层。</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不锈钢冰柜</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四门，容量</w:t>
                  </w:r>
                  <w:r>
                    <w:rPr>
                      <w:rFonts w:ascii="仿宋_GB2312" w:hAnsi="仿宋_GB2312" w:cs="仿宋_GB2312" w:eastAsia="仿宋_GB2312"/>
                      <w:sz w:val="21"/>
                      <w:color w:val="000000"/>
                    </w:rPr>
                    <w:t>≥850L，4D直冷，二级效能，门体材质：抗指纹不锈钢，制冷管材质：铜管，温控方式：数显遥控或电子温控，负载最定温度：-22℃，≥1200*700*1950mm，优质304/2B钢板板材厚度；保温层采用阻燃高密度聚氨酯发泡，内部合理设计、加装微电脑高感应探头，使内部每一个角落温度相同，层架高度可调。</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净水系统（核心产品）</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系统由一台净水机和温热饮水机组成。净水机采用智能控制系统；主机尺寸</w:t>
                  </w:r>
                  <w:r>
                    <w:rPr>
                      <w:rFonts w:ascii="仿宋_GB2312" w:hAnsi="仿宋_GB2312" w:cs="仿宋_GB2312" w:eastAsia="仿宋_GB2312"/>
                      <w:sz w:val="21"/>
                      <w:color w:val="000000"/>
                    </w:rPr>
                    <w:t>≥540*650*1300mm；日产水量：≥3000L纯净水；适用水压：0.1-0.3MPA使用环境温度；5-40℃，采用反渗透技术，七级净化工艺，七级过滤（其中三级粗过滤，一级RO膜逆渗透过滤，一级活性炭过滤）；温热饮水机：出水方式至少一开三温，功率：≥4.5KW，供水量：开水≥45L/小时，温开水≥250L/小时；外型尺寸≥1200*450*1550mm；开水龙头≥1个，直饮温水龙头≥3个</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风幕机</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≥1.5米遥控；≥1500*200*215  功率：≥240W</w:t>
                  </w:r>
                  <w:r>
                    <w:br/>
                  </w:r>
                  <w:r>
                    <w:rPr>
                      <w:rFonts w:ascii="仿宋_GB2312" w:hAnsi="仿宋_GB2312" w:cs="仿宋_GB2312" w:eastAsia="仿宋_GB2312"/>
                      <w:sz w:val="21"/>
                      <w:color w:val="000000"/>
                    </w:rPr>
                    <w:t>全金属与铝合金外壳，双表面粉末喷涂，永不生锈；整机轻巧超薄，低噪音。</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天燃气炉灶</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1、设备不锈钢部分采用材质为不锈钢；120CM不锈钢锅；</w:t>
                  </w:r>
                  <w:r>
                    <w:br/>
                  </w:r>
                  <w:r>
                    <w:rPr>
                      <w:rFonts w:ascii="仿宋_GB2312" w:hAnsi="仿宋_GB2312" w:cs="仿宋_GB2312" w:eastAsia="仿宋_GB2312"/>
                      <w:sz w:val="21"/>
                      <w:color w:val="000000"/>
                    </w:rPr>
                    <w:t>2、台面厚度为≥1.2mm，前面板，侧板厚度≥1.0mm，设有来水摇摆龙头；</w:t>
                  </w:r>
                  <w:r>
                    <w:br/>
                  </w:r>
                  <w:r>
                    <w:rPr>
                      <w:rFonts w:ascii="仿宋_GB2312" w:hAnsi="仿宋_GB2312" w:cs="仿宋_GB2312" w:eastAsia="仿宋_GB2312"/>
                      <w:sz w:val="21"/>
                      <w:color w:val="000000"/>
                    </w:rPr>
                    <w:t>3、前部设有排水槽；</w:t>
                  </w:r>
                  <w:r>
                    <w:br/>
                  </w:r>
                  <w:r>
                    <w:rPr>
                      <w:rFonts w:ascii="仿宋_GB2312" w:hAnsi="仿宋_GB2312" w:cs="仿宋_GB2312" w:eastAsia="仿宋_GB2312"/>
                      <w:sz w:val="21"/>
                      <w:color w:val="000000"/>
                    </w:rPr>
                    <w:t>4、炉架选用≥50*50*4.8mm国标角钢；</w:t>
                  </w:r>
                  <w:r>
                    <w:br/>
                  </w:r>
                  <w:r>
                    <w:rPr>
                      <w:rFonts w:ascii="仿宋_GB2312" w:hAnsi="仿宋_GB2312" w:cs="仿宋_GB2312" w:eastAsia="仿宋_GB2312"/>
                      <w:sz w:val="21"/>
                      <w:color w:val="000000"/>
                    </w:rPr>
                    <w:t>5、炉架面及炉胆选用≥2.0mm国标冷轧钢板制造，炉膛与炮台一体式设计；</w:t>
                  </w:r>
                  <w:r>
                    <w:br/>
                  </w:r>
                  <w:r>
                    <w:rPr>
                      <w:rFonts w:ascii="仿宋_GB2312" w:hAnsi="仿宋_GB2312" w:cs="仿宋_GB2312" w:eastAsia="仿宋_GB2312"/>
                      <w:sz w:val="21"/>
                      <w:color w:val="000000"/>
                    </w:rPr>
                    <w:t>6、静音节能燃烧器热效率不低于40%；</w:t>
                  </w:r>
                  <w:r>
                    <w:br/>
                  </w:r>
                  <w:r>
                    <w:rPr>
                      <w:rFonts w:ascii="仿宋_GB2312" w:hAnsi="仿宋_GB2312" w:cs="仿宋_GB2312" w:eastAsia="仿宋_GB2312"/>
                      <w:sz w:val="21"/>
                      <w:color w:val="000000"/>
                    </w:rPr>
                    <w:t>7、燃烧噪音≤70分贝,配安全全自动点火系统,鼓风式风机功率不超过550w，双风机；</w:t>
                  </w:r>
                  <w:r>
                    <w:br/>
                  </w:r>
                  <w:r>
                    <w:rPr>
                      <w:rFonts w:ascii="仿宋_GB2312" w:hAnsi="仿宋_GB2312" w:cs="仿宋_GB2312" w:eastAsia="仿宋_GB2312"/>
                      <w:sz w:val="21"/>
                      <w:color w:val="000000"/>
                    </w:rPr>
                    <w:t>8、配备自动灭火装置。</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天燃气炉灶</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1、设备不锈钢部分采用材质为不锈钢；90CM不锈钢锅；</w:t>
                  </w:r>
                  <w:r>
                    <w:br/>
                  </w:r>
                  <w:r>
                    <w:rPr>
                      <w:rFonts w:ascii="仿宋_GB2312" w:hAnsi="仿宋_GB2312" w:cs="仿宋_GB2312" w:eastAsia="仿宋_GB2312"/>
                      <w:sz w:val="21"/>
                      <w:color w:val="000000"/>
                    </w:rPr>
                    <w:t>2、台面厚度为≥1.2mm，前面板，侧板厚度≥1.0mm，设有来水摇摆龙头；</w:t>
                  </w:r>
                  <w:r>
                    <w:br/>
                  </w:r>
                  <w:r>
                    <w:rPr>
                      <w:rFonts w:ascii="仿宋_GB2312" w:hAnsi="仿宋_GB2312" w:cs="仿宋_GB2312" w:eastAsia="仿宋_GB2312"/>
                      <w:sz w:val="21"/>
                      <w:color w:val="000000"/>
                    </w:rPr>
                    <w:t>3、前部设有排水槽；</w:t>
                  </w:r>
                  <w:r>
                    <w:br/>
                  </w:r>
                  <w:r>
                    <w:rPr>
                      <w:rFonts w:ascii="仿宋_GB2312" w:hAnsi="仿宋_GB2312" w:cs="仿宋_GB2312" w:eastAsia="仿宋_GB2312"/>
                      <w:sz w:val="21"/>
                      <w:color w:val="000000"/>
                    </w:rPr>
                    <w:t>4、炉架选用≥50*50*4.8mm国标角钢；</w:t>
                  </w:r>
                  <w:r>
                    <w:br/>
                  </w:r>
                  <w:r>
                    <w:rPr>
                      <w:rFonts w:ascii="仿宋_GB2312" w:hAnsi="仿宋_GB2312" w:cs="仿宋_GB2312" w:eastAsia="仿宋_GB2312"/>
                      <w:sz w:val="21"/>
                      <w:color w:val="000000"/>
                    </w:rPr>
                    <w:t>5、炉架面及炉胆选用≥2.0mm国标冷轧钢板制造，炉膛与炮台一体式设计；</w:t>
                  </w:r>
                  <w:r>
                    <w:br/>
                  </w:r>
                  <w:r>
                    <w:rPr>
                      <w:rFonts w:ascii="仿宋_GB2312" w:hAnsi="仿宋_GB2312" w:cs="仿宋_GB2312" w:eastAsia="仿宋_GB2312"/>
                      <w:sz w:val="21"/>
                      <w:color w:val="000000"/>
                    </w:rPr>
                    <w:t>6、静音节能燃烧器热效率不低于40%；</w:t>
                  </w:r>
                  <w:r>
                    <w:br/>
                  </w:r>
                  <w:r>
                    <w:rPr>
                      <w:rFonts w:ascii="仿宋_GB2312" w:hAnsi="仿宋_GB2312" w:cs="仿宋_GB2312" w:eastAsia="仿宋_GB2312"/>
                      <w:sz w:val="21"/>
                      <w:color w:val="000000"/>
                    </w:rPr>
                    <w:t>7、燃烧噪音≤70分贝,配安全全自动点火系统,鼓风式风机功率不超过550w，双风机；</w:t>
                  </w:r>
                  <w:r>
                    <w:br/>
                  </w:r>
                  <w:r>
                    <w:rPr>
                      <w:rFonts w:ascii="仿宋_GB2312" w:hAnsi="仿宋_GB2312" w:cs="仿宋_GB2312" w:eastAsia="仿宋_GB2312"/>
                      <w:sz w:val="21"/>
                      <w:color w:val="000000"/>
                    </w:rPr>
                    <w:t>8、配备自动灭火装置。</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切菜机</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220V，功率≥1.8KW，尺寸≥900*650*1100，双速变频控制，纯铜电机，优质不锈钢材质，搭配多种刀盘，双头同时切菜，每小时150-500千克，适用于各种叶菜类、根茎类蔬菜切段及细长类硬菜切片</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馒头机</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220/380V，额定功率≥3KW，生产效率，每小时不小于3000个，馒头重量≥80克，外形尺寸≥1350*430*930mm</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包子机</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立式直供；外形尺寸</w:t>
                  </w:r>
                  <w:r>
                    <w:rPr>
                      <w:rFonts w:ascii="仿宋_GB2312" w:hAnsi="仿宋_GB2312" w:cs="仿宋_GB2312" w:eastAsia="仿宋_GB2312"/>
                      <w:sz w:val="21"/>
                      <w:color w:val="000000"/>
                    </w:rPr>
                    <w:t>≥67*37.5*100cm；高压无刷电机，额定电压≥200V，50HZ,功率≥800W;料斗类型：单馅斗+绞龙，采用旋转托盘；包子克重：每个25-80克，可做菜包、肉包、豆沙包、小笼包等多种品类，每小时产量500-1000个</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换气扇</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300*300mm，功率≥50W</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油烟净化器</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静电式高空油烟净化器，功率：</w:t>
                  </w:r>
                  <w:r>
                    <w:rPr>
                      <w:rFonts w:ascii="仿宋_GB2312" w:hAnsi="仿宋_GB2312" w:cs="仿宋_GB2312" w:eastAsia="仿宋_GB2312"/>
                      <w:sz w:val="21"/>
                      <w:color w:val="000000"/>
                    </w:rPr>
                    <w:t>≥1KW</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油水分离器</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≥500*300*300mm优质不锈钢制作</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餐桌</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4人座，≥530*110*760mm；1.桌面采用304/2B材质优质不锈钢，桌面内衬为高密度板， 2.主架整体采用人字型结构 3.主架管材采用≥50*50优质方型管，喷涂，防锈处理。4.坐垫材质采用ABS耐冲击塑料一体成型，直径300mm，蓝色圆坐，中间需有内凹设计，一次冲压成型</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切肉机</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绞肉产量：</w:t>
                  </w:r>
                  <w:r>
                    <w:rPr>
                      <w:rFonts w:ascii="仿宋_GB2312" w:hAnsi="仿宋_GB2312" w:cs="仿宋_GB2312" w:eastAsia="仿宋_GB2312"/>
                      <w:sz w:val="21"/>
                      <w:color w:val="000000"/>
                    </w:rPr>
                    <w:t>≥100kg/h，使用电压：220V/50Hz，电机功率：1100W，切片产量：≥400kg/h，外形尺寸：≥56*48*81cm</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紫外线刀具消毒柜</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220V，额定功率≥900W，消毒时间0-90分钟可调，消毒温度≤60℃，消毒方式：臭氧+紫外线+热风，容量≥350L，尺寸：≥670*600*1525mm，刀具≥10把，砧板≥3块</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合同签订后30个日历日内完成安装调试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韩城市相关学校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进度款，货物到达现场后，经过对数量、规格型号初步验收合格后，达到付款条件起60个工作日内，支付合同总金额的40.0%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进度款，交付使用后，经过终验合格，达到付款条件起60个工作日内，支付合同总金额的57.0%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进度款，质保期满后，达到付款条件起60个工作日内，支付合同总金额的3.0%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初验:货物到达交货地点后，由使用单位根据合同对货物(设备)的名称、品牌、规格、型号、产地、数量进行检查。终验:所有货物(设备)安装、调试完毕，正常使用10个日历日后，供应商提出验收申请之日起，30日内组织验收，由采购人进行终验(最终验收)，合格后签发《终验合格单》。2、验收不合格的，必须在接到通知后7个日历日内确保货物通过验收。如接到通知7个日历日内验收扔不合格，采购人可提出索赔或取消其供货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终验合格后2年(参数中有具体要求的，按参数要求提供质保)。供应商承诺的质保时间超过招标文件要求的，按其承诺时间质保。2.所有产品质量必须符合国家有关规范和相关政策。所有产品及辅材必须是未使用过的新产品，质量优良、渠道正当，配置合理。3.质保期出现的质量问题由中标人负责解决并承担所有费用。质保期后如需更换零部件，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因执行本合同所发生的或与本合同有关的一切争议,双方应通过友好协商解决，协商不成的可依法向甲方所在地人民法院起诉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1、售后服务要求：（1）保修服务。在接到甲方保修电话故障通知后在 4 小时内派出合格的维修人员到达现场进行维修服务，承担相应费用，若需将产品送回生产厂，乙方应提供备用机、承担维修设备所需的往返费用。 （2）专项服务。指定专门的服务经理和专职技术人员，负责协调售后服务事宜，并设立技术支持专线，同时明确售后服务流程，以便快速解决技术问题。 （3）配置服务。产品使用过程中发生的常规需求变更，引起的产品配置调整，须得到有效保障。 2、合同实施：（1）成交供应商应在合同签订后3日内安排人员与使用单位就送货、安装等工作进行安排、部署。 （2）若因成交供应商原因未能如期完成合同规定的义务，由此对采购人造成的延误和一切损失，由成交供应商承担和赔偿。 3、其他：（1）纸质投标文件：成交供应商在领取成交通知书时提供一正两副纸质投标文件，装订：纸质投标文件采用书籍（胶装）方式装订成册，与电子投标文件一致的签字、盖章的完整版本。 （2）代理服务费账号信息：公司名称：建信众诚工程咨询有限公司 ，账户：209011580000085788 ，开户行：西安银行股份有限公司东二环南段支行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至今任意一年完整的财务审计报告或开标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提供开标时间前六个月内任意一个月的社会保障资金缴存单据或社保机构开具的社会保险参保缴费情况证明，依法不需要缴纳社会保障资金的单位应提供相关证明材料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提供开标时间前六个月内已缴纳的任意一个月的纳税证明或完税证明，依法免税的单位应提供相关证明材料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 xml:space="preserve"> 均按招标文件要求签字、盖章（评分标准中要求提供的证明材料除外）</w:t>
            </w:r>
          </w:p>
        </w:tc>
        <w:tc>
          <w:tcPr>
            <w:tcW w:type="dxa" w:w="1661"/>
          </w:tcPr>
          <w:p>
            <w:pPr>
              <w:pStyle w:val="null3"/>
            </w:pPr>
            <w:r>
              <w:rPr>
                <w:rFonts w:ascii="仿宋_GB2312" w:hAnsi="仿宋_GB2312" w:cs="仿宋_GB2312" w:eastAsia="仿宋_GB2312"/>
              </w:rPr>
              <w:t>技术参数偏离表.docx 开标一览表 投标方案.docx 中小企业声明函 商务应答表 供应商声明.docx 分项报价表.docx 供应商应提交的相关资格证明材料.docx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只能有一个有效报价，不得提交选择性报价，且报价不超过招标文件规定的预算或最高限价</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投标文件内容不存在漏项或数量与要求不符合招标文件规定情形，响应内容满足招标文件的商务、技术等实质性要求</w:t>
            </w:r>
          </w:p>
        </w:tc>
        <w:tc>
          <w:tcPr>
            <w:tcW w:type="dxa" w:w="1661"/>
          </w:tcPr>
          <w:p>
            <w:pPr>
              <w:pStyle w:val="null3"/>
            </w:pPr>
            <w:r>
              <w:rPr>
                <w:rFonts w:ascii="仿宋_GB2312" w:hAnsi="仿宋_GB2312" w:cs="仿宋_GB2312" w:eastAsia="仿宋_GB2312"/>
              </w:rPr>
              <w:t>技术参数偏离表.docx 开标一览表 投标方案.docx 中小企业声明函 商务应答表 供应商声明.docx 分项报价表.docx 供应商应提交的相关资格证明材料.docx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投标文件不含有采购人不能接受的附加条件， 不存在其它不符合法律法规或招标文件规定的响应无效条款的情形</w:t>
            </w:r>
          </w:p>
        </w:tc>
        <w:tc>
          <w:tcPr>
            <w:tcW w:type="dxa" w:w="1661"/>
          </w:tcPr>
          <w:p>
            <w:pPr>
              <w:pStyle w:val="null3"/>
            </w:pPr>
            <w:r>
              <w:rPr>
                <w:rFonts w:ascii="仿宋_GB2312" w:hAnsi="仿宋_GB2312" w:cs="仿宋_GB2312" w:eastAsia="仿宋_GB2312"/>
              </w:rPr>
              <w:t>技术参数偏离表.docx 开标一览表 投标方案.docx 中小企业声明函 商务应答表 供应商声明.docx 分项报价表.docx 供应商应提交的相关资格证明材料.docx 投标函 残疾人福利性单位声明函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参数清楚、明确有相应齐全的技术资料，根据技术指标响应情况评审：满分37.5分，每有1项产品负偏离扣1.5分，需提供证明材料（包括但不限于产品彩页、测试报告、官网截图、技术说明书等技术支持性文件资料），未提供不得分。技术偏离表与证明资料文件中不一致的，以证明资料文件为准。</w:t>
            </w:r>
          </w:p>
        </w:tc>
        <w:tc>
          <w:tcPr>
            <w:tcW w:type="dxa" w:w="831"/>
          </w:tcPr>
          <w:p>
            <w:pPr>
              <w:pStyle w:val="null3"/>
              <w:jc w:val="right"/>
            </w:pPr>
            <w:r>
              <w:rPr>
                <w:rFonts w:ascii="仿宋_GB2312" w:hAnsi="仿宋_GB2312" w:cs="仿宋_GB2312" w:eastAsia="仿宋_GB2312"/>
              </w:rPr>
              <w:t>37.5000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投产品含有属于政府优先采购产品类别的产品，应按照《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要求提供国家确定的认证机构出具的有效的节能产品或环境标志产品认证证书，每提供一个证书得0.5分，满分1分。政府强制采购产品不予加分。 备注：以加盖供应商公章的证明材料为计分依据。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渠道证明资料</w:t>
            </w:r>
          </w:p>
        </w:tc>
        <w:tc>
          <w:tcPr>
            <w:tcW w:type="dxa" w:w="2492"/>
          </w:tcPr>
          <w:p>
            <w:pPr>
              <w:pStyle w:val="null3"/>
            </w:pPr>
            <w:r>
              <w:rPr>
                <w:rFonts w:ascii="仿宋_GB2312" w:hAnsi="仿宋_GB2312" w:cs="仿宋_GB2312" w:eastAsia="仿宋_GB2312"/>
              </w:rPr>
              <w:t>提供核心产品合法来源渠道证明文件（包括但不限于销售协议、代理协议、原厂授权等，如供应商为所投产品的制造商需提供情况说明，说明某一项产品为制造商自己生产），提供的材料完整计1.5分，未提供或提供不全不计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进行打分，包含但不限于以下内容：①提供详细作业流程计划(包括订货、配送、安装调试等)及服务响应时效；②质量控制方案（包括所投产品质量控制方案、运输途中及送达后的质量控制方案等）；③验收措施、应急措施④培训方案（包含培训内容及方式、培训计划安排等）⑤售后服务方案（包括售后人员配置、响应时间、备品备件、服务承诺等）。以上内容专门针对本项目且阐述明晰、全面、合理、无缺陷能有效保障本项目实施得20分，每缺一项内容扣4分，若上述内容存在缺陷，每存在1处缺陷扣0.2分，扣完为止。 【注：“缺陷”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供应商自2023年1月1日至今类似项目业绩，每提供一个业绩得2分，最多得10分；（以合同签订日期并加盖公章的合同复印件为准；弄虚作假者取消其中标资格） 注：证明材料为合同首页、双方签字盖章页以及能够反映合同内容的部分。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采用低价优先法计算，即满足招标文件要求且投标价格最低的投标报价为评标基准价，其价格分为满分。投标报价得分＝（评标基准价/投标报价）×30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详见附件：供应商声明.docx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