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版本号：YD-202603320260701002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涉案车辆停车场租赁、救援拖移等服务费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YD-2026033</w:t>
      </w:r>
      <w:r>
        <w:br/>
      </w:r>
      <w:r>
        <w:br/>
      </w:r>
      <w:r>
        <w:br/>
      </w:r>
    </w:p>
    <w:p>
      <w:pPr>
        <w:pStyle w:val="null3"/>
        <w:jc w:val="center"/>
        <w:outlineLvl w:val="2"/>
      </w:pPr>
      <w:r>
        <w:rPr>
          <w:rFonts w:ascii="仿宋_GB2312" w:hAnsi="仿宋_GB2312" w:cs="仿宋_GB2312" w:eastAsia="仿宋_GB2312"/>
          <w:sz w:val="28"/>
          <w:b/>
        </w:rPr>
        <w:t>洋县公安局交通警察大队</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洋县公安局交通警察大队</w:t>
      </w:r>
      <w:r>
        <w:rPr>
          <w:rFonts w:ascii="仿宋_GB2312" w:hAnsi="仿宋_GB2312" w:cs="仿宋_GB2312" w:eastAsia="仿宋_GB2312"/>
        </w:rPr>
        <w:t>委托，拟对</w:t>
      </w:r>
      <w:r>
        <w:rPr>
          <w:rFonts w:ascii="仿宋_GB2312" w:hAnsi="仿宋_GB2312" w:cs="仿宋_GB2312" w:eastAsia="仿宋_GB2312"/>
        </w:rPr>
        <w:t>涉案车辆停车场租赁、救援拖移等服务费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涉案车辆停车场租赁、救援拖移等服务费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涉案车辆停车场租赁、救援拖移等服务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采购包1（涉案车辆停车场租赁、救援拖移等服务费）：属于专门面向中小企业采购。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洋县公安局交通警察大队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汉中市洋县洋州街道文明西路65号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0916-8228280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洋县公安局交通警察大队</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洋县公安局交通警察大队</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洋县公安局交通警察大队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涉案车辆停车场租赁、救援拖移等服务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涉案车辆停车场租赁、救援拖移等服务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标的名称：涉案车辆停车场租赁、救援拖移等服务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一、车辆拖移</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保管范围</w:t>
            </w:r>
          </w:p>
          <w:p>
            <w:pPr>
              <w:pStyle w:val="null3"/>
              <w:ind w:firstLine="547"/>
            </w:pPr>
            <w:r>
              <w:rPr>
                <w:rFonts w:ascii="仿宋_GB2312" w:hAnsi="仿宋_GB2312" w:cs="仿宋_GB2312" w:eastAsia="仿宋_GB2312"/>
                <w:sz w:val="21"/>
                <w:color w:val="000000"/>
              </w:rPr>
              <w:t>在</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交通秩序管理、交通事故处理等执法过程中，依法扣押、扣留、随案移送的各类涉案车辆（包括但不限于机动车、非机动车，涉案车辆涵盖交通违法车辆、事故车辆、涉案嫌疑车辆等）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b/>
                <w:color w:val="000000"/>
              </w:rPr>
              <w:t>二、车辆接收管理及救援</w:t>
            </w:r>
          </w:p>
          <w:p>
            <w:pPr>
              <w:pStyle w:val="null3"/>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接收移交的车辆时，应仔细核对车辆实物、车辆信息与相关法律文书载明的情形，接收时双方签字确认。若发现信息不一致、车辆损坏情况与记录不符或资料缺失的，有权拒绝接收。</w:t>
            </w:r>
          </w:p>
          <w:p>
            <w:pPr>
              <w:pStyle w:val="null3"/>
              <w:ind w:firstLine="547"/>
            </w:pPr>
            <w:r>
              <w:rPr>
                <w:rFonts w:ascii="仿宋_GB2312" w:hAnsi="仿宋_GB2312" w:cs="仿宋_GB2312" w:eastAsia="仿宋_GB2312"/>
                <w:sz w:val="21"/>
                <w:color w:val="000000"/>
              </w:rPr>
              <w:t>2、</w:t>
            </w:r>
            <w:r>
              <w:rPr>
                <w:rFonts w:ascii="仿宋_GB2312" w:hAnsi="仿宋_GB2312" w:cs="仿宋_GB2312" w:eastAsia="仿宋_GB2312"/>
                <w:sz w:val="21"/>
                <w:color w:val="000000"/>
              </w:rPr>
              <w:t>被扣车辆随车所载物品，由当事人持本人有效身份证、车辆暂扣凭证等相关证明，原则上在</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办案人员在场监督的情况下，</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积极配合当事人卸货、转移货物，全程做好现场记录。</w:t>
            </w:r>
          </w:p>
          <w:p>
            <w:pPr>
              <w:pStyle w:val="null3"/>
              <w:ind w:firstLine="547"/>
            </w:pPr>
            <w:r>
              <w:rPr>
                <w:rFonts w:ascii="仿宋_GB2312" w:hAnsi="仿宋_GB2312" w:cs="仿宋_GB2312" w:eastAsia="仿宋_GB2312"/>
                <w:sz w:val="21"/>
                <w:color w:val="000000"/>
              </w:rPr>
              <w:t>3、</w:t>
            </w:r>
            <w:r>
              <w:rPr>
                <w:rFonts w:ascii="仿宋_GB2312" w:hAnsi="仿宋_GB2312" w:cs="仿宋_GB2312" w:eastAsia="仿宋_GB2312"/>
                <w:sz w:val="21"/>
                <w:color w:val="000000"/>
              </w:rPr>
              <w:t>救援保障：接到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施救通知后，</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应立即安排救援人员、拖移设备出车开展施救工作，确保在合理时限内抵达施救现场；施救过程中，应妥善保管车辆随车物品，不得私自拆卸、挪用，救援完成后及时将车辆拖移至指定停车场并做好登记交接。建立完善的道路救援服务台账留存备查。救援车辆应按照规定登记挂牌并购置保险，严禁无牌、报废车辆参与救援</w:t>
            </w:r>
            <w:r>
              <w:rPr>
                <w:rFonts w:ascii="仿宋_GB2312" w:hAnsi="仿宋_GB2312" w:cs="仿宋_GB2312" w:eastAsia="仿宋_GB2312"/>
                <w:sz w:val="21"/>
                <w:color w:val="000000"/>
              </w:rPr>
              <w:t>。</w:t>
            </w:r>
            <w:r>
              <w:rPr>
                <w:rFonts w:ascii="仿宋_GB2312" w:hAnsi="仿宋_GB2312" w:cs="仿宋_GB2312" w:eastAsia="仿宋_GB2312"/>
                <w:sz w:val="21"/>
                <w:color w:val="000000"/>
              </w:rPr>
              <w:t>救援设备应定期检修、维护，确保性能良好，能满足各类涉案车辆救援需求。</w:t>
            </w:r>
          </w:p>
          <w:p>
            <w:pPr>
              <w:pStyle w:val="null3"/>
              <w:ind w:firstLine="547"/>
            </w:pPr>
            <w:r>
              <w:rPr>
                <w:rFonts w:ascii="仿宋_GB2312" w:hAnsi="仿宋_GB2312" w:cs="仿宋_GB2312" w:eastAsia="仿宋_GB2312"/>
                <w:sz w:val="21"/>
                <w:color w:val="000000"/>
              </w:rPr>
              <w:t>4、</w:t>
            </w:r>
            <w:r>
              <w:rPr>
                <w:rFonts w:ascii="仿宋_GB2312" w:hAnsi="仿宋_GB2312" w:cs="仿宋_GB2312" w:eastAsia="仿宋_GB2312"/>
                <w:sz w:val="21"/>
                <w:color w:val="000000"/>
              </w:rPr>
              <w:t>现场配合：救援过程中，救援人员要积极配合</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处警民警进行现场处置，协助疏导交通、清理事故现场，服从处警民警的指挥调度，不得擅自离开现场或拒绝配合工作。</w:t>
            </w:r>
          </w:p>
          <w:p>
            <w:pPr>
              <w:pStyle w:val="null3"/>
              <w:ind w:firstLine="547"/>
            </w:pPr>
            <w:r>
              <w:rPr>
                <w:rFonts w:ascii="仿宋_GB2312" w:hAnsi="仿宋_GB2312" w:cs="仿宋_GB2312" w:eastAsia="仿宋_GB2312"/>
                <w:sz w:val="21"/>
                <w:color w:val="000000"/>
              </w:rPr>
              <w:t>5、</w:t>
            </w:r>
            <w:r>
              <w:rPr>
                <w:rFonts w:ascii="仿宋_GB2312" w:hAnsi="仿宋_GB2312" w:cs="仿宋_GB2312" w:eastAsia="仿宋_GB2312"/>
                <w:sz w:val="21"/>
                <w:color w:val="000000"/>
              </w:rPr>
              <w:t>保管规范：</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应专门划定独立区域用于存放涉案车辆，严格区分事故车辆、一般违法车辆与其它车辆的停放区域，严禁混放；对危险品车辆、涉重大案件、敏感案件或存在争议的车辆，单独划定停放区域，加强防护，确保涉案车辆管理的独立性与安全性；定期对停放的涉案车辆进行检查、维护并做好记录，防止出现人为损坏、被盗、零部件丢失、漏油、火灾等问题；严禁私自拆卸、挪用、损毁涉案车辆及随车物品，严禁将涉案车辆用于私人用途。</w:t>
            </w:r>
          </w:p>
          <w:p>
            <w:pPr>
              <w:pStyle w:val="null3"/>
            </w:pPr>
            <w:r>
              <w:rPr>
                <w:rFonts w:ascii="仿宋_GB2312" w:hAnsi="仿宋_GB2312" w:cs="仿宋_GB2312" w:eastAsia="仿宋_GB2312"/>
                <w:sz w:val="21"/>
                <w:b/>
                <w:color w:val="000000"/>
              </w:rPr>
              <w:t>三、停车场管理</w:t>
            </w:r>
          </w:p>
          <w:p>
            <w:pPr>
              <w:pStyle w:val="null3"/>
              <w:ind w:firstLine="400"/>
            </w:pPr>
            <w:r>
              <w:rPr>
                <w:rFonts w:ascii="仿宋_GB2312" w:hAnsi="仿宋_GB2312" w:cs="仿宋_GB2312" w:eastAsia="仿宋_GB2312"/>
                <w:sz w:val="21"/>
                <w:color w:val="000000"/>
              </w:rPr>
              <w:t>1、</w:t>
            </w:r>
            <w:r>
              <w:rPr>
                <w:rFonts w:ascii="仿宋_GB2312" w:hAnsi="仿宋_GB2312" w:cs="仿宋_GB2312" w:eastAsia="仿宋_GB2312"/>
                <w:sz w:val="21"/>
                <w:color w:val="000000"/>
              </w:rPr>
              <w:t>硬件保障：确保停车场实际使用面积不低于10亩，场地路面全部硬化处理，能满足涉案车辆安全停放需求；配备符合标准的车棚、防雨防晒遮盖物，对事故损坏严重车辆、报废车辆、易损坏车辆等特定车辆，提供专项防护措施，防止二次损坏；严格按照消防规范配足配齐消防设备（灭火器、消防栓、消防沙等），定期进行检修、维护，确保消防设备完好有效，定期开展消防检查并记录；安装全覆盖、无死角的监控配置系统，监控摄像头位置合理、画面清晰可辨，监控录像保存期限不少于90天，不得擅自删除、篡改监控录像；设置明显的安全警示标识（如“涉案车辆专用停车场”“禁止烟火”等）和物理隔离设施，严禁无关人员、车辆进入涉案车辆存放区域。</w:t>
            </w:r>
          </w:p>
          <w:p>
            <w:pPr>
              <w:pStyle w:val="null3"/>
              <w:ind w:firstLine="400"/>
            </w:pPr>
            <w:r>
              <w:rPr>
                <w:rFonts w:ascii="仿宋_GB2312" w:hAnsi="仿宋_GB2312" w:cs="仿宋_GB2312" w:eastAsia="仿宋_GB2312"/>
                <w:sz w:val="21"/>
                <w:color w:val="000000"/>
              </w:rPr>
              <w:t>2、</w:t>
            </w:r>
            <w:r>
              <w:rPr>
                <w:rFonts w:ascii="仿宋_GB2312" w:hAnsi="仿宋_GB2312" w:cs="仿宋_GB2312" w:eastAsia="仿宋_GB2312"/>
                <w:sz w:val="21"/>
                <w:color w:val="000000"/>
              </w:rPr>
              <w:t>人员</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：配备专职保管人员和救援人员，定期组织开展业务培训、安全教育和法律法规学习，明确岗位职责、操作规范，确保工作人员履职尽责；建立工作人员档案，便于</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检查。</w:t>
            </w:r>
          </w:p>
          <w:p>
            <w:pPr>
              <w:pStyle w:val="null3"/>
              <w:ind w:firstLine="400"/>
            </w:pPr>
            <w:r>
              <w:rPr>
                <w:rFonts w:ascii="仿宋_GB2312" w:hAnsi="仿宋_GB2312" w:cs="仿宋_GB2312" w:eastAsia="仿宋_GB2312"/>
                <w:sz w:val="21"/>
                <w:color w:val="000000"/>
              </w:rPr>
              <w:t>3、</w:t>
            </w:r>
            <w:r>
              <w:rPr>
                <w:rFonts w:ascii="仿宋_GB2312" w:hAnsi="仿宋_GB2312" w:cs="仿宋_GB2312" w:eastAsia="仿宋_GB2312"/>
                <w:sz w:val="21"/>
                <w:color w:val="000000"/>
              </w:rPr>
              <w:t>制度规定：围绕车辆拖移、保管工作，制定完善的内部管理制度，明确工作流程和操作规范，具体包括岗位职责、交接班制度、车辆安全管理制度、消防安全管理制度、台账登记制度、出入场登记制度、救援操作规程、应急处置制度等，严格执行并做好相关记录。</w:t>
            </w:r>
          </w:p>
          <w:p>
            <w:pPr>
              <w:pStyle w:val="null3"/>
              <w:ind w:firstLine="400"/>
            </w:pPr>
            <w:r>
              <w:rPr>
                <w:rFonts w:ascii="仿宋_GB2312" w:hAnsi="仿宋_GB2312" w:cs="仿宋_GB2312" w:eastAsia="仿宋_GB2312"/>
                <w:sz w:val="21"/>
                <w:color w:val="000000"/>
              </w:rPr>
              <w:t>4、</w:t>
            </w:r>
            <w:r>
              <w:rPr>
                <w:rFonts w:ascii="仿宋_GB2312" w:hAnsi="仿宋_GB2312" w:cs="仿宋_GB2312" w:eastAsia="仿宋_GB2312"/>
                <w:sz w:val="21"/>
                <w:color w:val="000000"/>
              </w:rPr>
              <w:t>登记台账：实行“一车一档”管理，建立电子台账与纸质台账双重保管模式，做到台账齐全、账实相符。台账需详细载明车辆接收时间、移交单位、移交人、接收人、车辆类型、颜色、车牌号、车架号、车辆状况、随车物品、放车时间等，确保与采购人台账信息完全一致。</w:t>
            </w:r>
          </w:p>
          <w:p>
            <w:pPr>
              <w:pStyle w:val="null3"/>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、车辆处置流程</w:t>
            </w:r>
          </w:p>
          <w:p>
            <w:pPr>
              <w:pStyle w:val="null3"/>
              <w:ind w:firstLine="549"/>
            </w:pPr>
            <w:r>
              <w:rPr>
                <w:rFonts w:ascii="仿宋_GB2312" w:hAnsi="仿宋_GB2312" w:cs="仿宋_GB2312" w:eastAsia="仿宋_GB2312"/>
                <w:sz w:val="21"/>
                <w:color w:val="000000"/>
              </w:rPr>
              <w:t>1、车辆返还</w:t>
            </w:r>
          </w:p>
          <w:p>
            <w:pPr>
              <w:pStyle w:val="null3"/>
              <w:ind w:firstLine="547"/>
            </w:pP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出具《物品返还凭证》，明确车辆返还对象、车辆信息等内容，</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凭</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出具的《物品返还凭证》及当事人有效身份证明，核对无误后办理车辆出场手续，并做好登记记录，将《物品返还凭证》留存归档。</w:t>
            </w:r>
          </w:p>
          <w:p>
            <w:pPr>
              <w:pStyle w:val="null3"/>
              <w:ind w:firstLine="549"/>
            </w:pPr>
            <w:r>
              <w:rPr>
                <w:rFonts w:ascii="仿宋_GB2312" w:hAnsi="仿宋_GB2312" w:cs="仿宋_GB2312" w:eastAsia="仿宋_GB2312"/>
                <w:sz w:val="21"/>
                <w:color w:val="000000"/>
              </w:rPr>
              <w:t>2、车辆收缴与处置</w:t>
            </w:r>
          </w:p>
          <w:p>
            <w:pPr>
              <w:pStyle w:val="null3"/>
              <w:ind w:firstLine="547"/>
            </w:pPr>
            <w:r>
              <w:rPr>
                <w:rFonts w:ascii="仿宋_GB2312" w:hAnsi="仿宋_GB2312" w:cs="仿宋_GB2312" w:eastAsia="仿宋_GB2312"/>
                <w:sz w:val="21"/>
                <w:color w:val="000000"/>
              </w:rPr>
              <w:t>对达到报废标准、依法应当收缴，或结案后拒不认领、经依法公告期满仍无人领取的涉案车辆，需积极配合</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办理车辆信息变更、公告等相关手续；在</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完成公告程序、依法作出处置决定后，配合</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按规定进行处置（包括但不限于报废、拍卖等），如实提供车辆保管期间的完整记录（台账、监控录像、检查记录等），不得隐瞒、篡改相关记录。</w:t>
            </w:r>
          </w:p>
          <w:p>
            <w:pPr>
              <w:pStyle w:val="null3"/>
              <w:ind w:firstLine="402"/>
            </w:pPr>
            <w:r>
              <w:rPr>
                <w:rFonts w:ascii="仿宋_GB2312" w:hAnsi="仿宋_GB2312" w:cs="仿宋_GB2312" w:eastAsia="仿宋_GB2312"/>
                <w:sz w:val="21"/>
                <w:b/>
                <w:color w:val="000000"/>
              </w:rPr>
              <w:t>五、其他要求</w:t>
            </w:r>
          </w:p>
          <w:p>
            <w:pPr>
              <w:pStyle w:val="null3"/>
              <w:ind w:firstLine="547"/>
            </w:pPr>
            <w:r>
              <w:rPr>
                <w:rFonts w:ascii="仿宋_GB2312" w:hAnsi="仿宋_GB2312" w:cs="仿宋_GB2312" w:eastAsia="仿宋_GB2312"/>
                <w:sz w:val="21"/>
                <w:color w:val="000000"/>
              </w:rPr>
              <w:t>1、</w:t>
            </w:r>
            <w:r>
              <w:rPr>
                <w:rFonts w:ascii="仿宋_GB2312" w:hAnsi="仿宋_GB2312" w:cs="仿宋_GB2312" w:eastAsia="仿宋_GB2312"/>
                <w:sz w:val="21"/>
                <w:color w:val="000000"/>
              </w:rPr>
              <w:t>费用规范：对</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在交通秩序管理、交通事故处理、交通违法查处过程中依法扣留的车辆实施拖车等施救作业的，不得向</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、当事人收取任何施救、停车费用；因交通事故致车辆无法安全行驶且未被依法扣留的，或当事人自行委托的情形，由当事人或者</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联系</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进行拖移（含代为驾驶），所需施救费用由</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依据有关规定向当事人收取。</w:t>
            </w:r>
          </w:p>
          <w:p>
            <w:pPr>
              <w:pStyle w:val="null3"/>
              <w:ind w:firstLine="547"/>
            </w:pPr>
            <w:r>
              <w:rPr>
                <w:rFonts w:ascii="仿宋_GB2312" w:hAnsi="仿宋_GB2312" w:cs="仿宋_GB2312" w:eastAsia="仿宋_GB2312"/>
                <w:sz w:val="21"/>
                <w:color w:val="000000"/>
              </w:rPr>
              <w:t>2、</w:t>
            </w:r>
            <w:r>
              <w:rPr>
                <w:rFonts w:ascii="仿宋_GB2312" w:hAnsi="仿宋_GB2312" w:cs="仿宋_GB2312" w:eastAsia="仿宋_GB2312"/>
                <w:sz w:val="21"/>
                <w:color w:val="000000"/>
              </w:rPr>
              <w:t>委托救援约定：中标方，在协议履行期间，如因突发情况（包括但不限于重大交通事故集中发生、救援设备故障、救援人员突发短缺、极端天气等）导致自身救援能力不足，无力承担</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交办的更多救援任务时，由</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委托其他具备相应资质的救援公司参与救援工作，但必须提前书面告知</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，提交委托救援申请及受托救援公司的相关资质证明，经</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对受托救援公司的资质审核同意后，方可委托其开展救援工作，并将受托救援公司报</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备案。受托救援公司的救援行为需严格遵守约定及相关规范，其产生的所有救援费用均由</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从协议约定的年度服务费用中列支，</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不再另行支付任何救援、保管相关费用。</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对受托救援公司的救援行为、服务质量承担全部责任，若受托救援公司违规操作、履职不到位导致车辆损坏、随车物品丢失等问题，由</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承担全部赔偿责任，</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有权追究</w:t>
            </w:r>
            <w:r>
              <w:rPr>
                <w:rFonts w:ascii="仿宋_GB2312" w:hAnsi="仿宋_GB2312" w:cs="仿宋_GB2312" w:eastAsia="仿宋_GB2312"/>
                <w:sz w:val="21"/>
                <w:color w:val="000000"/>
              </w:rPr>
              <w:t>中标方</w:t>
            </w:r>
            <w:r>
              <w:rPr>
                <w:rFonts w:ascii="仿宋_GB2312" w:hAnsi="仿宋_GB2312" w:cs="仿宋_GB2312" w:eastAsia="仿宋_GB2312"/>
                <w:sz w:val="21"/>
                <w:color w:val="000000"/>
              </w:rPr>
              <w:t>的违约责任。</w:t>
            </w:r>
            <w:r>
              <w:rPr>
                <w:rFonts w:ascii="仿宋_GB2312" w:hAnsi="仿宋_GB2312" w:cs="仿宋_GB2312" w:eastAsia="仿宋_GB2312"/>
                <w:sz w:val="21"/>
                <w:color w:val="000000"/>
              </w:rPr>
              <w:t>中标</w:t>
            </w:r>
            <w:r>
              <w:rPr>
                <w:rFonts w:ascii="仿宋_GB2312" w:hAnsi="仿宋_GB2312" w:cs="仿宋_GB2312" w:eastAsia="仿宋_GB2312"/>
                <w:sz w:val="21"/>
                <w:color w:val="000000"/>
              </w:rPr>
              <w:t>方不得擅自委托无资质、不符合要求的救援公司参与救援，不得将约定的救援、保管业务擅自转包、分包给第三方。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遵照采购需求配置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遵照采购需求配置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进度款，服务期结束后，达到付款条件起30个工作日内，支付合同总金额的100.0%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示后，成交供应商向代理机构提交纸质响应文件叁份、分别胶装，加盖骑缝章，电子版U盘贰份，内容和通过电子化交易平台实施的政府采购项目提交的响应文件一致。2、保证金若以金融机构、担保机构出具的保函形式则须在开标前一个工作日告知采购代理机构（联系电话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资格承诺函(汉财办采管(2024)20号)文件要求。</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响应⽂件按磋商要求进⾏电⼦签章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符合磋商⽂件要求，响应⽂件内容⻬全、⽆遗漏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汉中市政府采购供应商资格承诺函.docx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汉中市政府采购供应商资格承诺函.docx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供应商针对本项目提供详细的实施方案。需充分结合项目实际情况，满足采购需求，方案内容完整、具体、可行、科学合理。 1.评审内容：①项目的重点、难点分析及解决方案；②地面处理方案；③车辆调度方案;④停车场服务（包含停车场管理、车辆进出台账登记、车辆管护、交接班制度等）；⑤工作质量保障措施；⑥项目档案管理方案；⑦安全、文明作业措施（包含车辆安全管理制度、消防安全管理制度、救援操作规程等）；⑧应急事件处理预案；⑨项目组织构架、规章制度、岗位分工及职责；⑩针对本项目提供车辆跟踪服务计划。 2.评审标准：（1）全面性:内容完整、全面，包括所有评审内容，无遗漏；（2）详细性:内容详细,针对每一评审内容能够有明确具体的描述和说明；（3）合理性:内容合理,准确，符合项目实际情况，有利于项目的实施；（4）针对性：内容具有针对性，所描述的内容与项目实际情况相符并切实可行。 3.赋分标准：每一项评审内容满足每一项评审标准的得1分，最多得4分。每一项内容相对每一项评审标准存在一处漏洞或缺陷扣0.3-0.5分，4分扣完为止。未提供相关评审内容的，该项得0分。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供应商所提供车辆（平板车、起重车等工作车辆）须检验合格，工作车辆为2辆的得1分，每多提供一辆1辆得1分，本项最高得5分； 备注：须提供车辆行驶证、检验合格证、交强险、商业险等证明材料，未提供或者提供不全的不得分。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配备驾驶人员须具有与准驾车型相符的驾驶证且5年以上驾龄,没有酒驾、毒驾、超载、记12分的违法记录。每提供1名驾驶员得1分，本项最多3分。（提供驾驶员身份证及有效驾驶证扫描件并提供无违法及无犯罪记录承诺，未提供或缺项不得分。） 2、针对本项目提供3名及以上专职保管人员得3分；提供2名专职保管人员得2分，不足2人或不提供均不得分，本项最高3分；（须提供人员身份证、无违法及无犯罪记录承诺。） 3、针对本项目提供5名及以上救援人员得2分；提供4名救援人员得1.5分，提供3名救援人员得1分，不足3人或不提供均不得分，本项最高2分；（须提供人员身份证、无违法及无犯罪记录承诺。） 备注：同一人员不重复计分。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停车场场地</w:t>
            </w:r>
          </w:p>
        </w:tc>
        <w:tc>
          <w:tcPr>
            <w:tcW w:type="dxa" w:w="2492"/>
          </w:tcPr>
          <w:p>
            <w:pPr>
              <w:pStyle w:val="null3"/>
            </w:pPr>
            <w:r>
              <w:rPr>
                <w:rFonts w:ascii="仿宋_GB2312" w:hAnsi="仿宋_GB2312" w:cs="仿宋_GB2312" w:eastAsia="仿宋_GB2312"/>
              </w:rPr>
              <w:t>1、供应商针对本项目有充足场地安排停车服务，场地面积≥10亩得5分，须提供体现场地面积的证明材料，包括但不限于产权证明、租赁合同。未提供或无法体现面积的不得分。 2、所有场地必须设置不锈钢信息公开栏，且规范公示有关信息，体现免费停车、监督等内容的承诺，提供得2分，未提供或缺项不得分。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监控配置</w:t>
            </w:r>
          </w:p>
        </w:tc>
        <w:tc>
          <w:tcPr>
            <w:tcW w:type="dxa" w:w="2492"/>
          </w:tcPr>
          <w:p>
            <w:pPr>
              <w:pStyle w:val="null3"/>
            </w:pPr>
            <w:r>
              <w:rPr>
                <w:rFonts w:ascii="仿宋_GB2312" w:hAnsi="仿宋_GB2312" w:cs="仿宋_GB2312" w:eastAsia="仿宋_GB2312"/>
              </w:rPr>
              <w:t>1、供应商针对本项目安装全覆盖、无死角的监控配置系统，监控摄像头位置合理、画面清晰可辨，本项最多4分。 ①监控设备数量＞8台的计4分； ②6台＜监控设备数量≤8台的计3分； ③4台＜监控设备数量≤6台的计2分； ④监控设备数量≤4台的不计分。 备注：提供监控设备图片、监控画面截图等证明材料。 2、供应商提供监控录像保存期限不少于90天，不得擅自删除、篡改监控录像的承诺，提供得2分，未提供或缺项不得分。 3、供应商提供监控设备异常、损坏及时更换的承诺，提供得2分，未提供或缺项不得分。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消防设备</w:t>
            </w:r>
          </w:p>
        </w:tc>
        <w:tc>
          <w:tcPr>
            <w:tcW w:type="dxa" w:w="2492"/>
          </w:tcPr>
          <w:p>
            <w:pPr>
              <w:pStyle w:val="null3"/>
            </w:pPr>
            <w:r>
              <w:rPr>
                <w:rFonts w:ascii="仿宋_GB2312" w:hAnsi="仿宋_GB2312" w:cs="仿宋_GB2312" w:eastAsia="仿宋_GB2312"/>
              </w:rPr>
              <w:t>1、供应商严格按照消防规范配足配齐消防设备（灭火器、消防栓、消防沙等） ，本项最多3分. ①消防设备数量＞12个的计3分； ②10个＜消防设备数量≤12个的计2分； ③8个≤消防设备数量≤10个的计1分； ④消防设备数量＜8个的不计分。 备注：提供消防设备图片、发票等证明材料。 2、供应商提供消防设备定期检修、维护，确保消防设备完好有效，定期开展消防检查并记录的承诺，提供得3分，未提供或缺项不得分。 3、供应商提供消防设备来源渠道正规，质量符合现行标准的承诺，提供得2分，未提供或缺项不得分。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供应商提供2023年1月1日至今完成的类似业绩证明，每提供一份计2.0分，最高计4.0分 ； 备注：业绩须是供应商完成的类似项目，以协议书（合同）加盖公章的复印件为准。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2、以满足本次磋商文件要求的最低报价为评标基准价，其价格为满分； 3、供应商报价得分=（评标基准价/投标报价）×20（本项目为专门面向中小企业采购项目，不再执行价格评审优惠扶持政策）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