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版本号：LHZBZC2026052G20260514001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操场塌陷综合治理项目设计服务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LHZBZC2026052G</w:t>
      </w:r>
      <w:r>
        <w:br/>
      </w:r>
      <w:r>
        <w:br/>
      </w:r>
      <w:r>
        <w:br/>
      </w:r>
    </w:p>
    <w:p>
      <w:pPr>
        <w:pStyle w:val="null3"/>
        <w:jc w:val="center"/>
        <w:outlineLvl w:val="2"/>
      </w:pPr>
      <w:r>
        <w:rPr>
          <w:rFonts w:ascii="仿宋_GB2312" w:hAnsi="仿宋_GB2312" w:cs="仿宋_GB2312" w:eastAsia="仿宋_GB2312"/>
          <w:sz w:val="28"/>
          <w:b/>
        </w:rPr>
        <w:t>西安市临潼区华清中学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西安市临潼区华清中学</w:t>
      </w:r>
      <w:r>
        <w:rPr>
          <w:rFonts w:ascii="仿宋_GB2312" w:hAnsi="仿宋_GB2312" w:cs="仿宋_GB2312" w:eastAsia="仿宋_GB2312"/>
        </w:rPr>
        <w:t>委托，拟对</w:t>
      </w:r>
      <w:r>
        <w:rPr>
          <w:rFonts w:ascii="仿宋_GB2312" w:hAnsi="仿宋_GB2312" w:cs="仿宋_GB2312" w:eastAsia="仿宋_GB2312"/>
        </w:rPr>
        <w:t>操场塌陷综合治理项目设计服务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LHZBZC2026052G</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操场塌陷综合治理项目设计服务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本项目建设内容由操场塌陷综合治理工程、新建工程和改造工程三部分组成: 1、华清中学操场塌陷综合治理工程：(1)对操场北侧的不良地质及杂填土进行土方开挖，对操场东侧原杂填土区域采用挤密桩进行地基处理，在南侧、西侧、东侧新建护坡。(2)拆除操场原有已塌陷老旧地面，恢复重建，占地面积13630㎡,并新建配套的室外照明及绿化。(3)对原操场地下的生活水箱及管网进行迁移新建，在操场及周边新建给水、雨水、污水的检查井及管道。2、新建工程：(1)利用操场北侧塌陷严重处开挖后的空间，新建地下二层(局部一层)风雨操场占地面积约4272.19㎡,总建筑面积约7493.35㎡,其中新建风雨操场约2084.38㎡、社团用房及消防水池约2486.66㎡、地下车库约2923.31㎡.(2)新建地上1层操场主席台，含准备间、旗台及看台，建筑面积约370㎡.3、改造工程：(1)修缮校园东西两侧内部道路，打通堵塞道路，拆除道路原毛石护坡，新建道路两侧护坡，(2)校园原供电系统新增1台800kVA预装式变电站及配套室外电缆，新增一台柴油发电机，作为备用电源，满足校园应急所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采购包1（操场塌陷综合治理项目设计服务）：属于专门面向小微企业采购。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授权委托书：法定代表人授权委托书：法定代表人直接参加磋商的，须出具法人身份证，并与营业执照上信息一致。法定代表人授权代表参加磋商的，须出具法定代表人授权书及授权代表身份证。法人的分支机构参与磋商时，除提供《法定代表人授权委托书》外，还须同时提供法人给分支机构出具的授权书；</w:t>
      </w:r>
    </w:p>
    <w:p>
      <w:pPr>
        <w:pStyle w:val="null3"/>
      </w:pPr>
      <w:r>
        <w:rPr>
          <w:rFonts w:ascii="仿宋_GB2312" w:hAnsi="仿宋_GB2312" w:cs="仿宋_GB2312" w:eastAsia="仿宋_GB2312"/>
        </w:rPr>
        <w:t>3、企业资质：供应商须具有建设行政主管部门核发的工程设计综合甲级资质或建筑行业设计乙级及以上或建筑行业（建筑工程）乙级及以上资质；</w:t>
      </w:r>
    </w:p>
    <w:p>
      <w:pPr>
        <w:pStyle w:val="null3"/>
      </w:pPr>
      <w:r>
        <w:rPr>
          <w:rFonts w:ascii="仿宋_GB2312" w:hAnsi="仿宋_GB2312" w:cs="仿宋_GB2312" w:eastAsia="仿宋_GB2312"/>
        </w:rPr>
        <w:t>4、项目负责人：拟派项目设计负责人须具备国家一级注册建筑师执业资格，在本单位注册</w:t>
      </w:r>
    </w:p>
    <w:p>
      <w:pPr>
        <w:pStyle w:val="null3"/>
      </w:pPr>
      <w:r>
        <w:rPr>
          <w:rFonts w:ascii="仿宋_GB2312" w:hAnsi="仿宋_GB2312" w:cs="仿宋_GB2312" w:eastAsia="仿宋_GB2312"/>
        </w:rPr>
        <w:t>5、基本资格条件承诺函：提供《基本资格条件承诺函》(详见资格证明文件中相关格式) 备注：如不提供《基本资格条件承诺函》的供应商需提交以下资格证明文件:①财务状况报告：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任意税种），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供应商未被“信用中国”网站(www.sr&amp;mtchin8.gov.&amp;)列入重大税收违法失信主体，未被《中国执行信息公开网》(http://zxgk.court.gov.cn/shixin/)列入失信被执行人，未被中国政府采购网(www.cc.gov.sn)列入政府采购严重违法失信行为记录名单。</w:t>
      </w:r>
    </w:p>
    <w:p>
      <w:pPr>
        <w:pStyle w:val="null3"/>
      </w:pPr>
      <w:r>
        <w:rPr>
          <w:rFonts w:ascii="仿宋_GB2312" w:hAnsi="仿宋_GB2312" w:cs="仿宋_GB2312" w:eastAsia="仿宋_GB2312"/>
        </w:rPr>
        <w:t>6、控股管理关系：提供直接控股和管理关系清单。若与其他投标人存在单位负责人为同一人或者存在直接控股 、管理关系的，则磋商无效。</w:t>
      </w:r>
    </w:p>
    <w:p>
      <w:pPr>
        <w:pStyle w:val="null3"/>
      </w:pPr>
      <w:r>
        <w:rPr>
          <w:rFonts w:ascii="仿宋_GB2312" w:hAnsi="仿宋_GB2312" w:cs="仿宋_GB2312" w:eastAsia="仿宋_GB2312"/>
        </w:rPr>
        <w:t>7、本项目不接受联合体投标：供应商应提供《非联合体投标声明》，视为独立投标。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西安市临潼区华清中学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西安市临潼区书院街6号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029-83890597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西安市未央区太华路与北二环十字东南角大明宫中央广场A座22层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黄沛 高禧 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代理服务费收费标准：1、采购代理服务费：招标代理服务费参照《招标代理服务收费管理暂行办法》计价格[2002]1980号文和发改价格[2011]534号，以中标价为基数计取代理服务费。 2、本项目类型为：服务。 3、采购代理服务费费币种为人民币。 4、采购代理服务费收取：单位名称：凌辉建设工程咨询有限公司 开户银行：招商银行西安南大街支行 账号： 292083674310001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西安市临潼区华清中学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西安市临潼区华清中学</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西安市临潼区华清中学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w:t>
      </w:r>
    </w:p>
    <w:p>
      <w:pPr>
        <w:pStyle w:val="null3"/>
      </w:pPr>
      <w:r>
        <w:rPr>
          <w:rFonts w:ascii="仿宋_GB2312" w:hAnsi="仿宋_GB2312" w:cs="仿宋_GB2312" w:eastAsia="仿宋_GB2312"/>
        </w:rPr>
        <w:t>联系电话：81010100-32</w:t>
      </w:r>
    </w:p>
    <w:p>
      <w:pPr>
        <w:pStyle w:val="null3"/>
      </w:pPr>
      <w:r>
        <w:rPr>
          <w:rFonts w:ascii="仿宋_GB2312" w:hAnsi="仿宋_GB2312" w:cs="仿宋_GB2312" w:eastAsia="仿宋_GB2312"/>
        </w:rPr>
        <w:t>地址：西安市未央区太华路与北二环十字东南角大明宫中央广场A座22层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本项目建设内容由操场塌陷综合治理工程、新建工程和改造工程三部分组成: 1、华清中学操场塌陷综合治理工程：(1)对操场北侧的不良地质及杂填土进行土方开挖，对操场东侧原杂填土区域采用挤密桩进行地基处理，在南侧、西侧、东侧新建护坡。(2)拆除操场原有已塌陷老旧地面，恢复重建，占地面积13630㎡,并新建配套的室外照明及绿化。(3)对原操场地下的生活水箱及管网进行迁移新建，在操场及周边新建给水、雨水、污水的检查井及管道。2、新建工程：(1)利用操场北侧塌陷严重处开挖后的空间，新建地下二层(局部一层)风雨操场占地面积约4272.19㎡,总建筑面积约7493.35㎡,其中新建风雨操场约2084.38㎡、社团用房及消防水池约2486.66㎡、地下车库约2923.31㎡.(2)新建地上1层操场主席台，含准备间、旗台及看台，建筑面积约370㎡.3、改造工程：(1)修缮校园东西两侧内部道路，打通堵塞道路，拆除道路原毛石护坡，新建道路两侧护坡，(2)校园原供电系统新增1台800kVA预装式变电站及配套室外电缆，新增一台柴油发电机，作为备用电源，满足校园应急所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785,000.00</w:t>
      </w:r>
    </w:p>
    <w:p>
      <w:pPr>
        <w:pStyle w:val="null3"/>
      </w:pPr>
      <w:r>
        <w:rPr>
          <w:rFonts w:ascii="仿宋_GB2312" w:hAnsi="仿宋_GB2312" w:cs="仿宋_GB2312" w:eastAsia="仿宋_GB2312"/>
        </w:rPr>
        <w:t>采购包最高限价（元）: 785,000.00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设计服务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left"/>
            </w:pPr>
            <w:r>
              <w:rPr>
                <w:rFonts w:ascii="仿宋_GB2312" w:hAnsi="仿宋_GB2312" w:cs="仿宋_GB2312" w:eastAsia="仿宋_GB2312"/>
                <w:sz w:val="24"/>
              </w:rPr>
              <w:t>1.项目名称</w:t>
            </w:r>
          </w:p>
          <w:p>
            <w:pPr>
              <w:pStyle w:val="null3"/>
              <w:jc w:val="left"/>
            </w:pPr>
            <w:r>
              <w:rPr>
                <w:rFonts w:ascii="仿宋_GB2312" w:hAnsi="仿宋_GB2312" w:cs="仿宋_GB2312" w:eastAsia="仿宋_GB2312"/>
                <w:sz w:val="24"/>
              </w:rPr>
              <w:t>西安市临潼区华清中学操场塌陷综合治理项目</w:t>
            </w:r>
            <w:r>
              <w:rPr>
                <w:rFonts w:ascii="仿宋_GB2312" w:hAnsi="仿宋_GB2312" w:cs="仿宋_GB2312" w:eastAsia="仿宋_GB2312"/>
                <w:sz w:val="24"/>
              </w:rPr>
              <w:t>设计服务</w:t>
            </w:r>
          </w:p>
          <w:p>
            <w:pPr>
              <w:pStyle w:val="null3"/>
              <w:jc w:val="left"/>
            </w:pPr>
            <w:r>
              <w:rPr>
                <w:rFonts w:ascii="仿宋_GB2312" w:hAnsi="仿宋_GB2312" w:cs="仿宋_GB2312" w:eastAsia="仿宋_GB2312"/>
                <w:sz w:val="24"/>
              </w:rPr>
              <w:t>2.建设地点</w:t>
            </w:r>
          </w:p>
          <w:p>
            <w:pPr>
              <w:pStyle w:val="null3"/>
              <w:jc w:val="left"/>
            </w:pPr>
            <w:r>
              <w:rPr>
                <w:rFonts w:ascii="仿宋_GB2312" w:hAnsi="仿宋_GB2312" w:cs="仿宋_GB2312" w:eastAsia="仿宋_GB2312"/>
                <w:sz w:val="24"/>
              </w:rPr>
              <w:t>西安市临潼区书院东街</w:t>
            </w:r>
            <w:r>
              <w:rPr>
                <w:rFonts w:ascii="仿宋_GB2312" w:hAnsi="仿宋_GB2312" w:cs="仿宋_GB2312" w:eastAsia="仿宋_GB2312"/>
                <w:sz w:val="24"/>
              </w:rPr>
              <w:t>6号华清中学现址范围内。</w:t>
            </w:r>
          </w:p>
          <w:p>
            <w:pPr>
              <w:pStyle w:val="null3"/>
              <w:jc w:val="left"/>
            </w:pPr>
            <w:r>
              <w:rPr>
                <w:rFonts w:ascii="仿宋_GB2312" w:hAnsi="仿宋_GB2312" w:cs="仿宋_GB2312" w:eastAsia="仿宋_GB2312"/>
                <w:sz w:val="24"/>
              </w:rPr>
              <w:t>3.建设规模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1）操场塌陷治理</w:t>
            </w:r>
          </w:p>
          <w:p>
            <w:pPr>
              <w:pStyle w:val="null3"/>
              <w:jc w:val="left"/>
            </w:pPr>
            <w:r>
              <w:rPr>
                <w:rFonts w:ascii="仿宋_GB2312" w:hAnsi="仿宋_GB2312" w:cs="仿宋_GB2312" w:eastAsia="仿宋_GB2312"/>
                <w:sz w:val="24"/>
              </w:rPr>
              <w:t>对操场东侧原杂填土区域进行加固处理约</w:t>
            </w:r>
            <w:r>
              <w:rPr>
                <w:rFonts w:ascii="仿宋_GB2312" w:hAnsi="仿宋_GB2312" w:cs="仿宋_GB2312" w:eastAsia="仿宋_GB2312"/>
                <w:sz w:val="24"/>
              </w:rPr>
              <w:t>4000㎡。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拆除操场原有老旧地面，恢复重建，总改造面积约13630㎡，包括：足球场、田径跑道、篮球场、铅球场地、乒乓球场地、跳远场地等运动设施，并新建配套的室外照明、绿化及周边新建给水、雨水、污水的检查井及管道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3）新建风雨操场及主席台</w:t>
            </w:r>
          </w:p>
          <w:p>
            <w:pPr>
              <w:pStyle w:val="null3"/>
              <w:jc w:val="left"/>
            </w:pPr>
            <w:r>
              <w:rPr>
                <w:rFonts w:ascii="仿宋_GB2312" w:hAnsi="仿宋_GB2312" w:cs="仿宋_GB2312" w:eastAsia="仿宋_GB2312"/>
                <w:sz w:val="24"/>
              </w:rPr>
              <w:t>风雨操场：利用操场北侧塌陷区域开挖后的地下空间，新建地下风雨操场约</w:t>
            </w:r>
            <w:r>
              <w:rPr>
                <w:rFonts w:ascii="仿宋_GB2312" w:hAnsi="仿宋_GB2312" w:cs="仿宋_GB2312" w:eastAsia="仿宋_GB2312"/>
                <w:sz w:val="24"/>
              </w:rPr>
              <w:t>7200㎡，内部主要功能：风雨操场、社团用房、车库及配套用房等。</w:t>
            </w:r>
          </w:p>
          <w:p>
            <w:pPr>
              <w:pStyle w:val="null3"/>
              <w:jc w:val="left"/>
            </w:pPr>
            <w:r>
              <w:rPr>
                <w:rFonts w:ascii="仿宋_GB2312" w:hAnsi="仿宋_GB2312" w:cs="仿宋_GB2312" w:eastAsia="仿宋_GB2312"/>
                <w:sz w:val="24"/>
              </w:rPr>
              <w:t>主席台：新建操场主席台，含准备间及设备间、舞台约</w:t>
            </w:r>
            <w:r>
              <w:rPr>
                <w:rFonts w:ascii="仿宋_GB2312" w:hAnsi="仿宋_GB2312" w:cs="仿宋_GB2312" w:eastAsia="仿宋_GB2312"/>
                <w:sz w:val="24"/>
              </w:rPr>
              <w:t>300㎡。准备间、设备间、舞台及看台顶采用张拉膜顶棚。</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4）室外道路改造</w:t>
            </w:r>
          </w:p>
          <w:p>
            <w:pPr>
              <w:pStyle w:val="null3"/>
              <w:ind w:firstLine="300"/>
              <w:jc w:val="left"/>
            </w:pPr>
            <w:r>
              <w:rPr>
                <w:rFonts w:ascii="仿宋_GB2312" w:hAnsi="仿宋_GB2312" w:cs="仿宋_GB2312" w:eastAsia="仿宋_GB2312"/>
                <w:sz w:val="24"/>
              </w:rPr>
              <w:t>修缮校园内部环形道路，打通东侧堵塞道路共约</w:t>
            </w:r>
            <w:r>
              <w:rPr>
                <w:rFonts w:ascii="仿宋_GB2312" w:hAnsi="仿宋_GB2312" w:cs="仿宋_GB2312" w:eastAsia="仿宋_GB2312"/>
                <w:sz w:val="24"/>
              </w:rPr>
              <w:t>5000㎡、道路均按消防通行标准设计。改造现状发电机房，使其满足建设后的使用要求。</w:t>
            </w:r>
          </w:p>
          <w:p>
            <w:pPr>
              <w:pStyle w:val="null3"/>
              <w:jc w:val="both"/>
            </w:pPr>
            <w:r>
              <w:rPr>
                <w:rFonts w:ascii="仿宋_GB2312" w:hAnsi="仿宋_GB2312" w:cs="仿宋_GB2312" w:eastAsia="仿宋_GB2312"/>
                <w:sz w:val="24"/>
                <w:b/>
              </w:rPr>
              <w:t>二、设计依据</w:t>
            </w:r>
          </w:p>
          <w:p>
            <w:pPr>
              <w:pStyle w:val="null3"/>
              <w:jc w:val="left"/>
            </w:pPr>
            <w:r>
              <w:rPr>
                <w:rFonts w:ascii="仿宋_GB2312" w:hAnsi="仿宋_GB2312" w:cs="仿宋_GB2312" w:eastAsia="仿宋_GB2312"/>
                <w:sz w:val="24"/>
              </w:rPr>
              <w:t>1. 国家及地方现行相关规范、标准、强制性条文</w:t>
            </w:r>
          </w:p>
          <w:p>
            <w:pPr>
              <w:pStyle w:val="null3"/>
              <w:jc w:val="left"/>
            </w:pPr>
            <w:r>
              <w:rPr>
                <w:rFonts w:ascii="仿宋_GB2312" w:hAnsi="仿宋_GB2312" w:cs="仿宋_GB2312" w:eastAsia="仿宋_GB2312"/>
                <w:sz w:val="24"/>
              </w:rPr>
              <w:t>2. 甲方提供的场地资料、需求说明、前期审批文件</w:t>
            </w:r>
          </w:p>
          <w:p>
            <w:pPr>
              <w:pStyle w:val="null3"/>
              <w:jc w:val="left"/>
            </w:pPr>
            <w:r>
              <w:rPr>
                <w:rFonts w:ascii="仿宋_GB2312" w:hAnsi="仿宋_GB2312" w:cs="仿宋_GB2312" w:eastAsia="仿宋_GB2312"/>
                <w:sz w:val="24"/>
              </w:rPr>
              <w:t>3. 本任务书约定及双方确认的沟通纪要</w:t>
            </w:r>
          </w:p>
          <w:p>
            <w:pPr>
              <w:pStyle w:val="null3"/>
              <w:jc w:val="both"/>
            </w:pPr>
            <w:r>
              <w:rPr>
                <w:rFonts w:ascii="仿宋_GB2312" w:hAnsi="仿宋_GB2312" w:cs="仿宋_GB2312" w:eastAsia="仿宋_GB2312"/>
                <w:sz w:val="24"/>
                <w:b/>
              </w:rPr>
              <w:t>三、设计要求</w:t>
            </w:r>
          </w:p>
          <w:p>
            <w:pPr>
              <w:pStyle w:val="null3"/>
              <w:jc w:val="left"/>
            </w:pPr>
            <w:r>
              <w:rPr>
                <w:rFonts w:ascii="仿宋_GB2312" w:hAnsi="仿宋_GB2312" w:cs="仿宋_GB2312" w:eastAsia="仿宋_GB2312"/>
                <w:sz w:val="24"/>
              </w:rPr>
              <w:t>1. 满足安全合规、功能实用、经济合理、落地性强核心原则；</w:t>
            </w:r>
          </w:p>
          <w:p>
            <w:pPr>
              <w:pStyle w:val="null3"/>
              <w:jc w:val="left"/>
            </w:pPr>
            <w:r>
              <w:rPr>
                <w:rFonts w:ascii="仿宋_GB2312" w:hAnsi="仿宋_GB2312" w:cs="仿宋_GB2312" w:eastAsia="仿宋_GB2312"/>
                <w:sz w:val="24"/>
              </w:rPr>
              <w:t>2. 设计风格、功能布局、技术参数符合甲方实际使用需求；</w:t>
            </w:r>
          </w:p>
          <w:p>
            <w:pPr>
              <w:pStyle w:val="null3"/>
              <w:jc w:val="left"/>
            </w:pPr>
            <w:r>
              <w:rPr>
                <w:rFonts w:ascii="仿宋_GB2312" w:hAnsi="仿宋_GB2312" w:cs="仿宋_GB2312" w:eastAsia="仿宋_GB2312"/>
                <w:sz w:val="24"/>
              </w:rPr>
              <w:t>3. 图纸完整清晰、无错漏，深度满足施工及报审要求；</w:t>
            </w:r>
          </w:p>
          <w:p>
            <w:pPr>
              <w:pStyle w:val="null3"/>
              <w:jc w:val="left"/>
            </w:pPr>
            <w:r>
              <w:rPr>
                <w:rFonts w:ascii="仿宋_GB2312" w:hAnsi="仿宋_GB2312" w:cs="仿宋_GB2312" w:eastAsia="仿宋_GB2312"/>
                <w:sz w:val="24"/>
              </w:rPr>
              <w:t>4. 严格控制成本，不超约定设计标准与投资限额。</w:t>
            </w:r>
          </w:p>
          <w:p>
            <w:pPr>
              <w:pStyle w:val="null3"/>
              <w:jc w:val="left"/>
            </w:pPr>
            <w:r>
              <w:rPr>
                <w:rFonts w:ascii="仿宋_GB2312" w:hAnsi="仿宋_GB2312" w:cs="仿宋_GB2312" w:eastAsia="仿宋_GB2312"/>
                <w:sz w:val="24"/>
                <w:b/>
              </w:rPr>
              <w:t>四、设计成果交付要求</w:t>
            </w:r>
          </w:p>
          <w:p>
            <w:pPr>
              <w:pStyle w:val="null3"/>
              <w:jc w:val="left"/>
            </w:pPr>
            <w:r>
              <w:rPr>
                <w:rFonts w:ascii="仿宋_GB2312" w:hAnsi="仿宋_GB2312" w:cs="仿宋_GB2312" w:eastAsia="仿宋_GB2312"/>
                <w:sz w:val="24"/>
              </w:rPr>
              <w:t>1. 全套各专业图纸（蓝图+电子版）及报建所需相关资料；</w:t>
            </w:r>
          </w:p>
          <w:p>
            <w:pPr>
              <w:pStyle w:val="null3"/>
              <w:jc w:val="left"/>
            </w:pPr>
            <w:r>
              <w:rPr>
                <w:rFonts w:ascii="仿宋_GB2312" w:hAnsi="仿宋_GB2312" w:cs="仿宋_GB2312" w:eastAsia="仿宋_GB2312"/>
                <w:sz w:val="24"/>
              </w:rPr>
              <w:t>2. 图纸会审、设计变更等相关技术文件。</w:t>
            </w:r>
          </w:p>
          <w:p>
            <w:pPr>
              <w:pStyle w:val="null3"/>
              <w:jc w:val="left"/>
            </w:pPr>
            <w:r>
              <w:rPr>
                <w:rFonts w:ascii="仿宋_GB2312" w:hAnsi="仿宋_GB2312" w:cs="仿宋_GB2312" w:eastAsia="仿宋_GB2312"/>
                <w:sz w:val="24"/>
                <w:b/>
              </w:rPr>
              <w:t>五、设计配合与服务要求</w:t>
            </w:r>
          </w:p>
          <w:p>
            <w:pPr>
              <w:pStyle w:val="null3"/>
            </w:pPr>
            <w:r>
              <w:rPr>
                <w:rFonts w:ascii="仿宋_GB2312" w:hAnsi="仿宋_GB2312" w:cs="仿宋_GB2312" w:eastAsia="仿宋_GB2312"/>
                <w:sz w:val="24"/>
              </w:rPr>
              <w:t>配合参与图纸会审、技术交底，详细解答施工单位、监理单位、建设单位的图纸疑问；及时处理施工过程中的设计问题，按需赴现场解决技术难题；配合完成分项工程验收、主体验收、竣工验收；全程配合完成各项审批及技术衔接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供应商在磋商报价时，该项目响应总价不得超过项目最高限价，若响应总报价及各分项报价高于其各自最高限价的，其响应文件将按无效处理。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西安市临潼区书院东街6号华清中学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经甲方确认，完成设计任务50%后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交付所有项目图纸终稿，且获得审批后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待工程竣工验收合格后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 陕西省财政厅陕财办采函〔2023〕14号文”《陕西省财政厅关于省级预算单位全面推行政府采购项目电子化交易的通知》“ 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3、落实政府采购政策需满足的资格要求：依据 《中华人民共和国政府采购法》和《中华人民共和国政府采购法实施条例》的有关规定，落实政府采购“优先购买节能环保产品、扶持小微企业、监狱企业、福利企业”等相关政策。1、《政府采购促进中小企业发展管理办法》（财库〔2020〕46 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 〔2019〕19号）；8、《财政部、农业农村部、国家乡村振兴局关于运用政府采购政策支持乡村产业振兴的通知》（财库 〔2021〕19号）；9、《陕西省中小企业政府采购信用融资办法》（陕财办采〔2018〕23号）、陕西省财政厅、中国人民 银行西安分行关于深入推进政府采购信用融资业务的通知（陕财办采〔2023〕5号）；10、《关于政府采购支持绿色建材促进建筑品质提升试点工作的通知》（财库〔2020〕31号）；11、融资平台：根据《陕西省财政厅关于加快推进我省中小企 业政府采购信用融资工作的通知》陕财办采〔2020〕15号文件精神，有融资需求的供应商可根据自身情况，在陕西省政府采购信用融资平台（含各市分平台） 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直接参加磋商的，须出具法人身份证，并与营业执照上信息一致。法定代表人授权代表参加磋商的，须出具法定代表人授权书及授权代表身份证。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供应商须具有建设行政主管部门核发的工程设计综合甲级资质或建筑行业设计乙级及以上或建筑行业（建筑工程）乙级及以上资质；</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拟派项目设计负责人须具备国家一级注册建筑师执业资格，在本单位注册</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提供《基本资格条件承诺函》(详见资格证明文件中相关格式) 备注：如不提供《基本资格条件承诺函》的供应商需提交以下资格证明文件:①财务状况报告：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任意税种），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供应商未被“信用中国”网站(www.sr&amp;mtchin8.gov.&amp;)列入重大税收违法失信主体，未被《中国执行信息公开网》(http://zxgk.court.gov.cn/shixin/)列入失信被执行人，未被中国政府采购网(www.cc.gov.sn)列入政府采购严重违法失信行为记录名单。</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 、管理关系的，则磋商无效。</w:t>
            </w:r>
          </w:p>
        </w:tc>
        <w:tc>
          <w:tcPr>
            <w:tcW w:type="dxa" w:w="1661"/>
          </w:tcPr>
          <w:p>
            <w:pPr>
              <w:pStyle w:val="null3"/>
            </w:pPr>
            <w:r>
              <w:rPr>
                <w:rFonts w:ascii="仿宋_GB2312" w:hAnsi="仿宋_GB2312" w:cs="仿宋_GB2312" w:eastAsia="仿宋_GB2312"/>
              </w:rPr>
              <w:t>资格文件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供应商应提供《非联合体投标声明》，视为独立投标。</w:t>
            </w:r>
          </w:p>
        </w:tc>
        <w:tc>
          <w:tcPr>
            <w:tcW w:type="dxa" w:w="1661"/>
          </w:tcPr>
          <w:p>
            <w:pPr>
              <w:pStyle w:val="null3"/>
            </w:pPr>
            <w:r>
              <w:rPr>
                <w:rFonts w:ascii="仿宋_GB2312" w:hAnsi="仿宋_GB2312" w:cs="仿宋_GB2312" w:eastAsia="仿宋_GB2312"/>
              </w:rPr>
              <w:t>资格文件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项目理解及针对本项目的任务分析</w:t>
            </w:r>
          </w:p>
        </w:tc>
        <w:tc>
          <w:tcPr>
            <w:tcW w:type="dxa" w:w="2492"/>
          </w:tcPr>
          <w:p>
            <w:pPr>
              <w:pStyle w:val="null3"/>
            </w:pPr>
            <w:r>
              <w:rPr>
                <w:rFonts w:ascii="仿宋_GB2312" w:hAnsi="仿宋_GB2312" w:cs="仿宋_GB2312" w:eastAsia="仿宋_GB2312"/>
              </w:rPr>
              <w:t>1.评审内容 供应商描述对项目的理 解及针对本项目的任务分析 2.评审标准 ①全面性：掌握项目各项工作要求，内容全面完善。 ②准确性： 了解项目真实情况。 ③针对性：能够紧扣项目实际情况，内容科学合理； 3.赋分标准： ①供应商描述对项目的理解：每完全满足一项评审标准得2分，满分6分；有一项缺陷扣1分。 ②针对本项目的任务分析 ：每完全满足一项评审标准得2分 , 满分6分；有一项缺陷扣1分。 4 . 以上内容未提供得0分。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1.评审内容 供应商描述总体设计思路及方案 2.评审标准 ①可实施性：实施步骤清晰、计划合理，可实施性强。 ②合理性：切合本项目实际情况，设计合理。 ③针对性：能够紧扣项目实际情况，内容科学合理 ; ④全面性：内容全面完善，各专业考虑周全。 3.赋分标准： ①总体设计思路：每完全满足一项评审标准得2分，满分8分；有一项缺陷扣1分。 ②设计方案：每完全满足一项评审标准得2分，满分8分；有一项缺陷扣1分。 4. 以上内容未提供得0分。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人员配备措施</w:t>
            </w:r>
          </w:p>
        </w:tc>
        <w:tc>
          <w:tcPr>
            <w:tcW w:type="dxa" w:w="2492"/>
          </w:tcPr>
          <w:p>
            <w:pPr>
              <w:pStyle w:val="null3"/>
            </w:pPr>
            <w:r>
              <w:rPr>
                <w:rFonts w:ascii="仿宋_GB2312" w:hAnsi="仿宋_GB2312" w:cs="仿宋_GB2312" w:eastAsia="仿宋_GB2312"/>
              </w:rPr>
              <w:t>1.评审内容 供应商提供本项目人员配备措施包括①人员组织架构②岗位设置 2.评审标准 ①可实施性：实施步骤清晰、计划合理，可实施性强。 ②合理性：切合本项目实际情况，合理可行。 3.赋分标准： ①人员组织架构：每完全满足一项评审标准得2分，满分4分；有一项缺陷扣1分。 ②岗位设置：每完全满足一项评审标准得3分，满分6分；有一项缺陷扣1分。 以上内容未提供得0分。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1.评审内容 进度计划及保障措施 2 .评审标准 ①可实施性：实施步骤 清晰、计划合理，可实施性强。 ②合理性：切合本项目实际情况，合理可行。 3.赋分标准： ①进度计划 ：每完全满足一项评审标准得3分 , 满分6分；有一项缺陷扣1分。 ②保障措施：每完全满足一项评审标准得3分，满分6分；有一项缺陷扣1分。 4. 以上内容未提供得0分。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质量保障措施 2.评审标准 ①可实施性：实施步骤清晰、计划合理，可实施性强。 ②合理性 ：切合本项目实际情况，合理可行 。③科学性：质量保证有科学的管理措施。 3.赋分标准： 每完全满足一项评审标准得3分，满分9分；有一项缺陷扣1分。 4. 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1.评审内容 供应商提供针对本项目的设计工作重点、难点分析及解决措施。 2.评审标准 （1）完整性：方案须全面，对评审内容中的要求有详细描述及说明； （2）可实施性：切合本项目实际情况，实施步骤清晰、合理； （3）针对性：方案能够紧扣项目实际情况，内容科学合理。 3.赋分标准（满分9分） ：每完全满足一项评审标准得3分 ；有一项缺陷扣1分。 4. 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1.评审内容 为更好的服务于本项目 , 供应商提出适用本项目设计阶段工程造价控制措施：①对本项目服务工作中的常见问题进行梳理；②针对问题提供的的造价控制措施。 2.评审标准： ①可实施性：切合本项目实际情况，分析全面； ②针对性：控制措施能够紧扣项目实际情况，内容科学合理； 3.赋分标准： ①常见问题进行梳理：每完全满足一个评审标准得2分，满分4分；有一项缺陷扣1分。 ②造价控制措施:每完全满足一个评审标准得3分， 满分6分；有一项缺陷扣1分。 4.以上内容未提供得0分。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供应商提供针对本项目的服务承诺。 2.评审标准 （1）完整性：方案须全面，对评审内容中的要求有详细描述及说明； （2）可实施性：切合本项目实际情况， 实施步骤清晰、合理； （3）针对性：方案能够紧扣项目实际情况， 内容科学合理。 3.赋分标准（满分6分）：每完全满足一项评审标准得2分；有一项缺陷扣1分。 4. 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 年 1 月 1 日至今类似项目业绩（建设工程设计） , 1个得3分，最高6分。（以合同或协议签订日期为准，响应文件中附加盖公章的合同或协议复印件，否则不作为评审依据）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经资格审查、符合性审查合格的磋商响应文件，其磋商报价为有效磋商报价，满足磋商文件要求且磋商价格最低的投标报价为评标基准价 , 其价格分为满分。 价格分按照下列公式计算。 磋商报价得分=（评标基准价/磋商报价）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详见附件：合同文本（临潼华清中学设计）.docx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