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版本号：ZRD-2026XAZC66620260714001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校园改造维修及操场塑胶跑道改造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ZRD-2026XAZC666</w:t>
      </w:r>
      <w:r>
        <w:br/>
      </w:r>
      <w:r>
        <w:br/>
      </w:r>
      <w:r>
        <w:br/>
      </w:r>
    </w:p>
    <w:p>
      <w:pPr>
        <w:pStyle w:val="null3"/>
        <w:jc w:val="center"/>
        <w:outlineLvl w:val="2"/>
      </w:pPr>
      <w:r>
        <w:rPr>
          <w:rFonts w:ascii="仿宋_GB2312" w:hAnsi="仿宋_GB2312" w:cs="仿宋_GB2312" w:eastAsia="仿宋_GB2312"/>
          <w:sz w:val="28"/>
          <w:b/>
        </w:rPr>
        <w:t>西安高新区第六学校</w:t>
      </w:r>
    </w:p>
    <w:p>
      <w:pPr>
        <w:pStyle w:val="null3"/>
        <w:jc w:val="center"/>
        <w:outlineLvl w:val="2"/>
      </w:pPr>
      <w:r>
        <w:rPr>
          <w:rFonts w:ascii="仿宋_GB2312" w:hAnsi="仿宋_GB2312" w:cs="仿宋_GB2312" w:eastAsia="仿宋_GB2312"/>
          <w:sz w:val="28"/>
          <w:b/>
        </w:rPr>
        <w:t>中瑞达项目管理有限公司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中瑞达项目管理有限公司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西安高新区第六学校</w:t>
      </w:r>
      <w:r>
        <w:rPr>
          <w:rFonts w:ascii="仿宋_GB2312" w:hAnsi="仿宋_GB2312" w:cs="仿宋_GB2312" w:eastAsia="仿宋_GB2312"/>
        </w:rPr>
        <w:t>委托，拟对</w:t>
      </w:r>
      <w:r>
        <w:rPr>
          <w:rFonts w:ascii="仿宋_GB2312" w:hAnsi="仿宋_GB2312" w:cs="仿宋_GB2312" w:eastAsia="仿宋_GB2312"/>
        </w:rPr>
        <w:t>校园改造维修及操场塑胶跑道改造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ZRD-2026XAZC666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校园改造维修及操场塑胶跑道改造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校园改造维修及操场塑胶跑道改造，具体内容详见工程量清单。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采购包1（校园改造维修及操场塑胶跑道改造）：属于专门面向中小企业采购。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1、供应商资质：供应商应具备建筑工程施工总承包三级及以上资质（或建筑装修装饰工程专业承包二级及以上），并持有有效安全生产许可证</w:t>
      </w:r>
    </w:p>
    <w:p>
      <w:pPr>
        <w:pStyle w:val="null3"/>
      </w:pPr>
      <w:r>
        <w:rPr>
          <w:rFonts w:ascii="仿宋_GB2312" w:hAnsi="仿宋_GB2312" w:cs="仿宋_GB2312" w:eastAsia="仿宋_GB2312"/>
        </w:rPr>
        <w:t>2、项目经理资质：拟派项目经理须具备建筑工程专业二级及以上注册建造师资格，持有效安全生产考核合格证书（B证） ，且无在建工程</w:t>
      </w:r>
    </w:p>
    <w:p>
      <w:pPr>
        <w:pStyle w:val="null3"/>
      </w:pPr>
      <w:r>
        <w:rPr>
          <w:rFonts w:ascii="仿宋_GB2312" w:hAnsi="仿宋_GB2312" w:cs="仿宋_GB2312" w:eastAsia="仿宋_GB2312"/>
        </w:rPr>
        <w:t>3、法人身份证明或法定代表人授权书：法定代表人授权书及被授权人身份证复印件（法定代表人直接参加投标，须提供法定代表人身份证明及身份证复印件）</w:t>
      </w:r>
    </w:p>
    <w:p>
      <w:pPr>
        <w:pStyle w:val="null3"/>
      </w:pPr>
      <w:r>
        <w:rPr>
          <w:rFonts w:ascii="仿宋_GB2312" w:hAnsi="仿宋_GB2312" w:cs="仿宋_GB2312" w:eastAsia="仿宋_GB2312"/>
        </w:rPr>
        <w:t>4、信用记录：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rFonts w:ascii="仿宋_GB2312" w:hAnsi="仿宋_GB2312" w:cs="仿宋_GB2312" w:eastAsia="仿宋_GB2312"/>
        </w:rPr>
        <w:t>5、本项目专门面向中小企业采购：本项目专门面向中小企业采购（残疾人福利性单位、监狱企业视同小型、微型企业）[供应商需提供《中小企业声明函》（监狱企业的证明文件或《残疾人福利性单位声明函》）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西安高新技术产业开发区集贤产业园振兴路以北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029-85108523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中瑞达项目管理有限公司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陕西省西安市经济技术开发区凤城五路与明光路十字西北角凤城五路105号恒石国际B座902室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昌工、郭工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029-86263596、15039820627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采购包1：1,660,490.00元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招标服务费参照国家计委关于印发《招标代理服务收费管理暂行办法》的通知(计价格{2002}1980号）、《国家发展和改革委员会办公厅关于招标代理服务收费有关问题的通知》（发改办价格{2003}857号）、《关于放开部分建设项目服务收费标准有关问题的通知》（发改价格{2014} 1573号）标准收费。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西安高新区第六学校</w:t>
      </w:r>
      <w:r>
        <w:rPr>
          <w:rFonts w:ascii="仿宋_GB2312" w:hAnsi="仿宋_GB2312" w:cs="仿宋_GB2312" w:eastAsia="仿宋_GB2312"/>
        </w:rPr>
        <w:t>和</w:t>
      </w:r>
      <w:r>
        <w:rPr>
          <w:rFonts w:ascii="仿宋_GB2312" w:hAnsi="仿宋_GB2312" w:cs="仿宋_GB2312" w:eastAsia="仿宋_GB2312"/>
        </w:rPr>
        <w:t>中瑞达项目管理有限公司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西安高新区第六学校</w:t>
      </w:r>
      <w:r>
        <w:rPr>
          <w:rFonts w:ascii="仿宋_GB2312" w:hAnsi="仿宋_GB2312" w:cs="仿宋_GB2312" w:eastAsia="仿宋_GB2312"/>
        </w:rPr>
        <w:t>负责解释。除上述磋商文件内容，其他内容由</w:t>
      </w:r>
      <w:r>
        <w:rPr>
          <w:rFonts w:ascii="仿宋_GB2312" w:hAnsi="仿宋_GB2312" w:cs="仿宋_GB2312" w:eastAsia="仿宋_GB2312"/>
        </w:rPr>
        <w:t>中瑞达项目管理有限公司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西安高新区第六学校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中瑞达项目管理有限公司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工程质量评定必须达到合格标准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联系人：昌工</w:t>
      </w:r>
    </w:p>
    <w:p>
      <w:pPr>
        <w:pStyle w:val="null3"/>
      </w:pPr>
      <w:r>
        <w:rPr>
          <w:rFonts w:ascii="仿宋_GB2312" w:hAnsi="仿宋_GB2312" w:cs="仿宋_GB2312" w:eastAsia="仿宋_GB2312"/>
        </w:rPr>
        <w:t>联系电话：15039820627</w:t>
      </w:r>
    </w:p>
    <w:p>
      <w:pPr>
        <w:pStyle w:val="null3"/>
      </w:pPr>
      <w:r>
        <w:rPr>
          <w:rFonts w:ascii="仿宋_GB2312" w:hAnsi="仿宋_GB2312" w:cs="仿宋_GB2312" w:eastAsia="仿宋_GB2312"/>
        </w:rPr>
        <w:t>地址：西安市经济技术开发区凤城五路与明光路十字西北角凤城五路105号恒石国际B座902室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1,660,490.00</w:t>
      </w:r>
    </w:p>
    <w:p>
      <w:pPr>
        <w:pStyle w:val="null3"/>
      </w:pPr>
      <w:r>
        <w:rPr>
          <w:rFonts w:ascii="仿宋_GB2312" w:hAnsi="仿宋_GB2312" w:cs="仿宋_GB2312" w:eastAsia="仿宋_GB2312"/>
        </w:rPr>
        <w:t>采购包最高限价（元）: 1,660,490.00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校园改造维修及操场塑胶跑道改造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1,660,490.00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标的名称：校园改造维修及操场塑胶跑道改造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项目概况：校园改造维修及操场塑胶跑道改造，具体内容详见工程量清单。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工期：</w:t>
            </w:r>
            <w:r>
              <w:rPr>
                <w:rFonts w:ascii="仿宋_GB2312" w:hAnsi="仿宋_GB2312" w:cs="仿宋_GB2312" w:eastAsia="仿宋_GB2312"/>
                <w:sz w:val="24"/>
              </w:rPr>
              <w:t>45</w:t>
            </w:r>
            <w:r>
              <w:rPr>
                <w:rFonts w:ascii="仿宋_GB2312" w:hAnsi="仿宋_GB2312" w:cs="仿宋_GB2312" w:eastAsia="仿宋_GB2312"/>
                <w:sz w:val="24"/>
              </w:rPr>
              <w:t>日历日。</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质量要求：符合国家有关验收规范，工程质量达到合格标准。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符合国家有关验收规范，工程质量达到合格标准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成交单位在领取成交通知书时提供一正两副纸质竞争性磋商响应文件及电子竞争性磋商响应文件一份（U 盘或移动硬盘；电子响应文件为Word版本和PDF版本，PDF文件为签章版）。装订：纸质竞争性磋商响应文件采用书籍（胶装）方式装订成册，与电子竞争性磋商响应文件一致的签字、盖章的完整版本。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财务状况报告：①可提供2024年度或2025年度经审计的财务报告（包含审计报告和审计报告中所涉及的财务报表和报表附注），②可提供2024年度或2025年度供应商完整的全套财务报表（应当包括资产负债表、利润表、现金流量表、所有者权益变动表、附注），③可提供截至投标文件提交截止日一年内银行出具的资信证明，④供应商注册时间截至投标文件提交截止日不足一年的，也可提供在工商管理部门备案的公司章程。不得要求供应商提供证明财务报告中签字签章人或者第三方机构的身份证明、财务报告中数据信息真实性有效性的证明材料； 2.税收缴纳证明：提供截止至磋商时间前一年内任意一个月的缴费证明；（依法免税的供应商应提供相关文件证明）； 3.社会保障资金缴纳证明：提供截止至磋商时间前一年内任意一个月的社保缴纳凭据或社保机构开具的社会保险参保缴纳情况证明；（依法不需要缴纳社会保障资金的供应商应提供相关证明） 4.提供具有履行本合同所必需的设备和专业技术能力的承诺；（提供承诺，加盖供应商公章） 5.提供参加政府采购活动前三年内在经营活动中没有重大违法记录的书面声明。（提供书面声明，加盖供应商公章） 6. 具有独立承担民事责任能力的法人、其他组织或自然人，并出具合法有效的营业执照或事业单位法人证书等国家规定的相关证明，自然人参与的提供其身份证明；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年度或2025年度经审计的财务报告（包含审计报告和审计报告中所涉及的财务报表和报表附注），②可提供2024年度或2025年度供应商完整的全套财务报表（应当包括资产负债表、利润表、现金流量表、所有者权益变动表、附注），③可提供截至投标文件提交截止日一年内银行出具的资信证明，④供应商注册时间截至投标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二、资格证明文件.docx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供应商应具备建筑工程施工总承包三级及以上资质（或建筑装修装饰工程专业承包二级及以上），并持有有效安全生产许可证</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拟派项目经理须具备建筑工程专业二级及以上注册建造师资格，持有效安全生产考核合格证书（B证） ，且无在建工程</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法人身份证明或法定代表人授权书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rFonts w:ascii="仿宋_GB2312" w:hAnsi="仿宋_GB2312" w:cs="仿宋_GB2312" w:eastAsia="仿宋_GB2312"/>
              </w:rPr>
              <w:t>二、资格证明文件.docx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二、资格证明文件.docx 技术服务合同条款及其他商务要求应答表 三、技术方案.docx 强制优先采购产品承诺函 响应文件封面 项目管理机构组成表 残疾人福利性单位声明函 报价函 一、开标一览表.docx 标的清单 供应商类似项目业绩一览表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关键页按要求进行签字或盖章</w:t>
            </w:r>
          </w:p>
        </w:tc>
        <w:tc>
          <w:tcPr>
            <w:tcW w:type="dxa" w:w="1661"/>
          </w:tcPr>
          <w:p>
            <w:pPr>
              <w:pStyle w:val="null3"/>
            </w:pPr>
            <w:r>
              <w:rPr>
                <w:rFonts w:ascii="仿宋_GB2312" w:hAnsi="仿宋_GB2312" w:cs="仿宋_GB2312" w:eastAsia="仿宋_GB2312"/>
              </w:rPr>
              <w:t>已标价工程量清单 中小企业声明函 二、资格证明文件.docx 技术服务合同条款及其他商务要求应答表 三、技术方案.docx 强制优先采购产品承诺函 响应文件封面 项目管理机构组成表 残疾人福利性单位声明函 报价函 一、开标一览表.docx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已标价工程量清单 报价函 一、开标一览表.docx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一、开标一览表.docx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一、开标一览表.docx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 2023年1月1日至今承接的类似业绩证明，每提供一份得2分，最高得 10分； 评审依据：以合同扫描件或中标通知书为准。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结合本项目技术标准和要求，制定详细的施工方案： ①整体施工流程②关键部位施工准备工作③施工方法④施工工艺⑤材料进出场。 每有一项内容分值为2分（其中“项”指上述条款中①②③④⑤条内容）。 每有一项内容虽阐述但未贴合项目实际情况进行论述，或内容中未包括具体实施细节及措施，或内容中存在文字表述错误，扣0.5分；每有一项内容未阐述或不符合项目实际情况且未提供具体实施细节及措施，扣1分。每缺少一项内容，该项不得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三、技术方案.docx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内容包括但不限于①团队人员配置明细②人员岗位职责分工③专业岗位配置④团队人员管理制度。 每有一项内容分值为3分（其中“项”指上述条款中①②③④条内容）。 每有一项内容虽阐述但未贴合项目实际情况进行论述，或内容中未包括具体实施细节及措施，或内容中存在文字表述错误，扣0.5分；每有一项内容未阐述或不符合项目实际情况且未提供具体实施细节及措施，扣1分。每缺少一项内容，该项不得分。本项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三、技术方案.docx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供应商结合工程环境、特点，提供针对本项目的安全施工措施。包括但不限于①安全管理人员配备②安全生产管理制度③各道工序安全技术措施。 每有一项内容分值为2分（其中“项”指上述条款中①②③条内容）。 每有一项内容虽阐述但未贴合项目实际情况进行论述，或内容中未包括具体实施细节及措施，或内容中存在文字表述错误，扣0.5分；每有一项内容未阐述或不符合项目实际情况且未提供具体实施细节及措施，扣1分。每缺少一项内容，该项不得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三、技术方案.docx</w:t>
            </w:r>
          </w:p>
        </w:tc>
      </w:tr>
      <w:tr>
        <w:tc>
          <w:tcPr>
            <w:tcW w:type="dxa" w:w="831"/>
            <w:vMerge/>
          </w:tcPr>
          <w:p/>
        </w:tc>
        <w:tc>
          <w:tcPr>
            <w:tcW w:type="dxa" w:w="1661"/>
          </w:tcPr>
          <w:p>
            <w:pPr>
              <w:pStyle w:val="null3"/>
            </w:pPr>
            <w:r>
              <w:rPr>
                <w:rFonts w:ascii="仿宋_GB2312" w:hAnsi="仿宋_GB2312" w:cs="仿宋_GB2312" w:eastAsia="仿宋_GB2312"/>
              </w:rPr>
              <w:t>文明施工与环境保护</w:t>
            </w:r>
          </w:p>
        </w:tc>
        <w:tc>
          <w:tcPr>
            <w:tcW w:type="dxa" w:w="2492"/>
          </w:tcPr>
          <w:p>
            <w:pPr>
              <w:pStyle w:val="null3"/>
            </w:pPr>
            <w:r>
              <w:rPr>
                <w:rFonts w:ascii="仿宋_GB2312" w:hAnsi="仿宋_GB2312" w:cs="仿宋_GB2312" w:eastAsia="仿宋_GB2312"/>
              </w:rPr>
              <w:t>供应商结合工程环境、特点，提供针对本项目的文明施工措施。包括但不限于①文明施工措施②环境保护措施 每有一项内容分值为2分（其中“项”指上述条款中①②条内容）。 每有一项内容虽阐述但未贴合项目实际情况进行论述，或内容中未包括具体实施细节及措施，或内容中存在文字表述错误，扣0.5分；每有一项内容未阐述或不符合项目实际情况且未提供具体实施细节及措施，扣1分。每缺少一项内容，该项不得分。本项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三、技术方案.docx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内容包括但不限于①项目实施进度目标分析；②项目进度保障措施；③突发情况的应急方案等。 每有一项内容分值为3分（其中“项”指上述条款中①②③条内容）。 每有一项内容虽阐述但未贴合项目实际情况进行论述，或内容中未包括具体实施细节及措施，或内容中存在文字表述错误，扣0.5分；每有一项内容未阐述或不符合项目实际情况且未提供具体实施细节及措施，扣1分。每缺少一项内容，该项不得分。本项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内容包括但不限于①质量保证体系及质量目标；②质量过程控制；③保密安全制度；④成果质量保证措施等。 每有一项内容分值为2.5分（其中“项”指上述条款中①②③条内容）。 每有一项内容虽阐述但未贴合项目实际情况进行论述，或内容中未包括具体实施细节及措施，或内容中存在文字表述错误，扣0.5分；每有一项内容未阐述或不符合项目实际情况且未提供具体实施细节及措施，扣1分。每缺少一项内容，该项不得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对本项目提供资源配置计划，包括但不限于：①拟投入的主要施工机械设备计划；②主要材料进场计划；③劳动力投入计划。 每有一项内容分值为3分（其中“项”指上述条款中①②③条内容）。 每有一项内容虽阐述但未贴合项目实际情况进行论述，或内容中未包括具体实施细节及措施，或内容中存在文字表述错误，扣0.5分；每有一项内容未阐述或不符合项目实际情况且未提供具体实施细节及措施，扣1分。每缺少一项内容，该项不得分。本项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其他供应商的价格分按照下列公式计算：磋商报价得分＝（磋商基准价/磋商报价）×30。小数点后保留2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详见附件：一、开标一览表.docx</w:t>
      </w:r>
    </w:p>
    <w:p>
      <w:pPr>
        <w:pStyle w:val="null3"/>
        <w:ind w:firstLine="960"/>
      </w:pPr>
      <w:r>
        <w:rPr>
          <w:rFonts w:ascii="仿宋_GB2312" w:hAnsi="仿宋_GB2312" w:cs="仿宋_GB2312" w:eastAsia="仿宋_GB2312"/>
        </w:rPr>
        <w:t>详见附件：二、资格证明文件.docx</w:t>
      </w:r>
    </w:p>
    <w:p>
      <w:pPr>
        <w:pStyle w:val="null3"/>
        <w:ind w:firstLine="960"/>
      </w:pPr>
      <w:r>
        <w:rPr>
          <w:rFonts w:ascii="仿宋_GB2312" w:hAnsi="仿宋_GB2312" w:cs="仿宋_GB2312" w:eastAsia="仿宋_GB2312"/>
        </w:rPr>
        <w:t>详见附件：三、技术方案.docx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