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版本号：HSGJ2026-18120260706001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2026年白水县雷牙镇南张村道路提升改造项目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HSGJ2026-181</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2026年白水县雷牙镇南张村道路提升改造项目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HSGJ2026-181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2026年白水县雷牙镇南张村道路提升改造项目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2026年白水县雷牙镇南张村道路提升改造项目，具体内容详见第三章。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采购包1（2026年白水县雷牙镇南张村道路提升改造项目）：属于专门面向中小企业采购。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4、税收缴纳证明：提供2026年1月至今已缴纳的至少一个月的纳税证明，依法免税的单位应提供相关证明材料；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pPr>
      <w:r>
        <w:rPr>
          <w:rFonts w:ascii="仿宋_GB2312" w:hAnsi="仿宋_GB2312" w:cs="仿宋_GB2312" w:eastAsia="仿宋_GB2312"/>
        </w:rPr>
        <w:t>10、磋商保证金：磋商保证金转账凭证或担保函（供应商若提交保函，应于响应文件递交截止时间前将保函扫描件发送至代理机构邮箱）。</w:t>
      </w:r>
    </w:p>
    <w:p>
      <w:pPr>
        <w:pStyle w:val="null3"/>
      </w:pPr>
      <w:r>
        <w:rPr>
          <w:rFonts w:ascii="仿宋_GB2312" w:hAnsi="仿宋_GB2312" w:cs="仿宋_GB2312" w:eastAsia="仿宋_GB2312"/>
        </w:rPr>
        <w:t>11、资质要求：供应商须具备市政公用工程施工总承包三级及以上（含三级）资质（或调整后的同等级资质），并具有有效的安全生产许可证；</w:t>
      </w:r>
    </w:p>
    <w:p>
      <w:pPr>
        <w:pStyle w:val="null3"/>
      </w:pPr>
      <w:r>
        <w:rPr>
          <w:rFonts w:ascii="仿宋_GB2312" w:hAnsi="仿宋_GB2312" w:cs="仿宋_GB2312" w:eastAsia="仿宋_GB2312"/>
        </w:rPr>
        <w:t>12、项目经理：供应商拟派项目经理须具备在本单位注册的市政公用工程专业贰级（含贰级）以上注册建造师资质，具备有效的安全生产考核证书B证，且未担任其他在建项目的承诺书；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0913-6155527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采购包1：696,226.63元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代理服务费收费标准：按照国家计委颁布的《招标代理服务收费管理暂行办法》（计价格[2002]1980号）和（发改办价格[2003]857号）收费标准计取。银行户名：华晟国际项目管理有限公司 开户银行：建设银行西安劳动路支行 账 号：610501 740015 00000 427 转账事由：HSGJ2026-181项目代理服务费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696,226.63</w:t>
      </w:r>
    </w:p>
    <w:p>
      <w:pPr>
        <w:pStyle w:val="null3"/>
      </w:pPr>
      <w:r>
        <w:rPr>
          <w:rFonts w:ascii="仿宋_GB2312" w:hAnsi="仿宋_GB2312" w:cs="仿宋_GB2312" w:eastAsia="仿宋_GB2312"/>
        </w:rPr>
        <w:t>采购包最高限价（元）: 696,226.63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2026年白水县雷牙镇南张村道路提升改造项目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696,226.63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2026年白水县雷牙镇南张村道路提升改造项目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4"/>
              </w:rPr>
              <w:t>村民小组间的主要道路及通往田地的主要道路进行硬化，道路一水泥混凝土路面</w:t>
            </w:r>
            <w:r>
              <w:rPr>
                <w:rFonts w:ascii="仿宋_GB2312" w:hAnsi="仿宋_GB2312" w:cs="仿宋_GB2312" w:eastAsia="仿宋_GB2312"/>
                <w:sz w:val="24"/>
              </w:rPr>
              <w:t>2827.5 平方米，道路二水泥混凝土路面 1600 平方米，具体详见工程量清单及图纸。</w:t>
            </w:r>
          </w:p>
          <w:p>
            <w:pPr>
              <w:pStyle w:val="null3"/>
              <w:ind w:firstLine="482"/>
            </w:pPr>
            <w:r>
              <w:rPr>
                <w:rFonts w:ascii="仿宋_GB2312" w:hAnsi="仿宋_GB2312" w:cs="仿宋_GB2312" w:eastAsia="仿宋_GB2312"/>
                <w:sz w:val="24"/>
                <w:b/>
              </w:rPr>
              <w:t>二、工程地点：</w:t>
            </w:r>
            <w:r>
              <w:rPr>
                <w:rFonts w:ascii="仿宋_GB2312" w:hAnsi="仿宋_GB2312" w:cs="仿宋_GB2312" w:eastAsia="仿宋_GB2312"/>
                <w:sz w:val="24"/>
              </w:rPr>
              <w:t>白水县</w:t>
            </w:r>
          </w:p>
          <w:p>
            <w:pPr>
              <w:pStyle w:val="null3"/>
              <w:ind w:firstLine="482"/>
              <w:jc w:val="both"/>
            </w:pPr>
            <w:r>
              <w:rPr>
                <w:rFonts w:ascii="仿宋_GB2312" w:hAnsi="仿宋_GB2312" w:cs="仿宋_GB2312" w:eastAsia="仿宋_GB2312"/>
                <w:sz w:val="24"/>
                <w:b/>
              </w:rPr>
              <w:t>三、工期：</w:t>
            </w:r>
            <w:r>
              <w:rPr>
                <w:rFonts w:ascii="仿宋_GB2312" w:hAnsi="仿宋_GB2312" w:cs="仿宋_GB2312" w:eastAsia="仿宋_GB2312"/>
                <w:sz w:val="24"/>
              </w:rPr>
              <w:t>合同签订后</w:t>
            </w:r>
            <w:r>
              <w:rPr>
                <w:rFonts w:ascii="仿宋_GB2312" w:hAnsi="仿宋_GB2312" w:cs="仿宋_GB2312" w:eastAsia="仿宋_GB2312"/>
                <w:sz w:val="24"/>
              </w:rPr>
              <w:t>60</w:t>
            </w:r>
            <w:r>
              <w:rPr>
                <w:rFonts w:ascii="仿宋_GB2312" w:hAnsi="仿宋_GB2312" w:cs="仿宋_GB2312" w:eastAsia="仿宋_GB2312"/>
                <w:sz w:val="24"/>
              </w:rPr>
              <w:t>日历天内完成</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四、清单编制中应说明的问题</w:t>
            </w:r>
          </w:p>
          <w:p>
            <w:pPr>
              <w:pStyle w:val="null3"/>
              <w:ind w:firstLine="480"/>
              <w:jc w:val="both"/>
            </w:pPr>
            <w:r>
              <w:rPr>
                <w:rFonts w:ascii="仿宋_GB2312" w:hAnsi="仿宋_GB2312" w:cs="仿宋_GB2312" w:eastAsia="仿宋_GB2312"/>
                <w:sz w:val="24"/>
              </w:rPr>
              <w:t>本工程清单计价表采用广联达计价软件</w:t>
            </w:r>
            <w:r>
              <w:rPr>
                <w:rFonts w:ascii="仿宋_GB2312" w:hAnsi="仿宋_GB2312" w:cs="仿宋_GB2312" w:eastAsia="仿宋_GB2312"/>
                <w:sz w:val="24"/>
              </w:rPr>
              <w:t>GBQ7.0，版 7.5000.23.3</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五、</w:t>
            </w:r>
            <w:r>
              <w:rPr>
                <w:rFonts w:ascii="仿宋_GB2312" w:hAnsi="仿宋_GB2312" w:cs="仿宋_GB2312" w:eastAsia="仿宋_GB2312"/>
                <w:sz w:val="24"/>
                <w:b/>
              </w:rPr>
              <w:t>质量标准：</w:t>
            </w:r>
          </w:p>
          <w:p>
            <w:pPr>
              <w:pStyle w:val="null3"/>
            </w:pPr>
            <w:r>
              <w:rPr>
                <w:rFonts w:ascii="仿宋_GB2312" w:hAnsi="仿宋_GB2312" w:cs="仿宋_GB2312" w:eastAsia="仿宋_GB2312"/>
                <w:sz w:val="24"/>
              </w:rPr>
              <w:t xml:space="preserve">   达到国家现行行业施工验收规范</w:t>
            </w:r>
            <w:r>
              <w:rPr>
                <w:rFonts w:ascii="仿宋_GB2312" w:hAnsi="仿宋_GB2312" w:cs="仿宋_GB2312" w:eastAsia="仿宋_GB2312"/>
                <w:sz w:val="24"/>
              </w:rPr>
              <w:t>“合格”标准。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磋商保证金转账凭证或担保函（供应商若提交保函，应于响应文件递交截止时间前将保函扫描件发送至代理机构邮箱）。</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供应商须具备市政公用工程施工总承包三级及以上（含三级）资质（或调整后的同等级资质），并具有有效的安全生产许可证；</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供应商拟派项目经理须具备在本单位注册的市政公用工程专业贰级（含贰级）以上注册建造师资质，具备有效的安全生产考核证书B证，且未担任其他在建项目的承诺书；</w:t>
            </w:r>
          </w:p>
        </w:tc>
        <w:tc>
          <w:tcPr>
            <w:tcW w:type="dxa" w:w="1661"/>
          </w:tcPr>
          <w:p>
            <w:pPr>
              <w:pStyle w:val="null3"/>
            </w:pPr>
            <w:r>
              <w:rPr>
                <w:rFonts w:ascii="仿宋_GB2312" w:hAnsi="仿宋_GB2312" w:cs="仿宋_GB2312" w:eastAsia="仿宋_GB2312"/>
              </w:rPr>
              <w:t>2.资质证明文件（参考格式）.docx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已标价工程量清单 1.服务要求响应表.docx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已标价工程量清单 2.资质证明文件（参考格式）.docx 报价函 标的清单 4.供应商拒绝政府采购领域商业贿赂承诺书.docx 响应函 1.服务要求响应表.docx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已标价工程量清单 2.资质证明文件（参考格式）.docx 报价函 标的清单 4.供应商拒绝政府采购领域商业贿赂承诺书.docx 响应函 1.服务要求响应表.docx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供应商针对本项目提供施工方案，内容包括：①施工准备；②施工方法；③重点难点工程分析及解决措施等。 二、评审标准 1.完整性：内容必须全面，对评审内容中的各项要求有详细描述； 2.可实施性：切合本项目实际情况，提出步骤清晰、合理的方案； 3.针对性：方案能够紧扣项目实际情况，内容科学合理； 4.准确性：方案描述准确，没有实质性错误或明显的描述及逻辑错误。 三、赋分标准（满分12分） ①施工准备：每完全满足一项评审标准得1分，有瑕疵得0.5 分，满分4分； ②施工方法：每完全满足一项评审标准得1分，有瑕疵得0.5 分，满分4分； ③重点难点工程分析及解决措施：每完全满足一项评审标准得1分，有瑕疵得0.5 分，满分4分。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供应商提供针对本项目实际需求编制的确保工期的技术组织措施，内容包含：①工期计划；②关键节点工期分析；③延误工期补救措施。 二、评审标准 1.完整性：内容必须全面，对评审内容中的各项要求有详细描述； 2.可实施性：切合本项目实际情况，提出步骤清晰、合理的方案； 3.针对性：方案能够紧扣项目实际情况，内容科学合理。 三、赋分标准（满分9分） ①工期计划：每完全满足一项评审标准得1分，有瑕疵得0.5 分，满分3分； ②关键节点工期分析：每完全满足一项评审标准得1分，有瑕疵得0.5 分，满分3分； ③延误工期补救措施：每完全满足一项评审标准得1分，有瑕疵得0.5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供应商提供针对本项目实际需求编制的工程质量的技术组织措施，内容包含：①工程质量目标；②施工质量保障措施；③施工质量检验制度。 二、评审标准 1.完整性：内容必须全面，对评审内容中的各项要求有详细描述； 2.可实施性：切合本项目实际情况，提出步骤清晰、合理的方案； 3.针对性：方案能够紧扣项目实际情况，内容科学合理。 三、赋分标准（满分9分） ①工程质量目标：每完全满足一个评审标准得1分，有瑕疵得0.5 分，有缺项漏项得 0 分。满分3分； ②施工质量保障措施：每完全满足一个评审标准得1分，有瑕疵得0.5 分，有缺项漏项得 0 分。满分3分； ③施工质量检验制度：每完全满足一个评审标准得1分，有瑕疵得0.5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确保安全文明施工的技术组织措施及环境保护措施（含治污减霾方案）</w:t>
            </w:r>
          </w:p>
        </w:tc>
        <w:tc>
          <w:tcPr>
            <w:tcW w:type="dxa" w:w="2492"/>
          </w:tcPr>
          <w:p>
            <w:pPr>
              <w:pStyle w:val="null3"/>
            </w:pPr>
            <w:r>
              <w:rPr>
                <w:rFonts w:ascii="仿宋_GB2312" w:hAnsi="仿宋_GB2312" w:cs="仿宋_GB2312" w:eastAsia="仿宋_GB2312"/>
              </w:rPr>
              <w:t>一、评审内容 供应商提供针对本项目实际需求编制的确保安全文明施工的技术组织措施及环境保护措施（含治污减霾方案），内容包括：①安全管理体系及文明施工管理制度；②安全标识、安全教育培训、文明施工检查措施；③环境保护控制措施（污染物及废弃物处理、噪音控制、防尘及扬尘的控制措施）。 二、评审标准 1.完整性：内容必须全面，对评审内容中的各项要求有详细描述； 2.可实施性：切合本项目实际情况，提出步骤清晰、合理的方案； 3.针对性：方案能够紧扣项目实际情况，内容科学合理。 三、赋分标准（满分9分） ①安全管理体系及文明施工管理制度：每完全满足一个评审标准得1分，有瑕疵得0.5 分，有缺项漏项得 0 分。满分3分； ②安全标识、安全教育培训、文明施工检查措施：每完全满足一个评审标准得1分，有瑕疵得0.5 分，有缺项漏项得 0 分。满分3分；③环境保护控制措施：每完全满足一个评审标准得1分，有瑕疵得0.5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一、评审内容 供应商提供针对本项目实际需求提供施工机械配备投入计划。 二、评审标准 1.完整性：内容必须全面，对评审内容中的要求有详细描述； 2.可实施性：切合本项目实际情况，提出步骤清晰、合理的方案； 3.针对性：方案能够紧扣项目实际情况，内容科学合理。 三、赋分标准（满分3分） 施工机械配备投入计划：每完全满足一个评审标准得1分，有瑕疵得0.5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供应商提供针对本项目提供应急预案，内容包括但不限于：①突发事件处理；②恶劣天气影响应急预案；③重大活动检查、临检应急预案等。 二、评审标准 1.完整性：内容必须全面，对评审内容中的各项要求有详细描述； 2.可实施性：切合本项目实际情况，提出步骤清晰、合理的方案； 3.针对性：方案能够紧扣项目实际情况，内容科学合理。 三、赋分标准（满分9分） ①突发事件处理：每完全满足一个评审标准得1分，有瑕疵得0.5 分，有缺项漏项得 0 分。满分3分； ②恶劣天气影响应急预案：每完全满足一个评审标准得1分，有瑕疵得0.5 分，有缺项漏项得 0 分。满分3分； ③重大活动检查、临检应急预案等：每完全满足一个评审标准得1分，有瑕疵得0.5 分，有缺项漏项得 0 分。满分3分。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工程验收维护方案</w:t>
            </w:r>
          </w:p>
        </w:tc>
        <w:tc>
          <w:tcPr>
            <w:tcW w:type="dxa" w:w="2492"/>
          </w:tcPr>
          <w:p>
            <w:pPr>
              <w:pStyle w:val="null3"/>
            </w:pPr>
            <w:r>
              <w:rPr>
                <w:rFonts w:ascii="仿宋_GB2312" w:hAnsi="仿宋_GB2312" w:cs="仿宋_GB2312" w:eastAsia="仿宋_GB2312"/>
              </w:rPr>
              <w:t>一、评审内容 供应商依据国家相关规定，结合本项目的实际，提出工程验收维护方案，内容包含：①验收方案；②维保措施；③保修责任及保修承诺。 二、评审标准 1.完整性：内容必须全面，对评审内容中的各项要求有详细描述； 2.可实施性：切合本项目实际情况，提出步骤清晰、合理的方案； 3.针对性：方案能够紧扣项目实际情况，内容科学合理。 三、赋分标准（满分9分） ①验收方案：每完全满足一个评审标准得1分，有瑕疵得0.5 分，有缺项漏项得 0 分。满分3分； ②维保措施：每完全满足一个评审标准得1分，有瑕疵得0.5 分，有缺项漏项得 0 分。满分3分； ③保修责任及保修承诺：每完全满足一个评审标准得1分，有瑕疵得0.5 分，有缺项漏项得 0 分。满分3分；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供应商提供2023年1月起至今类似业绩合同，一个业绩2分（以合同签订时间为准），最高得10分。注：提供合同复印件并加盖单位公章。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满足磋商文件要求且最终磋商报价最低的磋商报价为评标基准价，其价格分为满分。价格分按照下列公式计算。 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详见附件：1.服务要求响应表.docx</w:t>
      </w:r>
    </w:p>
    <w:p>
      <w:pPr>
        <w:pStyle w:val="null3"/>
        <w:ind w:firstLine="960"/>
      </w:pPr>
      <w:r>
        <w:rPr>
          <w:rFonts w:ascii="仿宋_GB2312" w:hAnsi="仿宋_GB2312" w:cs="仿宋_GB2312" w:eastAsia="仿宋_GB2312"/>
        </w:rPr>
        <w:t>详见附件：2.资质证明文件（参考格式）.docx</w:t>
      </w:r>
    </w:p>
    <w:p>
      <w:pPr>
        <w:pStyle w:val="null3"/>
        <w:ind w:firstLine="960"/>
      </w:pPr>
      <w:r>
        <w:rPr>
          <w:rFonts w:ascii="仿宋_GB2312" w:hAnsi="仿宋_GB2312" w:cs="仿宋_GB2312" w:eastAsia="仿宋_GB2312"/>
        </w:rPr>
        <w:t>详见附件：3.实施方案.docx</w:t>
      </w:r>
    </w:p>
    <w:p>
      <w:pPr>
        <w:pStyle w:val="null3"/>
        <w:ind w:firstLine="960"/>
      </w:pPr>
      <w:r>
        <w:rPr>
          <w:rFonts w:ascii="仿宋_GB2312" w:hAnsi="仿宋_GB2312" w:cs="仿宋_GB2312" w:eastAsia="仿宋_GB2312"/>
        </w:rPr>
        <w:t>详见附件：4.供应商拒绝政府采购领域商业贿赂承诺书.docx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