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A57BC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t>编 制 说 明</w:t>
      </w:r>
    </w:p>
    <w:p w14:paraId="0E17B63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一、项目概况 </w:t>
      </w:r>
    </w:p>
    <w:p w14:paraId="05697AE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1.工程名称：2026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年白水县雷牙镇南张村道路提升改造项目 </w:t>
      </w:r>
    </w:p>
    <w:p w14:paraId="7A3C90C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2.工程地点：雷牙镇南张村 </w:t>
      </w:r>
    </w:p>
    <w:p w14:paraId="2099A1E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3.项目内容：村民小组间的主要道路及通往田地的主要道路进行硬化，道路一水泥混凝土路面 2827.5 平方米，道路二水泥混凝土路面1600 平方米。 </w:t>
      </w:r>
    </w:p>
    <w:p w14:paraId="4746A65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二、建设工程费用编制依据 </w:t>
      </w:r>
    </w:p>
    <w:p w14:paraId="39253D3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1、《2026 年白水县雷牙镇南张村道路提升改造项目》图纸； </w:t>
      </w:r>
    </w:p>
    <w:p w14:paraId="62971E6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2、清单编制依据：陕西省建设工程工程量清单计价计算标准 </w:t>
      </w:r>
    </w:p>
    <w:p w14:paraId="3E21B5B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(2025）； </w:t>
      </w:r>
    </w:p>
    <w:p w14:paraId="794DB22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3、相关调整文件 ：陕西省建设工程费用规则（2025 年 3 月版）； </w:t>
      </w:r>
    </w:p>
    <w:p w14:paraId="433F86B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4、施工图设计中采用的相关规范、标准、技术资料； </w:t>
      </w:r>
    </w:p>
    <w:p w14:paraId="63C3260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5、编制使用软件：广联达计价软件 GBQ7.0，版 7.5000.23.3。</w:t>
      </w:r>
    </w:p>
    <w:p w14:paraId="1AA702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4E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2026-06-30T07:43:19Z</dcterms:created>
  <dc:creator>Administrator</dc:creator>
  <cp:lastModifiedBy>bling  bling</cp:lastModifiedBy>
  <dcterms:modified xsi:type="dcterms:W3CDTF">2026-06-30T07:43:57Z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eyJoZGlkIjoiYWEzN2I1MjE4OWRlZmQxOWRlOThlYjk4MWZkYWJkZjYiLCJ1c2VySWQiOiI1NTAzMTkyMTcifQ==</vt:lpwstr>
  </property>
  <property fmtid="{D5CDD505-2E9C-101B-9397-08002B2CF9AE}" pid="4" name="ICV">
    <vt:lpwstr>90E8557A5E50488CBBA0FE8188405168_12</vt:lpwstr>
  </property>
</Properties>
</file>