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版本号：【KRDL】K3-260509020260604002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2026年毕业生宿舍粉刷工程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【KRDL】K3-2605090</w:t>
      </w:r>
      <w:r>
        <w:br/>
      </w:r>
      <w:r>
        <w:br/>
      </w:r>
      <w:r>
        <w:br/>
      </w:r>
    </w:p>
    <w:p>
      <w:pPr>
        <w:pStyle w:val="null3"/>
        <w:jc w:val="center"/>
        <w:outlineLvl w:val="2"/>
      </w:pPr>
      <w:r>
        <w:rPr>
          <w:rFonts w:ascii="仿宋_GB2312" w:hAnsi="仿宋_GB2312" w:cs="仿宋_GB2312" w:eastAsia="仿宋_GB2312"/>
          <w:sz w:val="28"/>
          <w:b/>
        </w:rPr>
        <w:t>咸阳师范学院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咸阳师范学院</w:t>
      </w:r>
      <w:r>
        <w:rPr>
          <w:rFonts w:ascii="仿宋_GB2312" w:hAnsi="仿宋_GB2312" w:cs="仿宋_GB2312" w:eastAsia="仿宋_GB2312"/>
        </w:rPr>
        <w:t>委托，拟对</w:t>
      </w:r>
      <w:r>
        <w:rPr>
          <w:rFonts w:ascii="仿宋_GB2312" w:hAnsi="仿宋_GB2312" w:cs="仿宋_GB2312" w:eastAsia="仿宋_GB2312"/>
        </w:rPr>
        <w:t>2026年毕业生宿舍粉刷工程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【KRDL】K3-2605090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2026年毕业生宿舍粉刷工程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粉刷学生宿舍共计1065间，其中渭城校区671间、秦都校区394间。分为2个采购包，分别为采购包1：渭城校区标段，学生公寓671间，粉刷面积为60224.28平方米（具体宿舍号详见渭城校区宿舍粉刷信息汇总表）；采购包2：秦都校区标段，学生公寓394间、西三公寓1-6层楼道墙面，粉刷面积31807.3平方米（具体宿舍号详见秦都校区宿舍粉刷信息汇总表）。具体内容详见竞争性磋商文件等文件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采购包1（渭城校区标段）：属于专门面向中小企业采购。</w:t>
      </w:r>
    </w:p>
    <w:p>
      <w:pPr>
        <w:pStyle w:val="null3"/>
      </w:pPr>
      <w:r>
        <w:rPr>
          <w:rFonts w:ascii="仿宋_GB2312" w:hAnsi="仿宋_GB2312" w:cs="仿宋_GB2312" w:eastAsia="仿宋_GB2312"/>
        </w:rPr>
        <w:t>采购包2（秦都校区标段）：属于专门面向中小企业采购。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1、主体资格：供应商为向采购人提供相关工程及服务的法人或其他组织</w:t>
      </w:r>
    </w:p>
    <w:p>
      <w:pPr>
        <w:pStyle w:val="null3"/>
      </w:pPr>
      <w:r>
        <w:rPr>
          <w:rFonts w:ascii="仿宋_GB2312" w:hAnsi="仿宋_GB2312" w:cs="仿宋_GB2312" w:eastAsia="仿宋_GB2312"/>
        </w:rPr>
        <w:t>2、企业资质要求：供应商应具备合法有效的建筑工程施工总承包三级（含三级）及以上资质或建筑装修装饰工程专业承包二级（含二级）及以上资质，并具备合法有效的安全生产许可证，且在人员、设备、资金等方面具备相应施工能力</w:t>
      </w:r>
    </w:p>
    <w:p>
      <w:pPr>
        <w:pStyle w:val="null3"/>
      </w:pPr>
      <w:r>
        <w:rPr>
          <w:rFonts w:ascii="仿宋_GB2312" w:hAnsi="仿宋_GB2312" w:cs="仿宋_GB2312" w:eastAsia="仿宋_GB2312"/>
        </w:rPr>
        <w:t>3、拟派项目负责人资质及专业要求：供应商拟派项目经理具备合法有效的建筑工程专业二级（含二级）及以上注册建造师资格和安全生产考核合格证，在本单位注册且未担任其他在建工程项目的项目经理</w:t>
      </w:r>
    </w:p>
    <w:p>
      <w:pPr>
        <w:pStyle w:val="null3"/>
      </w:pPr>
      <w:r>
        <w:rPr>
          <w:rFonts w:ascii="仿宋_GB2312" w:hAnsi="仿宋_GB2312" w:cs="仿宋_GB2312" w:eastAsia="仿宋_GB2312"/>
        </w:rPr>
        <w:t>4、信誉要求：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5、“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1、主体资格：供应商为向采购人提供相关工程及服务的法人或其他组织</w:t>
      </w:r>
    </w:p>
    <w:p>
      <w:pPr>
        <w:pStyle w:val="null3"/>
      </w:pPr>
      <w:r>
        <w:rPr>
          <w:rFonts w:ascii="仿宋_GB2312" w:hAnsi="仿宋_GB2312" w:cs="仿宋_GB2312" w:eastAsia="仿宋_GB2312"/>
        </w:rPr>
        <w:t>2、企业资质要求：供应商应具备合法有效的建筑工程施工总承包三级（含三级）及以上资质或建筑装修装饰工程专业承包二级（含二级）及以上资质，并具备合法有效的安全生产许可证，且在人员、设备、资金等方面具备相应施工能力</w:t>
      </w:r>
    </w:p>
    <w:p>
      <w:pPr>
        <w:pStyle w:val="null3"/>
      </w:pPr>
      <w:r>
        <w:rPr>
          <w:rFonts w:ascii="仿宋_GB2312" w:hAnsi="仿宋_GB2312" w:cs="仿宋_GB2312" w:eastAsia="仿宋_GB2312"/>
        </w:rPr>
        <w:t>3、拟派项目负责人资质及专业要求：供应商拟派项目经理具备合法有效的建筑工程专业二级（含二级）及以上注册建造师资格和安全生产考核合格证，在本单位注册且未担任其他在建工程项目的项目经理</w:t>
      </w:r>
    </w:p>
    <w:p>
      <w:pPr>
        <w:pStyle w:val="null3"/>
      </w:pPr>
      <w:r>
        <w:rPr>
          <w:rFonts w:ascii="仿宋_GB2312" w:hAnsi="仿宋_GB2312" w:cs="仿宋_GB2312" w:eastAsia="仿宋_GB2312"/>
        </w:rPr>
        <w:t>4、信誉要求：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5、“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咸阳师范学院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029-33720069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招采中心邱斯思、张晨、姚瑶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18991918505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采购包1：650,422.23元</w:t>
            </w:r>
          </w:p>
          <w:p>
            <w:pPr>
              <w:pStyle w:val="null3"/>
            </w:pPr>
            <w:r>
              <w:rPr>
                <w:rFonts w:ascii="仿宋_GB2312" w:hAnsi="仿宋_GB2312" w:cs="仿宋_GB2312" w:eastAsia="仿宋_GB2312"/>
              </w:rPr>
              <w:t>采购包2：343,518.84元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说明：合同签订前，成交供应商向采购人按照合同总金额的5%取整缴纳履约保证金，竣工验收合格后予以无息退还。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说明：合同签订前，成交供应商向采购人按照合同总金额的5%取整缴纳履约保证金，竣工验收合格后予以无息退还。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供应商支付，参照国家计委颁发的《招标代理服务收费管理暂行办法》（计价格[2002]1980号）和国家发展和改革委员会办公厅颁发的《关于招标代理服务收费有关问题的通知》（发改办价格[2003] 857号）的标准计取下浮20%，向招标代理机构一次付清招标代理服务费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咸阳师范学院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咸阳师范学院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咸阳师范学院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联系人：邱斯思、张晨、姚瑶</w:t>
      </w:r>
    </w:p>
    <w:p>
      <w:pPr>
        <w:pStyle w:val="null3"/>
      </w:pPr>
      <w:r>
        <w:rPr>
          <w:rFonts w:ascii="仿宋_GB2312" w:hAnsi="仿宋_GB2312" w:cs="仿宋_GB2312" w:eastAsia="仿宋_GB2312"/>
        </w:rPr>
        <w:t>联系电话：18991918505</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650,422.23</w:t>
      </w:r>
    </w:p>
    <w:p>
      <w:pPr>
        <w:pStyle w:val="null3"/>
      </w:pPr>
      <w:r>
        <w:rPr>
          <w:rFonts w:ascii="仿宋_GB2312" w:hAnsi="仿宋_GB2312" w:cs="仿宋_GB2312" w:eastAsia="仿宋_GB2312"/>
        </w:rPr>
        <w:t>采购包最高限价（元）: 650,422.23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渭城校区毕业生宿舍粉刷</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650,422.23</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343,518.84</w:t>
      </w:r>
    </w:p>
    <w:p>
      <w:pPr>
        <w:pStyle w:val="null3"/>
      </w:pPr>
      <w:r>
        <w:rPr>
          <w:rFonts w:ascii="仿宋_GB2312" w:hAnsi="仿宋_GB2312" w:cs="仿宋_GB2312" w:eastAsia="仿宋_GB2312"/>
        </w:rPr>
        <w:t>采购包最高限价（元）: 343,518.84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秦都校区毕业生宿舍粉刷</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343,518.84</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标的名称：渭城校区毕业生宿舍粉刷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一、项目现状</w:t>
            </w:r>
          </w:p>
          <w:p>
            <w:pPr>
              <w:pStyle w:val="null3"/>
            </w:pPr>
            <w:r>
              <w:rPr>
                <w:rFonts w:ascii="仿宋_GB2312" w:hAnsi="仿宋_GB2312" w:cs="仿宋_GB2312" w:eastAsia="仿宋_GB2312"/>
              </w:rPr>
              <w:t>2026年毕业生宿舍已使用多年，墙面普遍存在涂抹痕迹严重、墙皮陈旧、起皮脱落等问题。为切实做好2026级新生开学报到入住工作，为新生营造整洁、舒适的公寓生活环境，需对相关宿舍墙面进行粉刷维修。本次需粉刷渭城校区学生宿舍671间。</w:t>
            </w:r>
          </w:p>
          <w:p>
            <w:pPr>
              <w:pStyle w:val="null3"/>
            </w:pPr>
            <w:r>
              <w:rPr>
                <w:rFonts w:ascii="仿宋_GB2312" w:hAnsi="仿宋_GB2312" w:cs="仿宋_GB2312" w:eastAsia="仿宋_GB2312"/>
              </w:rPr>
              <w:t>二、施工内容</w:t>
            </w:r>
          </w:p>
          <w:p>
            <w:pPr>
              <w:pStyle w:val="null3"/>
            </w:pPr>
            <w:r>
              <w:rPr>
                <w:rFonts w:ascii="仿宋_GB2312" w:hAnsi="仿宋_GB2312" w:cs="仿宋_GB2312" w:eastAsia="仿宋_GB2312"/>
              </w:rPr>
              <w:t>1.破损、墙皮脱落等情况铲除原墙面墙皮，再用腻子点补墙面，铲除处刮腻子两遍，铲除及刮腻子面积按总墙面工程量13%计入。</w:t>
            </w:r>
          </w:p>
          <w:p>
            <w:pPr>
              <w:pStyle w:val="null3"/>
            </w:pPr>
            <w:r>
              <w:rPr>
                <w:rFonts w:ascii="仿宋_GB2312" w:hAnsi="仿宋_GB2312" w:cs="仿宋_GB2312" w:eastAsia="仿宋_GB2312"/>
              </w:rPr>
              <w:t>2.所有墙面清理后用砂纸打磨，喷2遍乳胶漆。</w:t>
            </w:r>
          </w:p>
          <w:p>
            <w:pPr>
              <w:pStyle w:val="null3"/>
            </w:pPr>
            <w:r>
              <w:rPr>
                <w:rFonts w:ascii="仿宋_GB2312" w:hAnsi="仿宋_GB2312" w:cs="仿宋_GB2312" w:eastAsia="仿宋_GB2312"/>
              </w:rPr>
              <w:t>3.施工时需移动学生宿舍床、柜等设施且进行覆盖保护，施工后将学生宿舍内的床、柜等设施进行复位。</w:t>
            </w:r>
          </w:p>
          <w:p>
            <w:pPr>
              <w:pStyle w:val="null3"/>
            </w:pPr>
            <w:r>
              <w:rPr>
                <w:rFonts w:ascii="仿宋_GB2312" w:hAnsi="仿宋_GB2312" w:cs="仿宋_GB2312" w:eastAsia="仿宋_GB2312"/>
              </w:rPr>
              <w:t>4.渭城校区标段：学生公寓671间，粉刷面积为60224.28平方米（具体宿舍号详见渭城校区宿舍粉刷信息汇总表）。</w:t>
            </w:r>
          </w:p>
          <w:p>
            <w:pPr>
              <w:pStyle w:val="null3"/>
            </w:pPr>
            <w:r>
              <w:rPr>
                <w:rFonts w:ascii="仿宋_GB2312" w:hAnsi="仿宋_GB2312" w:cs="仿宋_GB2312" w:eastAsia="仿宋_GB2312"/>
              </w:rPr>
              <w:t>5.工期确保不影响新生入住筹备工作。</w:t>
            </w:r>
          </w:p>
          <w:p>
            <w:pPr>
              <w:pStyle w:val="null3"/>
            </w:pPr>
            <w:r>
              <w:rPr>
                <w:rFonts w:ascii="仿宋_GB2312" w:hAnsi="仿宋_GB2312" w:cs="仿宋_GB2312" w:eastAsia="仿宋_GB2312"/>
              </w:rPr>
              <w:t>6.本工程施工严格按照规范要求进行施工，达到各项拟定指标，确保工程质量达到国家强制性合格标准。</w:t>
            </w:r>
          </w:p>
          <w:p>
            <w:pPr>
              <w:pStyle w:val="null3"/>
            </w:pPr>
            <w:r>
              <w:rPr>
                <w:rFonts w:ascii="仿宋_GB2312" w:hAnsi="仿宋_GB2312" w:cs="仿宋_GB2312" w:eastAsia="仿宋_GB2312"/>
              </w:rPr>
              <w:t>7.所有材料必须在检验合格经采购人确认后，方可用于本工程。</w:t>
            </w:r>
          </w:p>
          <w:p>
            <w:pPr>
              <w:pStyle w:val="null3"/>
            </w:pPr>
            <w:r>
              <w:rPr>
                <w:rFonts w:ascii="仿宋_GB2312" w:hAnsi="仿宋_GB2312" w:cs="仿宋_GB2312" w:eastAsia="仿宋_GB2312"/>
              </w:rPr>
              <w:t>8.隐蔽工程必须经采购人检查、验收后，方可进行下一道工序。</w:t>
            </w:r>
          </w:p>
          <w:p>
            <w:pPr>
              <w:pStyle w:val="null3"/>
            </w:pPr>
            <w:r>
              <w:rPr>
                <w:rFonts w:ascii="仿宋_GB2312" w:hAnsi="仿宋_GB2312" w:cs="仿宋_GB2312" w:eastAsia="仿宋_GB2312"/>
              </w:rPr>
              <w:t>9.自工程竣工验收合格之日起进入质量保修期，保修内容为由成交供应商负责的本工程全部质量问题。成交供应商收到保修通知并到达工程现场的合理时间：响应时间为正常工作日一小时内答复，两小时内到现场处理。节假日及法定休息日三小时内答复，六小时内到现场处理。在质量保修期内，成交供应商对有缺陷的部位必须无偿地给予修理与更换，并承担一切由此引起的对采购人或第三者的直接损失，除非该缺陷是由于人为破坏或合同规定的不可抗因素损坏。</w:t>
            </w:r>
          </w:p>
          <w:p>
            <w:pPr>
              <w:pStyle w:val="null3"/>
            </w:pPr>
            <w:r>
              <w:rPr>
                <w:rFonts w:ascii="仿宋_GB2312" w:hAnsi="仿宋_GB2312" w:cs="仿宋_GB2312" w:eastAsia="仿宋_GB2312"/>
              </w:rPr>
              <w:t>10.供应商必须对所承包的工程的质量负全部责任，其责任不因其他材料生产商提供的保证书而减轻或更改。</w:t>
            </w:r>
          </w:p>
          <w:p>
            <w:pPr>
              <w:pStyle w:val="null3"/>
            </w:pPr>
            <w:r>
              <w:rPr>
                <w:rFonts w:ascii="仿宋_GB2312" w:hAnsi="仿宋_GB2312" w:cs="仿宋_GB2312" w:eastAsia="仿宋_GB2312"/>
              </w:rPr>
              <w:t>11.施工时注意做好必要的劳动保护工作。</w:t>
            </w:r>
          </w:p>
          <w:p>
            <w:pPr>
              <w:pStyle w:val="null3"/>
            </w:pPr>
            <w:r>
              <w:rPr>
                <w:rFonts w:ascii="仿宋_GB2312" w:hAnsi="仿宋_GB2312" w:cs="仿宋_GB2312" w:eastAsia="仿宋_GB2312"/>
              </w:rPr>
              <w:t>12.本工程施工期间必须注意防尘降噪，并须将集中施工区域和学生生活区域进行适当隔离，尽可能把对在校生的学习和生活产生的负面影响减到最小。</w:t>
            </w:r>
          </w:p>
          <w:p>
            <w:pPr>
              <w:pStyle w:val="null3"/>
            </w:pPr>
            <w:r>
              <w:rPr>
                <w:rFonts w:ascii="仿宋_GB2312" w:hAnsi="仿宋_GB2312" w:cs="仿宋_GB2312" w:eastAsia="仿宋_GB2312"/>
              </w:rPr>
              <w:t>13.在进行粉刷工程时，需要注意施工环境、安全防护等问题。施工现场通风要畅通、避免火源，穿着劳保服装和防护用品等。此外，要保持施工工具的干净和整洁，避免杂物混入。</w:t>
            </w:r>
          </w:p>
          <w:p>
            <w:pPr>
              <w:pStyle w:val="null3"/>
            </w:pPr>
            <w:r>
              <w:rPr>
                <w:rFonts w:ascii="仿宋_GB2312" w:hAnsi="仿宋_GB2312" w:cs="仿宋_GB2312" w:eastAsia="仿宋_GB2312"/>
              </w:rPr>
              <w:t>三、质量标准及要求</w:t>
            </w:r>
          </w:p>
          <w:p>
            <w:pPr>
              <w:pStyle w:val="null3"/>
            </w:pPr>
            <w:r>
              <w:rPr>
                <w:rFonts w:ascii="仿宋_GB2312" w:hAnsi="仿宋_GB2312" w:cs="仿宋_GB2312" w:eastAsia="仿宋_GB2312"/>
              </w:rPr>
              <w:t>1.工程质量标准严格执行《建筑工程施工质量验收统一标准》GB50300-2013、《建筑装饰装修工程质量验收标准》GB50210-2018、《建筑与市政工程施工质量控制通用规范》GB 55032-2022及行业相关规范要求。</w:t>
            </w:r>
          </w:p>
          <w:p>
            <w:pPr>
              <w:pStyle w:val="null3"/>
            </w:pPr>
            <w:r>
              <w:rPr>
                <w:rFonts w:ascii="仿宋_GB2312" w:hAnsi="仿宋_GB2312" w:cs="仿宋_GB2312" w:eastAsia="仿宋_GB2312"/>
              </w:rPr>
              <w:t>2.涂料要求：统一使用符合国家环保要求乳胶漆。</w:t>
            </w:r>
          </w:p>
          <w:p>
            <w:pPr>
              <w:pStyle w:val="null3"/>
            </w:pPr>
            <w:r>
              <w:rPr>
                <w:rFonts w:ascii="仿宋_GB2312" w:hAnsi="仿宋_GB2312" w:cs="仿宋_GB2312" w:eastAsia="仿宋_GB2312"/>
              </w:rPr>
              <w:t>3.依据技术规范要求，本工程项目的材料、设备、施工必须达到现行中华人民共和国及省、市、行业的一切有关法规、规范的要求，如标准及规范要求有出入则以较严格者为准。</w:t>
            </w:r>
          </w:p>
          <w:p>
            <w:pPr>
              <w:pStyle w:val="null3"/>
            </w:pPr>
            <w:r>
              <w:rPr>
                <w:rFonts w:ascii="仿宋_GB2312" w:hAnsi="仿宋_GB2312" w:cs="仿宋_GB2312" w:eastAsia="仿宋_GB2312"/>
              </w:rPr>
              <w:t>4.技术规范由供应商方自备，如有不足之处或未能达到国家最新标准时，供应商应使施工及选用的设备和材料符合最新版本的国家标准、规范。</w:t>
            </w:r>
          </w:p>
          <w:p>
            <w:pPr>
              <w:pStyle w:val="null3"/>
            </w:pPr>
            <w:r>
              <w:rPr>
                <w:rFonts w:ascii="仿宋_GB2312" w:hAnsi="仿宋_GB2312" w:cs="仿宋_GB2312" w:eastAsia="仿宋_GB2312"/>
              </w:rPr>
              <w:t>四、安全文明施工要求</w:t>
            </w:r>
          </w:p>
          <w:p>
            <w:pPr>
              <w:pStyle w:val="null3"/>
            </w:pPr>
            <w:r>
              <w:rPr>
                <w:rFonts w:ascii="仿宋_GB2312" w:hAnsi="仿宋_GB2312" w:cs="仿宋_GB2312" w:eastAsia="仿宋_GB2312"/>
              </w:rPr>
              <w:t>1.对学生宿舍内的床、柜等设施设备进行覆盖保护。</w:t>
            </w:r>
          </w:p>
          <w:p>
            <w:pPr>
              <w:pStyle w:val="null3"/>
            </w:pPr>
            <w:r>
              <w:rPr>
                <w:rFonts w:ascii="仿宋_GB2312" w:hAnsi="仿宋_GB2312" w:cs="仿宋_GB2312" w:eastAsia="仿宋_GB2312"/>
              </w:rPr>
              <w:t>2.供应商必须建立完善安全管理制度，开工前必须进行安全技术交底。</w:t>
            </w:r>
          </w:p>
          <w:p>
            <w:pPr>
              <w:pStyle w:val="null3"/>
            </w:pPr>
            <w:r>
              <w:rPr>
                <w:rFonts w:ascii="仿宋_GB2312" w:hAnsi="仿宋_GB2312" w:cs="仿宋_GB2312" w:eastAsia="仿宋_GB2312"/>
              </w:rPr>
              <w:t>3.施工现场进行封闭管理，场地内材料用具堆放整齐，做到工完料尽场地清。</w:t>
            </w:r>
          </w:p>
          <w:p>
            <w:pPr>
              <w:pStyle w:val="null3"/>
            </w:pPr>
            <w:r>
              <w:rPr>
                <w:rFonts w:ascii="仿宋_GB2312" w:hAnsi="仿宋_GB2312" w:cs="仿宋_GB2312" w:eastAsia="仿宋_GB2312"/>
              </w:rPr>
              <w:t>4.施工应考虑除尘降霾措施，及时进行垃圾外运。</w:t>
            </w:r>
          </w:p>
          <w:p>
            <w:pPr>
              <w:pStyle w:val="null3"/>
            </w:pPr>
            <w:r>
              <w:rPr>
                <w:rFonts w:ascii="仿宋_GB2312" w:hAnsi="仿宋_GB2312" w:cs="仿宋_GB2312" w:eastAsia="仿宋_GB2312"/>
              </w:rPr>
              <w:t>5.施工不能影响学生正常休息，确保学生财产安全，否则，按合同条款予以处罚。</w:t>
            </w:r>
          </w:p>
          <w:p>
            <w:pPr>
              <w:pStyle w:val="null3"/>
            </w:pPr>
            <w:r>
              <w:rPr>
                <w:rFonts w:ascii="仿宋_GB2312" w:hAnsi="仿宋_GB2312" w:cs="仿宋_GB2312" w:eastAsia="仿宋_GB2312"/>
              </w:rPr>
              <w:t>五、工程管理要求</w:t>
            </w:r>
          </w:p>
          <w:p>
            <w:pPr>
              <w:pStyle w:val="null3"/>
            </w:pPr>
            <w:r>
              <w:rPr>
                <w:rFonts w:ascii="仿宋_GB2312" w:hAnsi="仿宋_GB2312" w:cs="仿宋_GB2312" w:eastAsia="仿宋_GB2312"/>
              </w:rPr>
              <w:t>1.本工程采购范围内的工程项目，未经采购人同意一律不得分包。一经发现立即取消承包资格，作违约处理，并承担由此引起的一切经济损失。</w:t>
            </w:r>
          </w:p>
          <w:p>
            <w:pPr>
              <w:pStyle w:val="null3"/>
            </w:pPr>
            <w:r>
              <w:rPr>
                <w:rFonts w:ascii="仿宋_GB2312" w:hAnsi="仿宋_GB2312" w:cs="仿宋_GB2312" w:eastAsia="仿宋_GB2312"/>
              </w:rPr>
              <w:t>2.供应商应严格按已确认施工技术方案组织施工，并无条件地接受采购人代表对施工质量的监督和管理。施工过程中，施工方必须严格把关，按照相应规范标准要求施工，如出现不符合标准要求的情况，施工方必须无条件返工，直至达到规范标准要求。所发生的费用均由施工方承担。</w:t>
            </w:r>
          </w:p>
          <w:p>
            <w:pPr>
              <w:pStyle w:val="null3"/>
            </w:pPr>
            <w:r>
              <w:rPr>
                <w:rFonts w:ascii="仿宋_GB2312" w:hAnsi="仿宋_GB2312" w:cs="仿宋_GB2312" w:eastAsia="仿宋_GB2312"/>
              </w:rPr>
              <w:t>3.供应商在响应文件中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pPr>
            <w:r>
              <w:rPr>
                <w:rFonts w:ascii="仿宋_GB2312" w:hAnsi="仿宋_GB2312" w:cs="仿宋_GB2312" w:eastAsia="仿宋_GB2312"/>
              </w:rPr>
              <w:t>六、工程技术标准及要求</w:t>
            </w:r>
          </w:p>
          <w:p>
            <w:pPr>
              <w:pStyle w:val="null3"/>
            </w:pPr>
            <w:r>
              <w:rPr>
                <w:rFonts w:ascii="仿宋_GB2312" w:hAnsi="仿宋_GB2312" w:cs="仿宋_GB2312" w:eastAsia="仿宋_GB2312"/>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pPr>
            <w:r>
              <w:rPr>
                <w:rFonts w:ascii="仿宋_GB2312" w:hAnsi="仿宋_GB2312" w:cs="仿宋_GB2312" w:eastAsia="仿宋_GB2312"/>
              </w:rPr>
              <w:t>2.本工程其他技术标准及要求执行现行规范和采购人实际需求。</w:t>
            </w:r>
          </w:p>
          <w:p>
            <w:pPr>
              <w:pStyle w:val="null3"/>
            </w:pPr>
            <w:r>
              <w:rPr>
                <w:rFonts w:ascii="仿宋_GB2312" w:hAnsi="仿宋_GB2312" w:cs="仿宋_GB2312" w:eastAsia="仿宋_GB2312"/>
              </w:rPr>
              <w:t>3.在施工过程中，如果国家或有关部门颁布了新的技术标准或规范，则采购人应采用新的标准或规范进行施工。</w:t>
            </w:r>
          </w:p>
          <w:p>
            <w:pPr>
              <w:pStyle w:val="null3"/>
            </w:pPr>
            <w:r>
              <w:rPr>
                <w:rFonts w:ascii="仿宋_GB2312" w:hAnsi="仿宋_GB2312" w:cs="仿宋_GB2312" w:eastAsia="仿宋_GB2312"/>
              </w:rPr>
              <w:t>4.采购人提供工程的施工方案和相关技术文件，是采购人现有的能被供应商利用的资料，采购人对供应商做出的任何推论、理解均不负责任。</w:t>
            </w:r>
          </w:p>
          <w:p>
            <w:pPr>
              <w:pStyle w:val="null3"/>
            </w:pPr>
            <w:r>
              <w:rPr>
                <w:rFonts w:ascii="仿宋_GB2312" w:hAnsi="仿宋_GB2312" w:cs="仿宋_GB2312" w:eastAsia="仿宋_GB2312"/>
              </w:rPr>
              <w:t>5.供应商应先到工地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pPr>
            <w:r>
              <w:rPr>
                <w:rFonts w:ascii="仿宋_GB2312" w:hAnsi="仿宋_GB2312" w:cs="仿宋_GB2312" w:eastAsia="仿宋_GB2312"/>
              </w:rPr>
              <w:t>七、工程施工方案</w:t>
            </w:r>
          </w:p>
          <w:p>
            <w:pPr>
              <w:pStyle w:val="null3"/>
            </w:pPr>
            <w:r>
              <w:rPr>
                <w:rFonts w:ascii="仿宋_GB2312" w:hAnsi="仿宋_GB2312" w:cs="仿宋_GB2312" w:eastAsia="仿宋_GB2312"/>
              </w:rPr>
              <w:t>详见附件</w:t>
            </w:r>
          </w:p>
          <w:p>
            <w:pPr>
              <w:pStyle w:val="null3"/>
            </w:pPr>
            <w:r>
              <w:rPr>
                <w:rFonts w:ascii="仿宋_GB2312" w:hAnsi="仿宋_GB2312" w:cs="仿宋_GB2312" w:eastAsia="仿宋_GB2312"/>
              </w:rPr>
              <w:t>渭城校区宿舍粉刷信息汇总（671间）</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楼号</w:t>
                  </w:r>
                </w:p>
              </w:tc>
              <w:tc>
                <w:tcPr>
                  <w:tcW w:type="dxa" w:w="638"/>
                </w:tcPr>
                <w:p>
                  <w:pPr>
                    <w:pStyle w:val="null3"/>
                  </w:pPr>
                  <w:r>
                    <w:rPr>
                      <w:rFonts w:ascii="仿宋_GB2312" w:hAnsi="仿宋_GB2312" w:cs="仿宋_GB2312" w:eastAsia="仿宋_GB2312"/>
                    </w:rPr>
                    <w:t>间数</w:t>
                  </w:r>
                </w:p>
              </w:tc>
              <w:tc>
                <w:tcPr>
                  <w:tcW w:type="dxa" w:w="638"/>
                </w:tcPr>
                <w:p>
                  <w:pPr>
                    <w:pStyle w:val="null3"/>
                  </w:pPr>
                  <w:r>
                    <w:rPr>
                      <w:rFonts w:ascii="仿宋_GB2312" w:hAnsi="仿宋_GB2312" w:cs="仿宋_GB2312" w:eastAsia="仿宋_GB2312"/>
                    </w:rPr>
                    <w:t>粉刷宿舍号</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27</w:t>
                  </w:r>
                </w:p>
              </w:tc>
              <w:tc>
                <w:tcPr>
                  <w:tcW w:type="dxa" w:w="638"/>
                </w:tcPr>
                <w:p>
                  <w:pPr>
                    <w:pStyle w:val="null3"/>
                  </w:pPr>
                  <w:r>
                    <w:rPr>
                      <w:rFonts w:ascii="仿宋_GB2312" w:hAnsi="仿宋_GB2312" w:cs="仿宋_GB2312" w:eastAsia="仿宋_GB2312"/>
                    </w:rPr>
                    <w:t>102、112、117、118、119、121、211、218、223、303、306、311、314、</w:t>
                  </w:r>
                </w:p>
                <w:p>
                  <w:pPr>
                    <w:pStyle w:val="null3"/>
                  </w:pPr>
                  <w:r>
                    <w:rPr>
                      <w:rFonts w:ascii="仿宋_GB2312" w:hAnsi="仿宋_GB2312" w:cs="仿宋_GB2312" w:eastAsia="仿宋_GB2312"/>
                    </w:rPr>
                    <w:t>406、411、412、413、415、424、425、426、510、512、519、520、522、</w:t>
                  </w:r>
                </w:p>
                <w:p>
                  <w:pPr>
                    <w:pStyle w:val="null3"/>
                  </w:pPr>
                  <w:r>
                    <w:rPr>
                      <w:rFonts w:ascii="仿宋_GB2312" w:hAnsi="仿宋_GB2312" w:cs="仿宋_GB2312" w:eastAsia="仿宋_GB2312"/>
                    </w:rPr>
                    <w:t>523</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36</w:t>
                  </w:r>
                </w:p>
              </w:tc>
              <w:tc>
                <w:tcPr>
                  <w:tcW w:type="dxa" w:w="638"/>
                </w:tcPr>
                <w:p>
                  <w:pPr>
                    <w:pStyle w:val="null3"/>
                  </w:pPr>
                  <w:r>
                    <w:rPr>
                      <w:rFonts w:ascii="仿宋_GB2312" w:hAnsi="仿宋_GB2312" w:cs="仿宋_GB2312" w:eastAsia="仿宋_GB2312"/>
                    </w:rPr>
                    <w:t>101、102、103、104、105、106、107、108、109、114、115、116、117、</w:t>
                  </w:r>
                </w:p>
                <w:p>
                  <w:pPr>
                    <w:pStyle w:val="null3"/>
                  </w:pPr>
                  <w:r>
                    <w:rPr>
                      <w:rFonts w:ascii="仿宋_GB2312" w:hAnsi="仿宋_GB2312" w:cs="仿宋_GB2312" w:eastAsia="仿宋_GB2312"/>
                    </w:rPr>
                    <w:t>118、119、120、121、122、123、124、125、126、216、217、218、219、</w:t>
                  </w:r>
                </w:p>
                <w:p>
                  <w:pPr>
                    <w:pStyle w:val="null3"/>
                  </w:pPr>
                  <w:r>
                    <w:rPr>
                      <w:rFonts w:ascii="仿宋_GB2312" w:hAnsi="仿宋_GB2312" w:cs="仿宋_GB2312" w:eastAsia="仿宋_GB2312"/>
                    </w:rPr>
                    <w:t>220、221、222、223、224、225、226、309、420、511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75</w:t>
                  </w:r>
                </w:p>
              </w:tc>
              <w:tc>
                <w:tcPr>
                  <w:tcW w:type="dxa" w:w="638"/>
                </w:tcPr>
                <w:p>
                  <w:pPr>
                    <w:pStyle w:val="null3"/>
                  </w:pPr>
                  <w:r>
                    <w:rPr>
                      <w:rFonts w:ascii="仿宋_GB2312" w:hAnsi="仿宋_GB2312" w:cs="仿宋_GB2312" w:eastAsia="仿宋_GB2312"/>
                    </w:rPr>
                    <w:t>101、102，103、104、105、106、107、108、109、114、115、116、117、</w:t>
                  </w:r>
                </w:p>
                <w:p>
                  <w:pPr>
                    <w:pStyle w:val="null3"/>
                  </w:pPr>
                  <w:r>
                    <w:rPr>
                      <w:rFonts w:ascii="仿宋_GB2312" w:hAnsi="仿宋_GB2312" w:cs="仿宋_GB2312" w:eastAsia="仿宋_GB2312"/>
                    </w:rPr>
                    <w:t>118、119、120、122、123、124、125、126、202、203、204、205、206、</w:t>
                  </w:r>
                </w:p>
                <w:p>
                  <w:pPr>
                    <w:pStyle w:val="null3"/>
                  </w:pPr>
                  <w:r>
                    <w:rPr>
                      <w:rFonts w:ascii="仿宋_GB2312" w:hAnsi="仿宋_GB2312" w:cs="仿宋_GB2312" w:eastAsia="仿宋_GB2312"/>
                    </w:rPr>
                    <w:t>207、208、209、301、302、303、304、305、306、307、308、309、310、</w:t>
                  </w:r>
                </w:p>
                <w:p>
                  <w:pPr>
                    <w:pStyle w:val="null3"/>
                  </w:pPr>
                  <w:r>
                    <w:rPr>
                      <w:rFonts w:ascii="仿宋_GB2312" w:hAnsi="仿宋_GB2312" w:cs="仿宋_GB2312" w:eastAsia="仿宋_GB2312"/>
                    </w:rPr>
                    <w:t>311、312、313、314、315、316、317、318、319、320、321、322、323、</w:t>
                  </w:r>
                </w:p>
                <w:p>
                  <w:pPr>
                    <w:pStyle w:val="null3"/>
                  </w:pPr>
                  <w:r>
                    <w:rPr>
                      <w:rFonts w:ascii="仿宋_GB2312" w:hAnsi="仿宋_GB2312" w:cs="仿宋_GB2312" w:eastAsia="仿宋_GB2312"/>
                    </w:rPr>
                    <w:t>324、325、326、411、412、413、414、416、417、418、419、420、421、</w:t>
                  </w:r>
                </w:p>
                <w:p>
                  <w:pPr>
                    <w:pStyle w:val="null3"/>
                  </w:pPr>
                  <w:r>
                    <w:rPr>
                      <w:rFonts w:ascii="仿宋_GB2312" w:hAnsi="仿宋_GB2312" w:cs="仿宋_GB2312" w:eastAsia="仿宋_GB2312"/>
                    </w:rPr>
                    <w:t>423、501、502、503、521、522、523、524、525、526</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47</w:t>
                  </w:r>
                </w:p>
              </w:tc>
              <w:tc>
                <w:tcPr>
                  <w:tcW w:type="dxa" w:w="638"/>
                </w:tcPr>
                <w:p>
                  <w:pPr>
                    <w:pStyle w:val="null3"/>
                  </w:pPr>
                  <w:r>
                    <w:rPr>
                      <w:rFonts w:ascii="仿宋_GB2312" w:hAnsi="仿宋_GB2312" w:cs="仿宋_GB2312" w:eastAsia="仿宋_GB2312"/>
                    </w:rPr>
                    <w:t>302、303、304、305、306、307、308、309、310、311、312、313、314、315、316、317、318、319、320、401、402、403、404、405、409、410、411、412、413、414、415、416、417、418、419、420、505、506、507、508、509、510、511、512、513、514、515</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57</w:t>
                  </w:r>
                </w:p>
              </w:tc>
              <w:tc>
                <w:tcPr>
                  <w:tcW w:type="dxa" w:w="638"/>
                </w:tcPr>
                <w:p>
                  <w:pPr>
                    <w:pStyle w:val="null3"/>
                  </w:pPr>
                  <w:r>
                    <w:rPr>
                      <w:rFonts w:ascii="仿宋_GB2312" w:hAnsi="仿宋_GB2312" w:cs="仿宋_GB2312" w:eastAsia="仿宋_GB2312"/>
                    </w:rPr>
                    <w:t xml:space="preserve">104、105、108、109、110、111、113、117、124、125、126、129、204、206、207、209、210、211、214、216、217、223、224、225、229、230、303、304、305、307、308、309、310、311、313、314、315、316、317、323、329、403、404、405、407、409、410、411、430、432、508、511、518、522、523、524、527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50</w:t>
                  </w:r>
                </w:p>
              </w:tc>
              <w:tc>
                <w:tcPr>
                  <w:tcW w:type="dxa" w:w="638"/>
                </w:tcPr>
                <w:p>
                  <w:pPr>
                    <w:pStyle w:val="null3"/>
                  </w:pPr>
                  <w:r>
                    <w:rPr>
                      <w:rFonts w:ascii="仿宋_GB2312" w:hAnsi="仿宋_GB2312" w:cs="仿宋_GB2312" w:eastAsia="仿宋_GB2312"/>
                    </w:rPr>
                    <w:t>104、107、108、109、110、120、122、124、128、130、201、204、205、206、207、208、209、212、214、218、220、222、223、224、226、228、230、231、232、301、302、306、318、320、324、326、327、328、330、331、401、402、403、404、405、406、407、408、410、508</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37</w:t>
                  </w:r>
                </w:p>
              </w:tc>
              <w:tc>
                <w:tcPr>
                  <w:tcW w:type="dxa" w:w="638"/>
                </w:tcPr>
                <w:p>
                  <w:pPr>
                    <w:pStyle w:val="null3"/>
                  </w:pPr>
                  <w:r>
                    <w:rPr>
                      <w:rFonts w:ascii="仿宋_GB2312" w:hAnsi="仿宋_GB2312" w:cs="仿宋_GB2312" w:eastAsia="仿宋_GB2312"/>
                    </w:rPr>
                    <w:t>102、104、105、106、107、108、110、111、113、114、116、117、118、119、120、122、125、127、128、129、130、131、132、201、202、203、204、205、206、207、208、209、210、211、212、213、214</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120、126、220、232、301、303、305、315、316、317、318、321、322、324、325、326、327、328、329、330、420、422、428、429、512</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38</w:t>
                  </w:r>
                </w:p>
              </w:tc>
              <w:tc>
                <w:tcPr>
                  <w:tcW w:type="dxa" w:w="638"/>
                </w:tcPr>
                <w:p>
                  <w:pPr>
                    <w:pStyle w:val="null3"/>
                  </w:pPr>
                  <w:r>
                    <w:rPr>
                      <w:rFonts w:ascii="仿宋_GB2312" w:hAnsi="仿宋_GB2312" w:cs="仿宋_GB2312" w:eastAsia="仿宋_GB2312"/>
                    </w:rPr>
                    <w:t xml:space="preserve">101、102、103、104、108、109、111、112、113、115、203、205、207、225、304、305、306、307、308、309、310、311、318、319、327、328、329、401、418、427、428、502、504、509、514、530、531、532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22</w:t>
                  </w:r>
                </w:p>
              </w:tc>
              <w:tc>
                <w:tcPr>
                  <w:tcW w:type="dxa" w:w="638"/>
                </w:tcPr>
                <w:p>
                  <w:pPr>
                    <w:pStyle w:val="null3"/>
                  </w:pPr>
                  <w:r>
                    <w:rPr>
                      <w:rFonts w:ascii="仿宋_GB2312" w:hAnsi="仿宋_GB2312" w:cs="仿宋_GB2312" w:eastAsia="仿宋_GB2312"/>
                    </w:rPr>
                    <w:t>101、116、117、122、231、232、301、302、305、311、312、313、315、331、332、403、415、418、426、509、519、532</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11男</w:t>
                  </w:r>
                </w:p>
              </w:tc>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511、512、513、514、515、516、517、518、519</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12A</w:t>
                  </w:r>
                </w:p>
              </w:tc>
              <w:tc>
                <w:tcPr>
                  <w:tcW w:type="dxa" w:w="638"/>
                </w:tcPr>
                <w:p>
                  <w:pPr>
                    <w:pStyle w:val="null3"/>
                  </w:pPr>
                  <w:r>
                    <w:rPr>
                      <w:rFonts w:ascii="仿宋_GB2312" w:hAnsi="仿宋_GB2312" w:cs="仿宋_GB2312" w:eastAsia="仿宋_GB2312"/>
                    </w:rPr>
                    <w:t>46</w:t>
                  </w:r>
                </w:p>
              </w:tc>
              <w:tc>
                <w:tcPr>
                  <w:tcW w:type="dxa" w:w="638"/>
                </w:tcPr>
                <w:p>
                  <w:pPr>
                    <w:pStyle w:val="null3"/>
                  </w:pPr>
                  <w:r>
                    <w:rPr>
                      <w:rFonts w:ascii="仿宋_GB2312" w:hAnsi="仿宋_GB2312" w:cs="仿宋_GB2312" w:eastAsia="仿宋_GB2312"/>
                    </w:rPr>
                    <w:t>203、315、317、318、319、320、321、332、333、334、335、403、404、405、406、407、409、410、411、412、413、416、419、427、502、503、504、535、602、621、622、623、624、625、626、627、628、629、630、631、632、633、634、635、636、637</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12B</w:t>
                  </w:r>
                </w:p>
              </w:tc>
              <w:tc>
                <w:tcPr>
                  <w:tcW w:type="dxa" w:w="638"/>
                </w:tcPr>
                <w:p>
                  <w:pPr>
                    <w:pStyle w:val="null3"/>
                  </w:pPr>
                  <w:r>
                    <w:rPr>
                      <w:rFonts w:ascii="仿宋_GB2312" w:hAnsi="仿宋_GB2312" w:cs="仿宋_GB2312" w:eastAsia="仿宋_GB2312"/>
                    </w:rPr>
                    <w:t>21</w:t>
                  </w:r>
                </w:p>
              </w:tc>
              <w:tc>
                <w:tcPr>
                  <w:tcW w:type="dxa" w:w="638"/>
                </w:tcPr>
                <w:p>
                  <w:pPr>
                    <w:pStyle w:val="null3"/>
                  </w:pPr>
                  <w:r>
                    <w:rPr>
                      <w:rFonts w:ascii="仿宋_GB2312" w:hAnsi="仿宋_GB2312" w:cs="仿宋_GB2312" w:eastAsia="仿宋_GB2312"/>
                    </w:rPr>
                    <w:t>211、218、302、315、334、335、407、419、420、423、424、425、427、428、433、434、518、524、605、606、628</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103</w:t>
                  </w:r>
                </w:p>
              </w:tc>
              <w:tc>
                <w:tcPr>
                  <w:tcW w:type="dxa" w:w="638"/>
                </w:tcPr>
                <w:p>
                  <w:pPr>
                    <w:pStyle w:val="null3"/>
                  </w:pPr>
                  <w:r>
                    <w:rPr>
                      <w:rFonts w:ascii="仿宋_GB2312" w:hAnsi="仿宋_GB2312" w:cs="仿宋_GB2312" w:eastAsia="仿宋_GB2312"/>
                    </w:rPr>
                    <w:t>102、112、115、116、120、122、124、125、126、127、128、131、132、133、134、135、136、201、203、204、205、206、210、211、212、213、214、215、218、222、230、232、233、234、237、301、303、305、306、307、308、313、314、315、316、317、318、323、326、327、329、330、331、332、334、336、337、338、405、410、411、412、413、414、425、426、427、428、429、432、433、434、435、501、502、503、504、505、506、507、509、510、511、512、513、514、516、518、520、522、523、524、525、526、601、602、603、607、608、610、616、635、636</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23</w:t>
                  </w:r>
                </w:p>
              </w:tc>
              <w:tc>
                <w:tcPr>
                  <w:tcW w:type="dxa" w:w="638"/>
                </w:tcPr>
                <w:p>
                  <w:pPr>
                    <w:pStyle w:val="null3"/>
                  </w:pPr>
                  <w:r>
                    <w:rPr>
                      <w:rFonts w:ascii="仿宋_GB2312" w:hAnsi="仿宋_GB2312" w:cs="仿宋_GB2312" w:eastAsia="仿宋_GB2312"/>
                    </w:rPr>
                    <w:t>105、201、202、211、212、213、214、215、216、217、218、229、304、314、325、401、406、407、408、416、418、532、535</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46</w:t>
                  </w:r>
                </w:p>
              </w:tc>
              <w:tc>
                <w:tcPr>
                  <w:tcW w:type="dxa" w:w="638"/>
                </w:tcPr>
                <w:p>
                  <w:pPr>
                    <w:pStyle w:val="null3"/>
                  </w:pPr>
                  <w:r>
                    <w:rPr>
                      <w:rFonts w:ascii="仿宋_GB2312" w:hAnsi="仿宋_GB2312" w:cs="仿宋_GB2312" w:eastAsia="仿宋_GB2312"/>
                    </w:rPr>
                    <w:t>124、128、131、133、134、135、136、137、201、202、204、205、206、207、208、210、219、220、221、303、308、309、408、413、434、435、436、437、438、502、509、513、514、515、516、517、518、519、520、521、522、524、525、526、535、536</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105、317、319</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116、117、118、120、129、501</w:t>
                  </w:r>
                </w:p>
              </w:tc>
              <w:tc>
                <w:tcPr>
                  <w:tcW w:type="dxa" w:w="638"/>
                </w:tcPr>
                <w:p>
                  <w:pPr>
                    <w:pStyle w:val="null3"/>
                  </w:pPr>
                  <w:r>
                    <w:rPr>
                      <w:rFonts w:ascii="仿宋_GB2312" w:hAnsi="仿宋_GB2312" w:cs="仿宋_GB2312" w:eastAsia="仿宋_GB2312"/>
                    </w:rPr>
                    <w:t xml:space="preserve"> </w:t>
                  </w:r>
                </w:p>
              </w:tc>
            </w:tr>
            <w:tr>
              <w:tc>
                <w:tcPr>
                  <w:tcW w:type="dxa" w:w="1914"/>
                  <w:gridSpan w:val="3"/>
                </w:tcPr>
                <w:p>
                  <w:pPr>
                    <w:pStyle w:val="null3"/>
                  </w:pPr>
                  <w:r>
                    <w:rPr>
                      <w:rFonts w:ascii="仿宋_GB2312" w:hAnsi="仿宋_GB2312" w:cs="仿宋_GB2312" w:eastAsia="仿宋_GB2312"/>
                    </w:rPr>
                    <w:t>渭城校区合计</w:t>
                  </w:r>
                </w:p>
              </w:tc>
              <w:tc>
                <w:tcPr>
                  <w:tcW w:type="dxa" w:w="638"/>
                </w:tcPr>
                <w:p>
                  <w:pPr>
                    <w:pStyle w:val="null3"/>
                  </w:pPr>
                  <w:r>
                    <w:rPr>
                      <w:rFonts w:ascii="仿宋_GB2312" w:hAnsi="仿宋_GB2312" w:cs="仿宋_GB2312" w:eastAsia="仿宋_GB2312"/>
                    </w:rPr>
                    <w:t>671间</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标的名称：秦都校区毕业生宿舍粉刷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一、项目现状</w:t>
            </w:r>
          </w:p>
          <w:p>
            <w:pPr>
              <w:pStyle w:val="null3"/>
            </w:pPr>
            <w:r>
              <w:rPr>
                <w:rFonts w:ascii="仿宋_GB2312" w:hAnsi="仿宋_GB2312" w:cs="仿宋_GB2312" w:eastAsia="仿宋_GB2312"/>
              </w:rPr>
              <w:t>2026年毕业生宿舍已使用多年，墙面普遍存在涂抹痕迹严重、墙皮陈旧、起皮脱落等问题。为切实做好2026级新生开学报到入住工作，为新生营造整洁、舒适的公寓生活环境，需对相关宿舍墙面进行粉刷维修。本次需粉刷秦都校区学生宿舍394间。</w:t>
            </w:r>
          </w:p>
          <w:p>
            <w:pPr>
              <w:pStyle w:val="null3"/>
            </w:pPr>
            <w:r>
              <w:rPr>
                <w:rFonts w:ascii="仿宋_GB2312" w:hAnsi="仿宋_GB2312" w:cs="仿宋_GB2312" w:eastAsia="仿宋_GB2312"/>
              </w:rPr>
              <w:t>此外，秦都校区西三公寓因多年未投入使用，其1-6层楼道墙面出现大面积掉皮、开裂现象，需同步进行粉刷维修。</w:t>
            </w:r>
          </w:p>
          <w:p>
            <w:pPr>
              <w:pStyle w:val="null3"/>
            </w:pPr>
            <w:r>
              <w:rPr>
                <w:rFonts w:ascii="仿宋_GB2312" w:hAnsi="仿宋_GB2312" w:cs="仿宋_GB2312" w:eastAsia="仿宋_GB2312"/>
              </w:rPr>
              <w:t>二、施工内容</w:t>
            </w:r>
          </w:p>
          <w:p>
            <w:pPr>
              <w:pStyle w:val="null3"/>
            </w:pPr>
            <w:r>
              <w:rPr>
                <w:rFonts w:ascii="仿宋_GB2312" w:hAnsi="仿宋_GB2312" w:cs="仿宋_GB2312" w:eastAsia="仿宋_GB2312"/>
              </w:rPr>
              <w:t>1.破损、墙皮脱落等情况铲除原墙面墙皮，再用腻子点补墙面，铲除处刮腻子两遍，铲除及刮腻子面积按总墙面工程量13%计入。</w:t>
            </w:r>
          </w:p>
          <w:p>
            <w:pPr>
              <w:pStyle w:val="null3"/>
            </w:pPr>
            <w:r>
              <w:rPr>
                <w:rFonts w:ascii="仿宋_GB2312" w:hAnsi="仿宋_GB2312" w:cs="仿宋_GB2312" w:eastAsia="仿宋_GB2312"/>
              </w:rPr>
              <w:t>2.所有墙面清理后用砂纸打磨，喷2遍乳胶漆。</w:t>
            </w:r>
          </w:p>
          <w:p>
            <w:pPr>
              <w:pStyle w:val="null3"/>
            </w:pPr>
            <w:r>
              <w:rPr>
                <w:rFonts w:ascii="仿宋_GB2312" w:hAnsi="仿宋_GB2312" w:cs="仿宋_GB2312" w:eastAsia="仿宋_GB2312"/>
              </w:rPr>
              <w:t>3.施工时需移动学生宿舍床、柜等设施且进行覆盖保护，施工后将学生宿舍内的床、柜等设施进行复位。</w:t>
            </w:r>
          </w:p>
          <w:p>
            <w:pPr>
              <w:pStyle w:val="null3"/>
            </w:pPr>
            <w:r>
              <w:rPr>
                <w:rFonts w:ascii="仿宋_GB2312" w:hAnsi="仿宋_GB2312" w:cs="仿宋_GB2312" w:eastAsia="仿宋_GB2312"/>
              </w:rPr>
              <w:t>4.秦都校区标段：学生公寓394间、西三公寓1-6层楼道墙面，粉刷面积31807.3平方米（具体宿舍号详见秦都校区宿舍粉刷信息汇总表）。</w:t>
            </w:r>
          </w:p>
          <w:p>
            <w:pPr>
              <w:pStyle w:val="null3"/>
            </w:pPr>
            <w:r>
              <w:rPr>
                <w:rFonts w:ascii="仿宋_GB2312" w:hAnsi="仿宋_GB2312" w:cs="仿宋_GB2312" w:eastAsia="仿宋_GB2312"/>
              </w:rPr>
              <w:t>5.工期确保不影响新生入住筹备工作。</w:t>
            </w:r>
          </w:p>
          <w:p>
            <w:pPr>
              <w:pStyle w:val="null3"/>
            </w:pPr>
            <w:r>
              <w:rPr>
                <w:rFonts w:ascii="仿宋_GB2312" w:hAnsi="仿宋_GB2312" w:cs="仿宋_GB2312" w:eastAsia="仿宋_GB2312"/>
              </w:rPr>
              <w:t>6.本工程施工严格按照规范要求进行施工，达到各项拟定指标，确保工程质量达到国家强制性合格标准。</w:t>
            </w:r>
          </w:p>
          <w:p>
            <w:pPr>
              <w:pStyle w:val="null3"/>
            </w:pPr>
            <w:r>
              <w:rPr>
                <w:rFonts w:ascii="仿宋_GB2312" w:hAnsi="仿宋_GB2312" w:cs="仿宋_GB2312" w:eastAsia="仿宋_GB2312"/>
              </w:rPr>
              <w:t>7.所有材料必须在检验合格经采购人确认后，方可用于本工程。</w:t>
            </w:r>
          </w:p>
          <w:p>
            <w:pPr>
              <w:pStyle w:val="null3"/>
            </w:pPr>
            <w:r>
              <w:rPr>
                <w:rFonts w:ascii="仿宋_GB2312" w:hAnsi="仿宋_GB2312" w:cs="仿宋_GB2312" w:eastAsia="仿宋_GB2312"/>
              </w:rPr>
              <w:t>8.隐蔽工程必须经采购人检查、验收后，方可进行下一道工序。</w:t>
            </w:r>
          </w:p>
          <w:p>
            <w:pPr>
              <w:pStyle w:val="null3"/>
            </w:pPr>
            <w:r>
              <w:rPr>
                <w:rFonts w:ascii="仿宋_GB2312" w:hAnsi="仿宋_GB2312" w:cs="仿宋_GB2312" w:eastAsia="仿宋_GB2312"/>
              </w:rPr>
              <w:t>9.自工程竣工验收合格之日起进入质量保修期，保修内容为由成交供应商负责的本工程全部质量问题。成交供应商收到保修通知并到达工程现场的合理时间：响应时间为正常工作日一小时内答复，两小时内到现场处理。节假日及法定休息日三小时内答复，六小时内到现场处理。在质量保修期内，成交供应商对有缺陷的部位必须无偿地给予修理与更换，并承担一切由此引起的对采购人或第三者的直接损失，除非该缺陷是由于人为破坏或合同规定的不可抗因素损坏。</w:t>
            </w:r>
          </w:p>
          <w:p>
            <w:pPr>
              <w:pStyle w:val="null3"/>
            </w:pPr>
            <w:r>
              <w:rPr>
                <w:rFonts w:ascii="仿宋_GB2312" w:hAnsi="仿宋_GB2312" w:cs="仿宋_GB2312" w:eastAsia="仿宋_GB2312"/>
              </w:rPr>
              <w:t>10.供应商必须对所承包的工程的质量负全部责任，其责任不因其他材料生产商提供的保证书而减轻或更改。</w:t>
            </w:r>
          </w:p>
          <w:p>
            <w:pPr>
              <w:pStyle w:val="null3"/>
            </w:pPr>
            <w:r>
              <w:rPr>
                <w:rFonts w:ascii="仿宋_GB2312" w:hAnsi="仿宋_GB2312" w:cs="仿宋_GB2312" w:eastAsia="仿宋_GB2312"/>
              </w:rPr>
              <w:t>11.施工时注意做好必要的劳动保护工作。</w:t>
            </w:r>
          </w:p>
          <w:p>
            <w:pPr>
              <w:pStyle w:val="null3"/>
            </w:pPr>
            <w:r>
              <w:rPr>
                <w:rFonts w:ascii="仿宋_GB2312" w:hAnsi="仿宋_GB2312" w:cs="仿宋_GB2312" w:eastAsia="仿宋_GB2312"/>
              </w:rPr>
              <w:t>12.本工程施工期间必须注意防尘降噪，并须将集中施工区域和学生生活区域进行适当隔离，尽可能把对在校生的学习和生活产生的负面影响减到最小。</w:t>
            </w:r>
          </w:p>
          <w:p>
            <w:pPr>
              <w:pStyle w:val="null3"/>
            </w:pPr>
            <w:r>
              <w:rPr>
                <w:rFonts w:ascii="仿宋_GB2312" w:hAnsi="仿宋_GB2312" w:cs="仿宋_GB2312" w:eastAsia="仿宋_GB2312"/>
              </w:rPr>
              <w:t>13.在进行粉刷工程时，需要注意施工环境、安全防护等问题。施工现场通风要畅通、避免火源，穿着劳保服装和防护用品等。此外，要保持施工工具的干净和整洁，避免杂物混入。</w:t>
            </w:r>
          </w:p>
          <w:p>
            <w:pPr>
              <w:pStyle w:val="null3"/>
            </w:pPr>
            <w:r>
              <w:rPr>
                <w:rFonts w:ascii="仿宋_GB2312" w:hAnsi="仿宋_GB2312" w:cs="仿宋_GB2312" w:eastAsia="仿宋_GB2312"/>
              </w:rPr>
              <w:t>三、质量标准及要求</w:t>
            </w:r>
          </w:p>
          <w:p>
            <w:pPr>
              <w:pStyle w:val="null3"/>
            </w:pPr>
            <w:r>
              <w:rPr>
                <w:rFonts w:ascii="仿宋_GB2312" w:hAnsi="仿宋_GB2312" w:cs="仿宋_GB2312" w:eastAsia="仿宋_GB2312"/>
              </w:rPr>
              <w:t>1.工程质量标准严格执行《建筑工程施工质量验收统一标准》GB50300-2013、《建筑装饰装修工程质量验收标准》GB50210-2018、《建筑与市政工程施工质量控制通用规范》GB 55032-2022及行业相关规范要求。</w:t>
            </w:r>
          </w:p>
          <w:p>
            <w:pPr>
              <w:pStyle w:val="null3"/>
            </w:pPr>
            <w:r>
              <w:rPr>
                <w:rFonts w:ascii="仿宋_GB2312" w:hAnsi="仿宋_GB2312" w:cs="仿宋_GB2312" w:eastAsia="仿宋_GB2312"/>
              </w:rPr>
              <w:t>2.涂料要求：统一使用符合国家环保要求乳胶漆。</w:t>
            </w:r>
          </w:p>
          <w:p>
            <w:pPr>
              <w:pStyle w:val="null3"/>
            </w:pPr>
            <w:r>
              <w:rPr>
                <w:rFonts w:ascii="仿宋_GB2312" w:hAnsi="仿宋_GB2312" w:cs="仿宋_GB2312" w:eastAsia="仿宋_GB2312"/>
              </w:rPr>
              <w:t>3.依据技术规范要求，本工程项目的材料、设备、施工必须达到现行中华人民共和国及省、市、行业的一切有关法规、规范的要求，如标准及规范要求有出入则以较严格者为准。</w:t>
            </w:r>
          </w:p>
          <w:p>
            <w:pPr>
              <w:pStyle w:val="null3"/>
            </w:pPr>
            <w:r>
              <w:rPr>
                <w:rFonts w:ascii="仿宋_GB2312" w:hAnsi="仿宋_GB2312" w:cs="仿宋_GB2312" w:eastAsia="仿宋_GB2312"/>
              </w:rPr>
              <w:t>4.技术规范由供应商方自备，如有不足之处或未能达到国家最新标准时，供应商应使施工及选用的设备和材料符合最新版本的国家标准、规范。</w:t>
            </w:r>
          </w:p>
          <w:p>
            <w:pPr>
              <w:pStyle w:val="null3"/>
            </w:pPr>
            <w:r>
              <w:rPr>
                <w:rFonts w:ascii="仿宋_GB2312" w:hAnsi="仿宋_GB2312" w:cs="仿宋_GB2312" w:eastAsia="仿宋_GB2312"/>
              </w:rPr>
              <w:t>四、安全文明施工要求</w:t>
            </w:r>
          </w:p>
          <w:p>
            <w:pPr>
              <w:pStyle w:val="null3"/>
            </w:pPr>
            <w:r>
              <w:rPr>
                <w:rFonts w:ascii="仿宋_GB2312" w:hAnsi="仿宋_GB2312" w:cs="仿宋_GB2312" w:eastAsia="仿宋_GB2312"/>
              </w:rPr>
              <w:t>1.对学生宿舍内的床、柜等设施设备进行覆盖保护。</w:t>
            </w:r>
          </w:p>
          <w:p>
            <w:pPr>
              <w:pStyle w:val="null3"/>
            </w:pPr>
            <w:r>
              <w:rPr>
                <w:rFonts w:ascii="仿宋_GB2312" w:hAnsi="仿宋_GB2312" w:cs="仿宋_GB2312" w:eastAsia="仿宋_GB2312"/>
              </w:rPr>
              <w:t>2.供应商必须建立完善安全管理制度，开工前必须进行安全技术交底。</w:t>
            </w:r>
          </w:p>
          <w:p>
            <w:pPr>
              <w:pStyle w:val="null3"/>
            </w:pPr>
            <w:r>
              <w:rPr>
                <w:rFonts w:ascii="仿宋_GB2312" w:hAnsi="仿宋_GB2312" w:cs="仿宋_GB2312" w:eastAsia="仿宋_GB2312"/>
              </w:rPr>
              <w:t>3.施工现场进行封闭管理，场地内材料用具堆放整齐，做到工完料尽场地清。</w:t>
            </w:r>
          </w:p>
          <w:p>
            <w:pPr>
              <w:pStyle w:val="null3"/>
            </w:pPr>
            <w:r>
              <w:rPr>
                <w:rFonts w:ascii="仿宋_GB2312" w:hAnsi="仿宋_GB2312" w:cs="仿宋_GB2312" w:eastAsia="仿宋_GB2312"/>
              </w:rPr>
              <w:t>4.施工应考虑除尘降霾措施，及时进行垃圾外运。</w:t>
            </w:r>
          </w:p>
          <w:p>
            <w:pPr>
              <w:pStyle w:val="null3"/>
            </w:pPr>
            <w:r>
              <w:rPr>
                <w:rFonts w:ascii="仿宋_GB2312" w:hAnsi="仿宋_GB2312" w:cs="仿宋_GB2312" w:eastAsia="仿宋_GB2312"/>
              </w:rPr>
              <w:t>5.施工不能影响学生正常休息，确保学生财产安全，否则，按合同条款予以处罚。</w:t>
            </w:r>
          </w:p>
          <w:p>
            <w:pPr>
              <w:pStyle w:val="null3"/>
            </w:pPr>
            <w:r>
              <w:rPr>
                <w:rFonts w:ascii="仿宋_GB2312" w:hAnsi="仿宋_GB2312" w:cs="仿宋_GB2312" w:eastAsia="仿宋_GB2312"/>
              </w:rPr>
              <w:t>五、工程管理要求</w:t>
            </w:r>
          </w:p>
          <w:p>
            <w:pPr>
              <w:pStyle w:val="null3"/>
            </w:pPr>
            <w:r>
              <w:rPr>
                <w:rFonts w:ascii="仿宋_GB2312" w:hAnsi="仿宋_GB2312" w:cs="仿宋_GB2312" w:eastAsia="仿宋_GB2312"/>
              </w:rPr>
              <w:t>1.本工程采购范围内的工程项目，未经采购人同意一律不得分包。一经发现立即取消承包资格，作违约处理，并承担由此引起的一切经济损失。</w:t>
            </w:r>
          </w:p>
          <w:p>
            <w:pPr>
              <w:pStyle w:val="null3"/>
            </w:pPr>
            <w:r>
              <w:rPr>
                <w:rFonts w:ascii="仿宋_GB2312" w:hAnsi="仿宋_GB2312" w:cs="仿宋_GB2312" w:eastAsia="仿宋_GB2312"/>
              </w:rPr>
              <w:t>2.供应商应严格按已确认施工技术方案组织施工，并无条件地接受采购人代表对施工质量的监督和管理。施工过程中，施工方必须严格把关，按照相应规范标准要求施工，如出现不符合标准要求的情况，施工方必须无条件返工，直至达到规范标准要求。所发生的费用均由施工方承担。</w:t>
            </w:r>
          </w:p>
          <w:p>
            <w:pPr>
              <w:pStyle w:val="null3"/>
            </w:pPr>
            <w:r>
              <w:rPr>
                <w:rFonts w:ascii="仿宋_GB2312" w:hAnsi="仿宋_GB2312" w:cs="仿宋_GB2312" w:eastAsia="仿宋_GB2312"/>
              </w:rPr>
              <w:t>3.供应商在响应文件中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pPr>
            <w:r>
              <w:rPr>
                <w:rFonts w:ascii="仿宋_GB2312" w:hAnsi="仿宋_GB2312" w:cs="仿宋_GB2312" w:eastAsia="仿宋_GB2312"/>
              </w:rPr>
              <w:t>六、工程技术标准及要求</w:t>
            </w:r>
          </w:p>
          <w:p>
            <w:pPr>
              <w:pStyle w:val="null3"/>
            </w:pPr>
            <w:r>
              <w:rPr>
                <w:rFonts w:ascii="仿宋_GB2312" w:hAnsi="仿宋_GB2312" w:cs="仿宋_GB2312" w:eastAsia="仿宋_GB2312"/>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pPr>
            <w:r>
              <w:rPr>
                <w:rFonts w:ascii="仿宋_GB2312" w:hAnsi="仿宋_GB2312" w:cs="仿宋_GB2312" w:eastAsia="仿宋_GB2312"/>
              </w:rPr>
              <w:t>2.本工程其他技术标准及要求执行现行规范和采购人实际需求。</w:t>
            </w:r>
          </w:p>
          <w:p>
            <w:pPr>
              <w:pStyle w:val="null3"/>
            </w:pPr>
            <w:r>
              <w:rPr>
                <w:rFonts w:ascii="仿宋_GB2312" w:hAnsi="仿宋_GB2312" w:cs="仿宋_GB2312" w:eastAsia="仿宋_GB2312"/>
              </w:rPr>
              <w:t>3.在施工过程中，如果国家或有关部门颁布了新的技术标准或规范，则采购人应采用新的标准或规范进行施工。</w:t>
            </w:r>
          </w:p>
          <w:p>
            <w:pPr>
              <w:pStyle w:val="null3"/>
            </w:pPr>
            <w:r>
              <w:rPr>
                <w:rFonts w:ascii="仿宋_GB2312" w:hAnsi="仿宋_GB2312" w:cs="仿宋_GB2312" w:eastAsia="仿宋_GB2312"/>
              </w:rPr>
              <w:t>4.采购人提供工程的施工方案和相关技术文件，是采购人现有的能被供应商利用的资料，采购人对供应商做出的任何推论、理解均不负责任。</w:t>
            </w:r>
          </w:p>
          <w:p>
            <w:pPr>
              <w:pStyle w:val="null3"/>
            </w:pPr>
            <w:r>
              <w:rPr>
                <w:rFonts w:ascii="仿宋_GB2312" w:hAnsi="仿宋_GB2312" w:cs="仿宋_GB2312" w:eastAsia="仿宋_GB2312"/>
              </w:rPr>
              <w:t>5.供应商应先到工地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pPr>
            <w:r>
              <w:rPr>
                <w:rFonts w:ascii="仿宋_GB2312" w:hAnsi="仿宋_GB2312" w:cs="仿宋_GB2312" w:eastAsia="仿宋_GB2312"/>
              </w:rPr>
              <w:t>七、工程施工方案</w:t>
            </w:r>
          </w:p>
          <w:p>
            <w:pPr>
              <w:pStyle w:val="null3"/>
            </w:pPr>
            <w:r>
              <w:rPr>
                <w:rFonts w:ascii="仿宋_GB2312" w:hAnsi="仿宋_GB2312" w:cs="仿宋_GB2312" w:eastAsia="仿宋_GB2312"/>
              </w:rPr>
              <w:t>详见附件</w:t>
            </w:r>
          </w:p>
          <w:p>
            <w:pPr>
              <w:pStyle w:val="null3"/>
            </w:pPr>
            <w:r>
              <w:rPr>
                <w:rFonts w:ascii="仿宋_GB2312" w:hAnsi="仿宋_GB2312" w:cs="仿宋_GB2312" w:eastAsia="仿宋_GB2312"/>
              </w:rPr>
              <w:t>秦都校区宿舍粉刷信息汇总（394间）</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楼号</w:t>
                  </w:r>
                </w:p>
              </w:tc>
              <w:tc>
                <w:tcPr>
                  <w:tcW w:type="dxa" w:w="638"/>
                </w:tcPr>
                <w:p>
                  <w:pPr>
                    <w:pStyle w:val="null3"/>
                  </w:pPr>
                  <w:r>
                    <w:rPr>
                      <w:rFonts w:ascii="仿宋_GB2312" w:hAnsi="仿宋_GB2312" w:cs="仿宋_GB2312" w:eastAsia="仿宋_GB2312"/>
                    </w:rPr>
                    <w:t>间数</w:t>
                  </w:r>
                </w:p>
              </w:tc>
              <w:tc>
                <w:tcPr>
                  <w:tcW w:type="dxa" w:w="638"/>
                </w:tcPr>
                <w:p>
                  <w:pPr>
                    <w:pStyle w:val="null3"/>
                  </w:pPr>
                  <w:r>
                    <w:rPr>
                      <w:rFonts w:ascii="仿宋_GB2312" w:hAnsi="仿宋_GB2312" w:cs="仿宋_GB2312" w:eastAsia="仿宋_GB2312"/>
                    </w:rPr>
                    <w:t>宿舍号</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东一</w:t>
                  </w:r>
                </w:p>
                <w:p>
                  <w:pPr>
                    <w:pStyle w:val="null3"/>
                  </w:pPr>
                  <w:r>
                    <w:rPr>
                      <w:rFonts w:ascii="仿宋_GB2312" w:hAnsi="仿宋_GB2312" w:cs="仿宋_GB2312" w:eastAsia="仿宋_GB2312"/>
                    </w:rPr>
                    <w:t>公寓</w:t>
                  </w:r>
                </w:p>
              </w:tc>
              <w:tc>
                <w:tcPr>
                  <w:tcW w:type="dxa" w:w="638"/>
                </w:tcPr>
                <w:p>
                  <w:pPr>
                    <w:pStyle w:val="null3"/>
                  </w:pPr>
                  <w:r>
                    <w:rPr>
                      <w:rFonts w:ascii="仿宋_GB2312" w:hAnsi="仿宋_GB2312" w:cs="仿宋_GB2312" w:eastAsia="仿宋_GB2312"/>
                    </w:rPr>
                    <w:t>130</w:t>
                  </w:r>
                </w:p>
              </w:tc>
              <w:tc>
                <w:tcPr>
                  <w:tcW w:type="dxa" w:w="638"/>
                </w:tcPr>
                <w:p>
                  <w:pPr>
                    <w:pStyle w:val="null3"/>
                  </w:pPr>
                  <w:r>
                    <w:rPr>
                      <w:rFonts w:ascii="仿宋_GB2312" w:hAnsi="仿宋_GB2312" w:cs="仿宋_GB2312" w:eastAsia="仿宋_GB2312"/>
                    </w:rPr>
                    <w:t>201、202、203、204、205、206、207、208、209、210、211、212、213、214、215、217、218、219、220、221、222、223、224、225、226、227、228、229、230、301、302、303、304、305、306、307、308、309、310、311、312、313、314、315、317、318、319、320、321、322、323、324、325、326、327、328、329、330、401、402、403、404、405、406、407、408、409、410、411、412、413、414、415、417、418、419、420、421、422、423、424、425、426、427、428、429、430、501、502、503、504、505、506、507、508、509、510、511、512、513、514、515、517、518、519、520、521、522、523、524、525、526、527、528、529、530、606、607、608、609、615、617、618、619、620、621、622、623、624、625</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东二</w:t>
                  </w:r>
                </w:p>
                <w:p>
                  <w:pPr>
                    <w:pStyle w:val="null3"/>
                  </w:pPr>
                  <w:r>
                    <w:rPr>
                      <w:rFonts w:ascii="仿宋_GB2312" w:hAnsi="仿宋_GB2312" w:cs="仿宋_GB2312" w:eastAsia="仿宋_GB2312"/>
                    </w:rPr>
                    <w:t>公寓</w:t>
                  </w:r>
                </w:p>
              </w:tc>
              <w:tc>
                <w:tcPr>
                  <w:tcW w:type="dxa" w:w="638"/>
                </w:tcPr>
                <w:p>
                  <w:pPr>
                    <w:pStyle w:val="null3"/>
                  </w:pPr>
                  <w:r>
                    <w:rPr>
                      <w:rFonts w:ascii="仿宋_GB2312" w:hAnsi="仿宋_GB2312" w:cs="仿宋_GB2312" w:eastAsia="仿宋_GB2312"/>
                    </w:rPr>
                    <w:t>82</w:t>
                  </w:r>
                </w:p>
              </w:tc>
              <w:tc>
                <w:tcPr>
                  <w:tcW w:type="dxa" w:w="638"/>
                </w:tcPr>
                <w:p>
                  <w:pPr>
                    <w:pStyle w:val="null3"/>
                  </w:pPr>
                  <w:r>
                    <w:rPr>
                      <w:rFonts w:ascii="仿宋_GB2312" w:hAnsi="仿宋_GB2312" w:cs="仿宋_GB2312" w:eastAsia="仿宋_GB2312"/>
                    </w:rPr>
                    <w:t>129、130、131、133、135、137、139、143、231、232、233、234、235、236、237、238、239、240、241、242、243、244、245、331、332、333、334、335、336、337、338、339、340、341、342、343、344、345、431、432、433、434、435、436、437、438、439、441、442、443、444、445、531、532、533、534、535、536、537、538、539、540、541、542、543、544、545、631、632、633、634、635、636、637、638、639、640、641、642、643、644、645</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东三</w:t>
                  </w:r>
                </w:p>
                <w:p>
                  <w:pPr>
                    <w:pStyle w:val="null3"/>
                  </w:pPr>
                  <w:r>
                    <w:rPr>
                      <w:rFonts w:ascii="仿宋_GB2312" w:hAnsi="仿宋_GB2312" w:cs="仿宋_GB2312" w:eastAsia="仿宋_GB2312"/>
                    </w:rPr>
                    <w:t>公寓</w:t>
                  </w:r>
                </w:p>
              </w:tc>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646、647、648、650、651、655、656、659、660、661、663、664、665、671、676、683、684、685</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西一</w:t>
                  </w:r>
                </w:p>
                <w:p>
                  <w:pPr>
                    <w:pStyle w:val="null3"/>
                  </w:pPr>
                  <w:r>
                    <w:rPr>
                      <w:rFonts w:ascii="仿宋_GB2312" w:hAnsi="仿宋_GB2312" w:cs="仿宋_GB2312" w:eastAsia="仿宋_GB2312"/>
                    </w:rPr>
                    <w:t>公寓</w:t>
                  </w:r>
                </w:p>
              </w:tc>
              <w:tc>
                <w:tcPr>
                  <w:tcW w:type="dxa" w:w="638"/>
                </w:tcPr>
                <w:p>
                  <w:pPr>
                    <w:pStyle w:val="null3"/>
                  </w:pPr>
                  <w:r>
                    <w:rPr>
                      <w:rFonts w:ascii="仿宋_GB2312" w:hAnsi="仿宋_GB2312" w:cs="仿宋_GB2312" w:eastAsia="仿宋_GB2312"/>
                    </w:rPr>
                    <w:t>86</w:t>
                  </w:r>
                </w:p>
              </w:tc>
              <w:tc>
                <w:tcPr>
                  <w:tcW w:type="dxa" w:w="638"/>
                </w:tcPr>
                <w:p>
                  <w:pPr>
                    <w:pStyle w:val="null3"/>
                  </w:pPr>
                  <w:r>
                    <w:rPr>
                      <w:rFonts w:ascii="仿宋_GB2312" w:hAnsi="仿宋_GB2312" w:cs="仿宋_GB2312" w:eastAsia="仿宋_GB2312"/>
                    </w:rPr>
                    <w:t>101、102、103、104、105、106、107、108、109、110、111、112、113、114、115、117、118、120、121、122、123、201、202、203、204、205、206、207、208、209、210、211、212、213、214、215、216、217、218、219、220、221、222、223、224、301、302、303、304、305、306、307、308、309、310、311、312、313、314、315、317、318、319、320、321、322、323、324、401、402、403、404、405、406、407、408、409、414、415、416、418、419、420、421、422、423</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西三</w:t>
                  </w:r>
                </w:p>
                <w:p>
                  <w:pPr>
                    <w:pStyle w:val="null3"/>
                  </w:pPr>
                  <w:r>
                    <w:rPr>
                      <w:rFonts w:ascii="仿宋_GB2312" w:hAnsi="仿宋_GB2312" w:cs="仿宋_GB2312" w:eastAsia="仿宋_GB2312"/>
                    </w:rPr>
                    <w:t>公寓</w:t>
                  </w:r>
                </w:p>
              </w:tc>
              <w:tc>
                <w:tcPr>
                  <w:tcW w:type="dxa" w:w="638"/>
                </w:tcPr>
                <w:p>
                  <w:pPr>
                    <w:pStyle w:val="null3"/>
                  </w:pPr>
                  <w:r>
                    <w:rPr>
                      <w:rFonts w:ascii="仿宋_GB2312" w:hAnsi="仿宋_GB2312" w:cs="仿宋_GB2312" w:eastAsia="仿宋_GB2312"/>
                    </w:rPr>
                    <w:t>78</w:t>
                  </w:r>
                </w:p>
              </w:tc>
              <w:tc>
                <w:tcPr>
                  <w:tcW w:type="dxa" w:w="638"/>
                </w:tcPr>
                <w:p>
                  <w:pPr>
                    <w:pStyle w:val="null3"/>
                  </w:pPr>
                  <w:r>
                    <w:rPr>
                      <w:rFonts w:ascii="仿宋_GB2312" w:hAnsi="仿宋_GB2312" w:cs="仿宋_GB2312" w:eastAsia="仿宋_GB2312"/>
                    </w:rPr>
                    <w:t>101、102、103、104、105、106、107、108、109、110、111、112、113、114、115、116、117、118、119、201、202、203、204、205、206、207、208、209、210、211、212、213、214、215、216、217、218、219、220、221、301、302、303、304、305、306、307、308、309、310、311、312、313、314、315、316、317、318、319、320、321、405、407、416、501、502、504、505、509、513、521、601、605、611、613、614、620、621</w:t>
                  </w:r>
                </w:p>
              </w:tc>
              <w:tc>
                <w:tcPr>
                  <w:tcW w:type="dxa" w:w="638"/>
                </w:tcPr>
                <w:p>
                  <w:pPr>
                    <w:pStyle w:val="null3"/>
                  </w:pPr>
                  <w:r>
                    <w:rPr>
                      <w:rFonts w:ascii="仿宋_GB2312" w:hAnsi="仿宋_GB2312" w:cs="仿宋_GB2312" w:eastAsia="仿宋_GB2312"/>
                    </w:rPr>
                    <w:t>含8人间2间（212、312）</w:t>
                  </w:r>
                </w:p>
              </w:tc>
            </w:tr>
            <w:tr>
              <w:tc>
                <w:tcPr>
                  <w:tcW w:type="dxa" w:w="1914"/>
                  <w:gridSpan w:val="3"/>
                </w:tcPr>
                <w:p>
                  <w:pPr>
                    <w:pStyle w:val="null3"/>
                  </w:pPr>
                  <w:r>
                    <w:rPr>
                      <w:rFonts w:ascii="仿宋_GB2312" w:hAnsi="仿宋_GB2312" w:cs="仿宋_GB2312" w:eastAsia="仿宋_GB2312"/>
                    </w:rPr>
                    <w:t>秦都校区合计</w:t>
                  </w:r>
                </w:p>
              </w:tc>
              <w:tc>
                <w:tcPr>
                  <w:tcW w:type="dxa" w:w="638"/>
                </w:tcPr>
                <w:p>
                  <w:pPr>
                    <w:pStyle w:val="null3"/>
                  </w:pPr>
                  <w:r>
                    <w:rPr>
                      <w:rFonts w:ascii="仿宋_GB2312" w:hAnsi="仿宋_GB2312" w:cs="仿宋_GB2312" w:eastAsia="仿宋_GB2312"/>
                    </w:rPr>
                    <w:t>394间</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满足现行《建筑装饰装修工程质量验收标准》GB50210-2018、《建筑工程施工质量验收统一标准》GB50300-2013、《建筑与市政工程质量控制通用规范》GB55032-2022等国家及行业相关规范及标准，质量验收合格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满足现行《建筑装饰装修工程质量验收标准》GB50210-2018、《建筑工程施工质量验收统一标准》GB50300-2013、《建筑与市政工程质量控制通用规范》GB55032-2022等国家及行业相关规范及标准，质量验收合格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采购包1： 1.工期：2026年8月20日前全部完工。 2.工程地点：咸阳师范学院渭城校区采购人指定地点。 3.质量保修期：自项目验收合格之日起1年。 4.报价方式： （1）本项目最高限价（全费用单价）：10.8元/m2 备注：各供应商磋商报价不得超过上述最高磋商限价，否则将按照无效响应处理。 （2）各供应商以“全费用单价”的形式填报磋商报价，供应商应充分考虑磋商文件的各项条款和所掌握的市场情况及采购人提供的“咸阳师范学院2026年毕业生宿舍粉刷工程施工方案”，且应根据企业自身情况自主做出填报全费用单价。供应商在计算报价时须全面考虑磋商文件及拟签订合同中所明示或可能涉及的全部风险。 供应商在磋商报价时应仔细对磋商文件进行透彻地分析研究，对采购人提供的咸阳师范学院2026年毕业生宿舍粉刷工程施工方案进行仔细地阅读和理解，根据磋商文件中的技术要求和有关要求、施工现场实际情况及拟定的施工方案或施工组织设计进行报价。采购人所发布的技术要求仅表达了主要工程做法，报价时各供应商应依据磋商文件、合同条款、技术规范及现场情况进行科学合理组价。所填报的全费用单价采购人视为是在招标范围内的全部内容价格。 评审时以各供应商填报的磋商报价作为评审依据，结算时依据采购人实际审定的工程量结合成交供应商最终磋商报价（全费用单价）据实结算。 供应商在首次提交的响应文件中的报价(即首次报价)应按采购文件及采购人提供的咸阳师范学院2026年毕业生宿舍粉刷工程施工方案要求，提供该项目的报价明细表。报价明细表应由注册或登记的造价人员签字并盖执业印章。 （3）供应商所填报的竞争性磋商报价中的价格均包含完成相应工作内容的人工费、材料费、机械费、企业管理费、利润、措施项目费、税金和供应商必须的其它费用以及合同明示或暗示的所有风险、责任和义务等所有相关费用的全费用单价。合同期限内不因任何原因调整成交单价。凡本响应文件要求或允许供应商进行报价的各项费用项目，若磋商响应时未报，采购人将按这些费用已包含在本项目磋商报价中对待，采购人不再另行支付。 （4）所有材料必须使用合格产品，使用前应当由采购人认质确认后方可投入使用。工程施工完毕后需对施工场地进行保洁，保洁标准达到采购人要求。 （5）供应商可自行到实施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因协调不力而影响工程进度，所发生的一切费用应在报价时加以考虑。 采购包2： 1.工期：2026年7月20日前全部完工。 2.工程地点：咸阳师范学院秦都校区采购人指定地点。 3.质量保修期：自项目验收合格之日起1年。 4.报价方式： （1）本项目最高限价（全费用单价）：10.8元/m2 备注：各供应商磋商报价不得超过上述最高磋商限价，否则将按照无效响应处理。 （2）各供应商以“全费用单价”的形式填报磋商报价，供应商应充分考虑磋商文件的各项条款和所掌握的市场情况及采购人提供的“咸阳师范学院2026年毕业生宿舍粉刷工程施工方案”，且应根据企业自身情况自主做出填报全费用单价。供应商在计算报价时须全面考虑磋商文件及拟签订合同中所明示或可能涉及的全部风险。 供应商在磋商报价时应仔细对磋商文件进行透彻地分析研究，对采购人提供的咸阳师范学院2026年毕业生宿舍粉刷工程施工方案进行仔细地阅读和理解，根据磋商文件中的技术要求和有关要求、施工现场实际情况及拟定的施工方案或施工组织设计进行报价。采购人所发布的技术要求仅表达了主要工程做法，报价时各供应商应依据磋商文件、合同条款、技术规范及现场情况进行科学合理组价。所填报的全费用单价采购人视为是在招标范围内的全部内容价格。 评审时以各供应商填报的磋商报价作为评审依据，结算时依据采购人实际审定的工程量结合成交供应商最终磋商报价（全费用单价）据实结算。 供应商在首次提交的响应文件中的报价(即首次报价)应按采购文件及采购人提供的咸阳师范学院2026年毕业生宿舍粉刷工程施工方案要求，提供该项目的报价明细表。报价明细表应由注册或登记的造价人员签字并盖执业印章。 （3）供应商所填报的竞争性磋商报价中的价格均包含完成相应工作内容的人工费、材料费、机械费、企业管理费、利润、措施项目费、税金和供应商必须的其它费用以及合同明示或暗示的所有风险、责任和义务等所有相关费用的全费用单价。合同期限内不因任何原因调整成交单价。凡本响应文件要求或允许供应商进行报价的各项费用项目，若磋商响应时未报，采购人将按这些费用已包含在本项目磋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供应商为向采购人提供相关工程及服务的法人或其他组织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合法有效的建筑工程施工总承包三级（含三级）及以上资质或建筑装修装饰工程专业承包二级（含二级）及以上资质，并具备合法有效的安全生产许可证，且在人员、设备、资金等方面具备相应施工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供应商拟派项目经理具备合法有效的建筑工程专业二级（含二级）及以上注册建造师资格和安全生产考核合格证，在本单位注册且未担任其他在建工程项目的项目经理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 项目管理机构组成表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“陕西省住房和城乡建设厅”官网可查询</w:t>
            </w:r>
          </w:p>
        </w:tc>
        <w:tc>
          <w:tcPr>
            <w:tcW w:type="dxa" w:w="3322"/>
          </w:tcPr>
          <w:p>
            <w:pPr>
              <w:pStyle w:val="null3"/>
            </w:pPr>
            <w:r>
              <w:rPr>
                <w:rFonts w:ascii="仿宋_GB2312" w:hAnsi="仿宋_GB2312" w:cs="仿宋_GB2312" w:eastAsia="仿宋_GB2312"/>
              </w:rPr>
              <w:t>供应商及拟派项目经理须在“陕西省住房和城乡建设厅”官网可查询。如供应商为外省进陕企业，还须同时提供“陕西省住房和城乡建设厅”官网企业库外省进陕施工企业信息首页截图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供应商为向采购人提供相关工程及服务的法人或其他组织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合法有效的建筑工程施工总承包三级（含三级）及以上资质或建筑装修装饰工程专业承包二级（含二级）及以上资质，并具备合法有效的安全生产许可证，且在人员、设备、资金等方面具备相应施工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供应商拟派项目经理具备合法有效的建筑工程专业二级（含二级）及以上注册建造师资格和安全生产考核合格证，在本单位注册且未担任其他在建工程项目的项目经理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 项目管理机构组成表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“陕西省住房和城乡建设厅”官网可查询</w:t>
            </w:r>
          </w:p>
        </w:tc>
        <w:tc>
          <w:tcPr>
            <w:tcW w:type="dxa" w:w="3322"/>
          </w:tcPr>
          <w:p>
            <w:pPr>
              <w:pStyle w:val="null3"/>
            </w:pPr>
            <w:r>
              <w:rPr>
                <w:rFonts w:ascii="仿宋_GB2312" w:hAnsi="仿宋_GB2312" w:cs="仿宋_GB2312" w:eastAsia="仿宋_GB2312"/>
              </w:rPr>
              <w:t>供应商及拟派项目经理须在“陕西省住房和城乡建设厅”官网可查询。如供应商为外省进陕企业，还须同时提供“陕西省住房和城乡建设厅”官网企业库外省进陕施工企业信息首页截图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响应文件应当按竞争性磋商文件要求签署、盖章，否则磋商小组应当将其响应文件作为无效处理。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响应文件的报价应当不超过竞争性磋商文件中规定的最高限价，否则磋商小组应当将其响应文件作为无效处理。</w:t>
            </w:r>
          </w:p>
        </w:tc>
        <w:tc>
          <w:tcPr>
            <w:tcW w:type="dxa" w:w="1661"/>
          </w:tcPr>
          <w:p>
            <w:pPr>
              <w:pStyle w:val="null3"/>
            </w:pPr>
            <w:r>
              <w:rPr>
                <w:rFonts w:ascii="仿宋_GB2312" w:hAnsi="仿宋_GB2312" w:cs="仿宋_GB2312" w:eastAsia="仿宋_GB2312"/>
              </w:rPr>
              <w:t>报价明细表（采购包1）.docx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响应文件未含有采购人不能接受的附加条件的或其他情形，否则磋商小组应当将其响应文件作为无效处理。</w:t>
            </w:r>
          </w:p>
        </w:tc>
        <w:tc>
          <w:tcPr>
            <w:tcW w:type="dxa" w:w="1661"/>
          </w:tcPr>
          <w:p>
            <w:pPr>
              <w:pStyle w:val="null3"/>
            </w:pPr>
            <w:r>
              <w:rPr>
                <w:rFonts w:ascii="仿宋_GB2312" w:hAnsi="仿宋_GB2312" w:cs="仿宋_GB2312" w:eastAsia="仿宋_GB2312"/>
              </w:rPr>
              <w:t>响应文件封面 技术服务合同条款及其他商务要求应答表 强制优先采购产品承诺函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响应文件未发现法律、法规和竞争性磋商文件规定的其他无效情形，否则磋商小组应当将其响应文件作为无效处理</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法定代表人身份证明及授权委托书.docx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响应文件应当按竞争性磋商文件要求签署、盖章，否则磋商小组应当将其响应文件作为无效处理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响应文件的报价应当不超过竞争性磋商文件中规定的最高限价，否则磋商小组应当将其响应文件作为无效处理</w:t>
            </w:r>
          </w:p>
        </w:tc>
        <w:tc>
          <w:tcPr>
            <w:tcW w:type="dxa" w:w="1661"/>
          </w:tcPr>
          <w:p>
            <w:pPr>
              <w:pStyle w:val="null3"/>
            </w:pPr>
            <w:r>
              <w:rPr>
                <w:rFonts w:ascii="仿宋_GB2312" w:hAnsi="仿宋_GB2312" w:cs="仿宋_GB2312" w:eastAsia="仿宋_GB2312"/>
              </w:rPr>
              <w:t>报价函 标的清单 报价明细表（采购包2）.docx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响应文件未含有采购人不能接受的附加条件的或其他情形，否则磋商小组应当将其响应文件作为无效处理</w:t>
            </w:r>
          </w:p>
        </w:tc>
        <w:tc>
          <w:tcPr>
            <w:tcW w:type="dxa" w:w="1661"/>
          </w:tcPr>
          <w:p>
            <w:pPr>
              <w:pStyle w:val="null3"/>
            </w:pPr>
            <w:r>
              <w:rPr>
                <w:rFonts w:ascii="仿宋_GB2312" w:hAnsi="仿宋_GB2312" w:cs="仿宋_GB2312" w:eastAsia="仿宋_GB2312"/>
              </w:rPr>
              <w:t>技术服务合同条款及其他商务要求应答表 强制优先采购产品承诺函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响应文件未发现法律、法规和竞争性磋商文件规定的其他无效情形，否则磋商小组应当将其响应文件作为无效处理</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法定代表人身份证明及授权委托书.docx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供应商提供自2023年6月1日至今承接过的类似业绩证明材料，每提供1项得2.5分，最多得10分。 评审依据：类似业绩证明材料指维修改造工程或装修装饰工程类似相关业绩合同扫描件或复印件，以合同签订时间为准。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拟派项目经理具有中级（含）及以上职称得5分；其余情况不得分。 评审依据：评审时以供应商提供的拟派项目经理的职称证扫描件或复印件为准，提供多个职称证明材料的，以最高职称证书的扫描件或复印件为准。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拟派项目经理具有专科（含）及以上学历得5分；其余情况不得分。 评审依据：评审时以供应商提供的拟派项目经理的最高学历证书扫描件或复印件为准。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供应商提供拟派项目经理的类似项目业绩证明材料（在该项目中担任项目经理一职）每提供1项得2.5分，最多得5分。 评审依据：类似业绩证明材料指维修改造工程或装修装饰工程类似相关业绩合同扫描件或复印件，以合同签订时间为准。拟派项目经理业绩可与企业业绩重复。</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施工总体规划部署及施工方案</w:t>
            </w:r>
          </w:p>
        </w:tc>
        <w:tc>
          <w:tcPr>
            <w:tcW w:type="dxa" w:w="2492"/>
          </w:tcPr>
          <w:p>
            <w:pPr>
              <w:pStyle w:val="null3"/>
            </w:pPr>
            <w:r>
              <w:rPr>
                <w:rFonts w:ascii="仿宋_GB2312" w:hAnsi="仿宋_GB2312" w:cs="仿宋_GB2312" w:eastAsia="仿宋_GB2312"/>
              </w:rPr>
              <w:t>供应商提供的施工总体规划部署及施工方案需包含①项目施工总体思路；②施工实施阶段划分；③关键工序技术把控措施，共3项内容，每项满分3分，总分9分。 其中，每项以具体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质量管控体系方案</w:t>
            </w:r>
          </w:p>
        </w:tc>
        <w:tc>
          <w:tcPr>
            <w:tcW w:type="dxa" w:w="2492"/>
          </w:tcPr>
          <w:p>
            <w:pPr>
              <w:pStyle w:val="null3"/>
            </w:pPr>
            <w:r>
              <w:rPr>
                <w:rFonts w:ascii="仿宋_GB2312" w:hAnsi="仿宋_GB2312" w:cs="仿宋_GB2312" w:eastAsia="仿宋_GB2312"/>
              </w:rPr>
              <w:t>供应商提供的质量管控体系方案需包含①材料质量管控；②工序质量控制③成品保护管控，共3项内容，每项满分3分，总分9分。 其中，每项以具体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进度管控与应急方案</w:t>
            </w:r>
          </w:p>
        </w:tc>
        <w:tc>
          <w:tcPr>
            <w:tcW w:type="dxa" w:w="2492"/>
          </w:tcPr>
          <w:p>
            <w:pPr>
              <w:pStyle w:val="null3"/>
            </w:pPr>
            <w:r>
              <w:rPr>
                <w:rFonts w:ascii="仿宋_GB2312" w:hAnsi="仿宋_GB2312" w:cs="仿宋_GB2312" w:eastAsia="仿宋_GB2312"/>
              </w:rPr>
              <w:t>供应商提供的进度管控与应急方案需包含①进度管控节点设置；②进度跟踪与动态核查；③流水段划分与工序排布，共3项内容，每项满分3分，总分9分。 其中，每项以具体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安全文明施工方案</w:t>
            </w:r>
          </w:p>
        </w:tc>
        <w:tc>
          <w:tcPr>
            <w:tcW w:type="dxa" w:w="2492"/>
          </w:tcPr>
          <w:p>
            <w:pPr>
              <w:pStyle w:val="null3"/>
            </w:pPr>
            <w:r>
              <w:rPr>
                <w:rFonts w:ascii="仿宋_GB2312" w:hAnsi="仿宋_GB2312" w:cs="仿宋_GB2312" w:eastAsia="仿宋_GB2312"/>
              </w:rPr>
              <w:t>供应商提供的安全文明施工方案需包含①安全管理制度；②安全风险防控方案；③文明施工方案，共3项内容，每项满分3分，总分9分。 其中，每项以具体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拟投入人员、工具及材料</w:t>
            </w:r>
          </w:p>
        </w:tc>
        <w:tc>
          <w:tcPr>
            <w:tcW w:type="dxa" w:w="2492"/>
          </w:tcPr>
          <w:p>
            <w:pPr>
              <w:pStyle w:val="null3"/>
            </w:pPr>
            <w:r>
              <w:rPr>
                <w:rFonts w:ascii="仿宋_GB2312" w:hAnsi="仿宋_GB2312" w:cs="仿宋_GB2312" w:eastAsia="仿宋_GB2312"/>
              </w:rPr>
              <w:t>供应商提供的拟投入人员、工具及材料需包含①施工队伍、管理人员及经验；②施工工具投入；③材料供应，共3项内容，每项满分3分，总分9分。 其中，每项以具体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磋商报价采用低价优先法计算，即满足竞争性磋商文件要求且即满足磋商文件要求且最后报价最低的供应商的价格为磋商基准价，其价格分为满分。其他供应商的价格分统一按照下列公式计算：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供应商提供自2023年6月1日至今承接过的类似业绩证明材料，每提供1项得2.5分，最多得10分。 评审依据：类似业绩证明材料指维修改造工程或装修装饰工程类似相关业绩合同扫描件或复印件，以合同签订时间为准。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拟派项目经理具有中级（含）及以上职称得5分；其余情况不得分。 评审依据：评审时以供应商提供的拟派项目经理的职称证扫描件或复印件为准，提供多个职称证明材料的，以最高职称证书的扫描件或复印件为准。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拟派项目经理具有专科（含）及以上学历得5分；其余情况不得分。 评审依据：评审时以供应商提供的拟派项目经理的最高学历证书扫描件或复印件为准。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供应商提供拟派项目经理的类似项目业绩证明材料（在该项目中担任项目经理一职）每提供1项得2.5分，最多得5分。 评审依据：类似业绩证明材料指维修改造工程或装修装饰工程类似相关业绩合同扫描件或复印件，以合同签订时间为准。拟派项目经理业绩可与企业业绩重复。</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施工总体规划部署及施工方案</w:t>
            </w:r>
          </w:p>
        </w:tc>
        <w:tc>
          <w:tcPr>
            <w:tcW w:type="dxa" w:w="2492"/>
          </w:tcPr>
          <w:p>
            <w:pPr>
              <w:pStyle w:val="null3"/>
            </w:pPr>
            <w:r>
              <w:rPr>
                <w:rFonts w:ascii="仿宋_GB2312" w:hAnsi="仿宋_GB2312" w:cs="仿宋_GB2312" w:eastAsia="仿宋_GB2312"/>
              </w:rPr>
              <w:t>供应商提供的施工总体规划部署及施工方案需包含①项目施工总体思路；②施工实施阶段划分；③关键工序技术把控措施，共3项内容，每项满分3分，总分9分。 其中，每项以具体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质量管控体系方案</w:t>
            </w:r>
          </w:p>
        </w:tc>
        <w:tc>
          <w:tcPr>
            <w:tcW w:type="dxa" w:w="2492"/>
          </w:tcPr>
          <w:p>
            <w:pPr>
              <w:pStyle w:val="null3"/>
            </w:pPr>
            <w:r>
              <w:rPr>
                <w:rFonts w:ascii="仿宋_GB2312" w:hAnsi="仿宋_GB2312" w:cs="仿宋_GB2312" w:eastAsia="仿宋_GB2312"/>
              </w:rPr>
              <w:t>供应商提供的质量管控体系方案需包含①材料质量管控；②工序质量控制③成品保护管控，共3项内容，每项满分3分，总分9分。 其中，每项以具体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进度管控与应急方案</w:t>
            </w:r>
          </w:p>
        </w:tc>
        <w:tc>
          <w:tcPr>
            <w:tcW w:type="dxa" w:w="2492"/>
          </w:tcPr>
          <w:p>
            <w:pPr>
              <w:pStyle w:val="null3"/>
            </w:pPr>
            <w:r>
              <w:rPr>
                <w:rFonts w:ascii="仿宋_GB2312" w:hAnsi="仿宋_GB2312" w:cs="仿宋_GB2312" w:eastAsia="仿宋_GB2312"/>
              </w:rPr>
              <w:t>供应商提供的进度管控与应急方案需包含①进度管控节点设置；②进度跟踪与动态核查；③流水段划分与工序排布，共3项内容，每项满分3分，总分9分。 其中，每项以具体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安全文明施工方案</w:t>
            </w:r>
          </w:p>
        </w:tc>
        <w:tc>
          <w:tcPr>
            <w:tcW w:type="dxa" w:w="2492"/>
          </w:tcPr>
          <w:p>
            <w:pPr>
              <w:pStyle w:val="null3"/>
            </w:pPr>
            <w:r>
              <w:rPr>
                <w:rFonts w:ascii="仿宋_GB2312" w:hAnsi="仿宋_GB2312" w:cs="仿宋_GB2312" w:eastAsia="仿宋_GB2312"/>
              </w:rPr>
              <w:t>供应商提供的安全文明施工方案需包含①安全管理制度；②安全风险防控方案；③文明施工方案，共3项内容，每项满分3分，总分9分。 其中，每项以具体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拟投入人员、工具及材料</w:t>
            </w:r>
          </w:p>
        </w:tc>
        <w:tc>
          <w:tcPr>
            <w:tcW w:type="dxa" w:w="2492"/>
          </w:tcPr>
          <w:p>
            <w:pPr>
              <w:pStyle w:val="null3"/>
            </w:pPr>
            <w:r>
              <w:rPr>
                <w:rFonts w:ascii="仿宋_GB2312" w:hAnsi="仿宋_GB2312" w:cs="仿宋_GB2312" w:eastAsia="仿宋_GB2312"/>
              </w:rPr>
              <w:t>供应商提供的拟投入人员、工具及材料需包含①施工队伍、管理人员及经验；②施工工具投入；③材料供应，共3项内容，每项满分3分，总分9分。 其中，每项以具体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磋商报价采用低价优先法计算，即满足竞争性磋商文件要求且即满足磋商文件要求且最后报价最低的供应商的价格为磋商基准价，其价格分为满分。其他供应商的价格分统一按照下列公式计算：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详见附件：报价明细表（采购包1）.docx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详见附件：报价明细表（采购包2）.docx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