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版本号：SHM-HZZ-(2026)第3号20260702001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微景·慢活·新美学——“小而美”乡村生活美学创意周活动执行服务项目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SHM-HZZ-(2026)第3号</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陕西华茂建设监理咨询有限公司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陕西华茂建设监理咨询有限公司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微景·慢活·新美学——“小而美”乡村生活美学创意周活动执行服务项目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SHM-HZZ-(2026)第3号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微景·慢活·新美学——“小而美”乡村生活美学创意周活动执行服务项目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2026年中央一号文件精神，推动乡村生活美学与文旅产业深度融合。拟举办“微景慢活新美学--‘小而美’乡村生活美学创意周”活动，聚焦乡村文旅融合发展，打造特色乡村文旅交流平台。活动设置实地观摩考察、主旨演讲、经验交流分享等环节，组织业内人士探访乡村特色文旅点位，行业专家、从业者分享“小而美”乡村文旅打造、生活美学营造的实践经验与发展思路，助力本地乡村文旅提质升级。目标按照实施方案的内容完成该项目的会务执行，达到预期效果，确保安全、高效、节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采购包1（微景·慢活·新美学——“小而美”乡村生活美学创意周活动执行服务项目）：属于专门面向中小企业采购。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3、汉中市政府采购供应商资格承诺函：供应商须按照汉财办采管[2024]20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胡志甜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15353375500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陕西华茂建设监理咨询有限公司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汉中市汉台区西一环路8号汉府公馆旺座国际B座办公楼6层606室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0916-2258373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开户名称：陕西华茂建设监理咨询有限公司汉中分公司</w:t>
            </w:r>
          </w:p>
          <w:p>
            <w:pPr>
              <w:pStyle w:val="null3"/>
            </w:pPr>
            <w:r>
              <w:rPr>
                <w:rFonts w:ascii="仿宋_GB2312" w:hAnsi="仿宋_GB2312" w:cs="仿宋_GB2312" w:eastAsia="仿宋_GB2312"/>
              </w:rPr>
              <w:t>开户银行：中国农业银行股份有限公司汉中天台路支行</w:t>
            </w:r>
          </w:p>
          <w:p>
            <w:pPr>
              <w:pStyle w:val="null3"/>
            </w:pPr>
            <w:r>
              <w:rPr>
                <w:rFonts w:ascii="仿宋_GB2312" w:hAnsi="仿宋_GB2312" w:cs="仿宋_GB2312" w:eastAsia="仿宋_GB2312"/>
              </w:rPr>
              <w:t>银行账号：26653001040011122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照国家计委关于印发《招标代理服务收费管理暂行办法》的通知（计价格〔2002〕1980号）、《国家发展和改革委员会办公厅关于招标代理服务收费有关问题的通知》（发改办价格〔2003〕857号）及（发改办价格〔2011〕534号）规定服务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陕西华茂建设监理咨询有限公司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陕西华茂建设监理咨询有限公司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陕西华茂建设监理咨询有限公司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相关所有费用均包含在投标总价中，采购人不另行付费。供应商承诺所提供产品及技术知识产权权属完整合法，无侵权及权属纠纷。若出现知识产权侵权问题，一切法律责任、经济赔偿及采购人损失均由供应商全部承担。项目交付成果知识产权权属以双方签订的采购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陕西华茂建设监理咨询有限公司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陕西华茂建设监理咨询有限公司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陕西华茂建设监理咨询有限公司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联系人：王俊</w:t>
      </w:r>
    </w:p>
    <w:p>
      <w:pPr>
        <w:pStyle w:val="null3"/>
      </w:pPr>
      <w:r>
        <w:rPr>
          <w:rFonts w:ascii="仿宋_GB2312" w:hAnsi="仿宋_GB2312" w:cs="仿宋_GB2312" w:eastAsia="仿宋_GB2312"/>
        </w:rPr>
        <w:t>联系电话：0916-2258373</w:t>
      </w:r>
    </w:p>
    <w:p>
      <w:pPr>
        <w:pStyle w:val="null3"/>
      </w:pPr>
      <w:r>
        <w:rPr>
          <w:rFonts w:ascii="仿宋_GB2312" w:hAnsi="仿宋_GB2312" w:cs="仿宋_GB2312" w:eastAsia="仿宋_GB2312"/>
        </w:rPr>
        <w:t>地址：汉中市汉台区西一环路8号汉府公馆旺座国际B座办公楼6层606室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2026年中央一号文件精神，推动乡村生活美学与文旅产业深度融合。拟举办“微景慢活新美学--‘小而美’乡村生活美学创意周”活动，聚焦乡村文旅融合发展，打造特色乡村文旅交流平台。活动设置实地观摩考察、主旨演讲、经验交流分享等环节，组织业内人士探访乡村特色文旅点位，行业专家、从业者分享“小而美”乡村文旅打造、生活美学营造的实践经验与发展思路，助力本地乡村文旅提质升级。目标按照实施方案的内容完成该项目的会务执行，达到预期效果，确保安全、高效、节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采购要求及具体内容</w:t>
            </w:r>
          </w:p>
          <w:p>
            <w:pPr>
              <w:pStyle w:val="null3"/>
              <w:jc w:val="both"/>
            </w:pPr>
            <w:r>
              <w:rPr>
                <w:rFonts w:ascii="仿宋_GB2312" w:hAnsi="仿宋_GB2312" w:cs="仿宋_GB2312" w:eastAsia="仿宋_GB2312"/>
                <w:sz w:val="24"/>
                <w:b/>
              </w:rPr>
              <w:t>第一章</w:t>
            </w:r>
            <w:r>
              <w:rPr>
                <w:rFonts w:ascii="仿宋_GB2312" w:hAnsi="仿宋_GB2312" w:cs="仿宋_GB2312" w:eastAsia="仿宋_GB2312"/>
                <w:sz w:val="24"/>
                <w:b/>
              </w:rPr>
              <w:t>项目概况</w:t>
            </w:r>
          </w:p>
          <w:p>
            <w:pPr>
              <w:pStyle w:val="null3"/>
              <w:ind w:firstLine="640"/>
            </w:pPr>
            <w:r>
              <w:rPr>
                <w:rFonts w:ascii="仿宋_GB2312" w:hAnsi="仿宋_GB2312" w:cs="仿宋_GB2312" w:eastAsia="仿宋_GB2312"/>
                <w:sz w:val="24"/>
              </w:rPr>
              <w:t>1、项目名称：微景·慢活·新美学——“小而美”乡村生活美学创意周活动执行服务项目</w:t>
            </w:r>
          </w:p>
          <w:p>
            <w:pPr>
              <w:pStyle w:val="null3"/>
              <w:ind w:firstLine="640"/>
            </w:pPr>
            <w:r>
              <w:rPr>
                <w:rFonts w:ascii="仿宋_GB2312" w:hAnsi="仿宋_GB2312" w:cs="仿宋_GB2312" w:eastAsia="仿宋_GB2312"/>
                <w:sz w:val="24"/>
              </w:rPr>
              <w:t>2、预算金额：70万元</w:t>
            </w:r>
          </w:p>
          <w:p>
            <w:pPr>
              <w:pStyle w:val="null3"/>
              <w:ind w:firstLine="640"/>
            </w:pPr>
            <w:r>
              <w:rPr>
                <w:rFonts w:ascii="仿宋_GB2312" w:hAnsi="仿宋_GB2312" w:cs="仿宋_GB2312" w:eastAsia="仿宋_GB2312"/>
                <w:sz w:val="24"/>
              </w:rPr>
              <w:t>3、服务周期：40日历天</w:t>
            </w:r>
          </w:p>
          <w:p>
            <w:pPr>
              <w:pStyle w:val="null3"/>
              <w:ind w:firstLine="640"/>
            </w:pPr>
            <w:r>
              <w:rPr>
                <w:rFonts w:ascii="仿宋_GB2312" w:hAnsi="仿宋_GB2312" w:cs="仿宋_GB2312" w:eastAsia="仿宋_GB2312"/>
                <w:sz w:val="24"/>
              </w:rPr>
              <w:t>4、服务地点：采购人指定地点</w:t>
            </w:r>
          </w:p>
          <w:p>
            <w:pPr>
              <w:pStyle w:val="null3"/>
              <w:ind w:firstLine="480"/>
              <w:jc w:val="both"/>
            </w:pPr>
            <w:r>
              <w:rPr>
                <w:rFonts w:ascii="仿宋_GB2312" w:hAnsi="仿宋_GB2312" w:cs="仿宋_GB2312" w:eastAsia="仿宋_GB2312"/>
                <w:sz w:val="24"/>
              </w:rPr>
              <w:t>5、项目背景：为深入贯彻落实2026年中央一号文件精神，推动乡村生活美学与文旅产业深度融合。拟举办“微景慢活新美学——‘小而美’乡村生活美学创意周”活动，聚焦乡村文旅融合发展，打造特色乡村文旅交流平台。活动设置实地观摩考察、主旨演讲、经验交流分享等环节，组织业内人士探访乡村特色文旅点位，行业专家、从业者分享“小而美”乡村文旅打造、生活美学营造的实践经验与发展思路，助力本地乡村文旅提质升级。目标按照实施方案的内容完成该项目的会务执行，达到预期效果，确保安全、高效、节俭。</w:t>
            </w:r>
          </w:p>
          <w:p>
            <w:pPr>
              <w:pStyle w:val="null3"/>
              <w:jc w:val="both"/>
            </w:pPr>
            <w:r>
              <w:rPr>
                <w:rFonts w:ascii="仿宋_GB2312" w:hAnsi="仿宋_GB2312" w:cs="仿宋_GB2312" w:eastAsia="仿宋_GB2312"/>
                <w:sz w:val="24"/>
                <w:b/>
              </w:rPr>
              <w:t>第二章</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由</w:t>
            </w:r>
            <w:r>
              <w:rPr>
                <w:rFonts w:ascii="仿宋_GB2312" w:hAnsi="仿宋_GB2312" w:cs="仿宋_GB2312" w:eastAsia="仿宋_GB2312"/>
                <w:sz w:val="24"/>
              </w:rPr>
              <w:t>中国旅游协会相关领导、邀请组织演讲发言嘉宾及中央和行业媒体记者等嘉宾合计约</w:t>
            </w:r>
            <w:r>
              <w:rPr>
                <w:rFonts w:ascii="仿宋_GB2312" w:hAnsi="仿宋_GB2312" w:cs="仿宋_GB2312" w:eastAsia="仿宋_GB2312"/>
                <w:sz w:val="24"/>
              </w:rPr>
              <w:t>20人，陕西省文旅厅、汉中市文旅局等省市有关领导等约10人，留坝县有关委办局和文旅机构、企业代表约120人，主会场不超过150人。</w:t>
            </w:r>
          </w:p>
          <w:p>
            <w:pPr>
              <w:pStyle w:val="null3"/>
              <w:ind w:firstLine="480"/>
              <w:jc w:val="both"/>
            </w:pPr>
            <w:r>
              <w:rPr>
                <w:rFonts w:ascii="仿宋_GB2312" w:hAnsi="仿宋_GB2312" w:cs="仿宋_GB2312" w:eastAsia="仿宋_GB2312"/>
                <w:sz w:val="24"/>
              </w:rPr>
              <w:t>负责做好活动专业化的组织、接待和服务执行等事项，提供现场布置方案（包括</w:t>
            </w:r>
            <w:r>
              <w:rPr>
                <w:rFonts w:ascii="仿宋_GB2312" w:hAnsi="仿宋_GB2312" w:cs="仿宋_GB2312" w:eastAsia="仿宋_GB2312"/>
                <w:sz w:val="24"/>
              </w:rPr>
              <w:t>但</w:t>
            </w:r>
            <w:r>
              <w:rPr>
                <w:rFonts w:ascii="仿宋_GB2312" w:hAnsi="仿宋_GB2312" w:cs="仿宋_GB2312" w:eastAsia="仿宋_GB2312"/>
                <w:sz w:val="24"/>
              </w:rPr>
              <w:t>不限于活动整体策划与统筹、主会场及四个分会场活动执行、嘉宾接待与后勤保障、宣传推广与内容生产</w:t>
            </w:r>
            <w:r>
              <w:rPr>
                <w:rFonts w:ascii="仿宋_GB2312" w:hAnsi="仿宋_GB2312" w:cs="仿宋_GB2312" w:eastAsia="仿宋_GB2312"/>
                <w:sz w:val="24"/>
              </w:rPr>
              <w:t>、</w:t>
            </w:r>
            <w:r>
              <w:rPr>
                <w:rFonts w:ascii="仿宋_GB2312" w:hAnsi="仿宋_GB2312" w:cs="仿宋_GB2312" w:eastAsia="仿宋_GB2312"/>
                <w:sz w:val="24"/>
              </w:rPr>
              <w:t>产业对接与成果转化）制定详细执行方案（含时间轴、人员分工、物料清单、应急预案）建立与县文旅局、景区管委会、火烧店镇、县卫健局等单位的统筹机制，完成活动</w:t>
            </w:r>
            <w:r>
              <w:rPr>
                <w:rFonts w:ascii="仿宋_GB2312" w:hAnsi="仿宋_GB2312" w:cs="仿宋_GB2312" w:eastAsia="仿宋_GB2312"/>
                <w:sz w:val="24"/>
              </w:rPr>
              <w:t>VI系统设计（主KV、导视系统、手册、背景板、电子物料等）</w:t>
            </w:r>
            <w:r>
              <w:rPr>
                <w:rFonts w:ascii="仿宋_GB2312" w:hAnsi="仿宋_GB2312" w:cs="仿宋_GB2312" w:eastAsia="仿宋_GB2312"/>
                <w:sz w:val="24"/>
              </w:rPr>
              <w:t>、</w:t>
            </w:r>
            <w:r>
              <w:rPr>
                <w:rFonts w:ascii="仿宋_GB2312" w:hAnsi="仿宋_GB2312" w:cs="仿宋_GB2312" w:eastAsia="仿宋_GB2312"/>
                <w:sz w:val="24"/>
              </w:rPr>
              <w:t>会务方案（主要包括</w:t>
            </w:r>
            <w:r>
              <w:rPr>
                <w:rFonts w:ascii="仿宋_GB2312" w:hAnsi="仿宋_GB2312" w:cs="仿宋_GB2312" w:eastAsia="仿宋_GB2312"/>
                <w:sz w:val="24"/>
              </w:rPr>
              <w:t>但</w:t>
            </w:r>
            <w:r>
              <w:rPr>
                <w:rFonts w:ascii="仿宋_GB2312" w:hAnsi="仿宋_GB2312" w:cs="仿宋_GB2312" w:eastAsia="仿宋_GB2312"/>
                <w:sz w:val="24"/>
              </w:rPr>
              <w:t>不限于嘉宾参会报名、报到以及物料设计制作、准备及发放等）、接待方案（主要包括</w:t>
            </w:r>
            <w:r>
              <w:rPr>
                <w:rFonts w:ascii="仿宋_GB2312" w:hAnsi="仿宋_GB2312" w:cs="仿宋_GB2312" w:eastAsia="仿宋_GB2312"/>
                <w:sz w:val="24"/>
              </w:rPr>
              <w:t>但</w:t>
            </w:r>
            <w:r>
              <w:rPr>
                <w:rFonts w:ascii="仿宋_GB2312" w:hAnsi="仿宋_GB2312" w:cs="仿宋_GB2312" w:eastAsia="仿宋_GB2312"/>
                <w:sz w:val="24"/>
              </w:rPr>
              <w:t>不限于接送机</w:t>
            </w:r>
            <w:r>
              <w:rPr>
                <w:rFonts w:ascii="仿宋_GB2312" w:hAnsi="仿宋_GB2312" w:cs="仿宋_GB2312" w:eastAsia="仿宋_GB2312"/>
                <w:sz w:val="24"/>
              </w:rPr>
              <w:t>/站；嘉宾</w:t>
            </w:r>
            <w:r>
              <w:rPr>
                <w:rFonts w:ascii="仿宋_GB2312" w:hAnsi="仿宋_GB2312" w:cs="仿宋_GB2312" w:eastAsia="仿宋_GB2312"/>
                <w:sz w:val="24"/>
              </w:rPr>
              <w:t>食宿、</w:t>
            </w:r>
            <w:r>
              <w:rPr>
                <w:rFonts w:ascii="仿宋_GB2312" w:hAnsi="仿宋_GB2312" w:cs="仿宋_GB2312" w:eastAsia="仿宋_GB2312"/>
                <w:sz w:val="24"/>
              </w:rPr>
              <w:t>签到</w:t>
            </w:r>
            <w:r>
              <w:rPr>
                <w:rFonts w:ascii="仿宋_GB2312" w:hAnsi="仿宋_GB2312" w:cs="仿宋_GB2312" w:eastAsia="仿宋_GB2312"/>
                <w:sz w:val="24"/>
              </w:rPr>
              <w:t>、</w:t>
            </w:r>
            <w:r>
              <w:rPr>
                <w:rFonts w:ascii="仿宋_GB2312" w:hAnsi="仿宋_GB2312" w:cs="仿宋_GB2312" w:eastAsia="仿宋_GB2312"/>
                <w:sz w:val="24"/>
              </w:rPr>
              <w:t>用车</w:t>
            </w:r>
            <w:r>
              <w:rPr>
                <w:rFonts w:ascii="仿宋_GB2312" w:hAnsi="仿宋_GB2312" w:cs="仿宋_GB2312" w:eastAsia="仿宋_GB2312"/>
                <w:sz w:val="24"/>
              </w:rPr>
              <w:t>、</w:t>
            </w:r>
            <w:r>
              <w:rPr>
                <w:rFonts w:ascii="仿宋_GB2312" w:hAnsi="仿宋_GB2312" w:cs="仿宋_GB2312" w:eastAsia="仿宋_GB2312"/>
                <w:sz w:val="24"/>
              </w:rPr>
              <w:t>一对一服务人员安排等）、考察方案，与活动安全保障相关的部门通力合作，在做好安全防范的前提下开展好活动，并对上述合规与安全问题负责；负责提供活动召开期间与会嘉宾及工作人员的相关费用；负责承接活动会务搭建方面</w:t>
            </w:r>
            <w:r>
              <w:rPr>
                <w:rFonts w:ascii="仿宋_GB2312" w:hAnsi="仿宋_GB2312" w:cs="仿宋_GB2312" w:eastAsia="仿宋_GB2312"/>
                <w:sz w:val="24"/>
              </w:rPr>
              <w:t>如场地或舞台租赁</w:t>
            </w:r>
            <w:r>
              <w:rPr>
                <w:rFonts w:ascii="仿宋_GB2312" w:hAnsi="仿宋_GB2312" w:cs="仿宋_GB2312" w:eastAsia="仿宋_GB2312"/>
                <w:sz w:val="24"/>
              </w:rPr>
              <w:t>的工作及相应费用；负责承接活动其他相关费用</w:t>
            </w:r>
            <w:r>
              <w:rPr>
                <w:rFonts w:ascii="仿宋_GB2312" w:hAnsi="仿宋_GB2312" w:cs="仿宋_GB2312" w:eastAsia="仿宋_GB2312"/>
                <w:sz w:val="24"/>
              </w:rPr>
              <w:t>;负责安排配合活动召开期间嘉宾的考察活动，讲解、餐饮及所有交通费用。</w:t>
            </w:r>
          </w:p>
          <w:p>
            <w:pPr>
              <w:pStyle w:val="null3"/>
              <w:jc w:val="both"/>
            </w:pPr>
            <w:r>
              <w:rPr>
                <w:rFonts w:ascii="仿宋_GB2312" w:hAnsi="仿宋_GB2312" w:cs="仿宋_GB2312" w:eastAsia="仿宋_GB2312"/>
                <w:sz w:val="24"/>
                <w:b/>
              </w:rPr>
              <w:t>主会场执行（县文旅局牵头）</w:t>
            </w:r>
            <w:r>
              <w:rPr>
                <w:rFonts w:ascii="仿宋_GB2312" w:hAnsi="仿宋_GB2312" w:cs="仿宋_GB2312" w:eastAsia="仿宋_GB2312"/>
                <w:sz w:val="24"/>
              </w:rPr>
              <w:t>拟定县</w:t>
            </w:r>
            <w:r>
              <w:rPr>
                <w:rFonts w:ascii="仿宋_GB2312" w:hAnsi="仿宋_GB2312" w:cs="仿宋_GB2312" w:eastAsia="仿宋_GB2312"/>
                <w:sz w:val="24"/>
              </w:rPr>
              <w:t>影</w:t>
            </w:r>
            <w:r>
              <w:rPr>
                <w:rFonts w:ascii="仿宋_GB2312" w:hAnsi="仿宋_GB2312" w:cs="仿宋_GB2312" w:eastAsia="仿宋_GB2312"/>
                <w:sz w:val="24"/>
              </w:rPr>
              <w:t>剧院</w:t>
            </w:r>
          </w:p>
          <w:p>
            <w:pPr>
              <w:pStyle w:val="null3"/>
              <w:ind w:firstLine="480"/>
              <w:jc w:val="both"/>
            </w:pPr>
            <w:r>
              <w:rPr>
                <w:rFonts w:ascii="仿宋_GB2312" w:hAnsi="仿宋_GB2312" w:cs="仿宋_GB2312" w:eastAsia="仿宋_GB2312"/>
                <w:sz w:val="24"/>
              </w:rPr>
              <w:t>嘉宾接待（接站、报到、入住、发放</w:t>
            </w:r>
            <w:r>
              <w:rPr>
                <w:rFonts w:ascii="仿宋_GB2312" w:hAnsi="仿宋_GB2312" w:cs="仿宋_GB2312" w:eastAsia="仿宋_GB2312"/>
                <w:sz w:val="24"/>
              </w:rPr>
              <w:t>“小而美”体验手册）</w:t>
            </w:r>
          </w:p>
          <w:p>
            <w:pPr>
              <w:pStyle w:val="null3"/>
              <w:ind w:firstLine="480"/>
              <w:jc w:val="both"/>
            </w:pPr>
            <w:r>
              <w:rPr>
                <w:rFonts w:ascii="仿宋_GB2312" w:hAnsi="仿宋_GB2312" w:cs="仿宋_GB2312" w:eastAsia="仿宋_GB2312"/>
                <w:sz w:val="24"/>
              </w:rPr>
              <w:t>组织</w:t>
            </w:r>
            <w:r>
              <w:rPr>
                <w:rFonts w:ascii="仿宋_GB2312" w:hAnsi="仿宋_GB2312" w:cs="仿宋_GB2312" w:eastAsia="仿宋_GB2312"/>
                <w:sz w:val="24"/>
              </w:rPr>
              <w:t>“微景留坝”实地考察交通安排；</w:t>
            </w:r>
          </w:p>
          <w:p>
            <w:pPr>
              <w:pStyle w:val="null3"/>
              <w:ind w:firstLine="480"/>
              <w:jc w:val="both"/>
            </w:pPr>
            <w:r>
              <w:rPr>
                <w:rFonts w:ascii="仿宋_GB2312" w:hAnsi="仿宋_GB2312" w:cs="仿宋_GB2312" w:eastAsia="仿宋_GB2312"/>
                <w:sz w:val="24"/>
              </w:rPr>
              <w:t>主旨活动执行：播放概念短片《在留坝，最小的美》、县领导致辞、留坝成果发布、全国</w:t>
            </w:r>
            <w:r>
              <w:rPr>
                <w:rFonts w:ascii="仿宋_GB2312" w:hAnsi="仿宋_GB2312" w:cs="仿宋_GB2312" w:eastAsia="仿宋_GB2312"/>
                <w:sz w:val="24"/>
              </w:rPr>
              <w:t>“小而美”示范案例发布与授牌</w:t>
            </w:r>
            <w:r>
              <w:rPr>
                <w:rFonts w:ascii="仿宋_GB2312" w:hAnsi="仿宋_GB2312" w:cs="仿宋_GB2312" w:eastAsia="仿宋_GB2312"/>
                <w:sz w:val="24"/>
              </w:rPr>
              <w:t>、</w:t>
            </w:r>
            <w:r>
              <w:rPr>
                <w:rFonts w:ascii="仿宋_GB2312" w:hAnsi="仿宋_GB2312" w:cs="仿宋_GB2312" w:eastAsia="仿宋_GB2312"/>
                <w:sz w:val="24"/>
              </w:rPr>
              <w:t>邀请并接待</w:t>
            </w:r>
            <w:r>
              <w:rPr>
                <w:rFonts w:ascii="仿宋_GB2312" w:hAnsi="仿宋_GB2312" w:cs="仿宋_GB2312" w:eastAsia="仿宋_GB2312"/>
                <w:sz w:val="24"/>
              </w:rPr>
              <w:t>3位主旨演讲嘉宾、组织1场圆桌对话、现场搭建与技术支持</w:t>
            </w:r>
            <w:r>
              <w:rPr>
                <w:rFonts w:ascii="仿宋_GB2312" w:hAnsi="仿宋_GB2312" w:cs="仿宋_GB2312" w:eastAsia="仿宋_GB2312"/>
                <w:sz w:val="24"/>
              </w:rPr>
              <w:t>及配套设施等。</w:t>
            </w:r>
          </w:p>
          <w:p>
            <w:pPr>
              <w:pStyle w:val="null3"/>
              <w:jc w:val="both"/>
            </w:pPr>
            <w:r>
              <w:rPr>
                <w:rFonts w:ascii="仿宋_GB2312" w:hAnsi="仿宋_GB2312" w:cs="仿宋_GB2312" w:eastAsia="仿宋_GB2312"/>
                <w:sz w:val="24"/>
                <w:b/>
              </w:rPr>
              <w:t>分会场活动执行</w:t>
            </w:r>
          </w:p>
          <w:tbl>
            <w:tblPr>
              <w:tblInd w:type="dxa" w:w="105"/>
              <w:tblBorders>
                <w:top w:val="none" w:color="000000" w:sz="4"/>
                <w:left w:val="none" w:color="000000" w:sz="4"/>
                <w:bottom w:val="none" w:color="000000" w:sz="4"/>
                <w:right w:val="none" w:color="000000" w:sz="4"/>
                <w:insideH w:val="none"/>
                <w:insideV w:val="none"/>
              </w:tblBorders>
            </w:tblPr>
            <w:tblGrid>
              <w:gridCol w:w="844"/>
              <w:gridCol w:w="456"/>
              <w:gridCol w:w="1237"/>
            </w:tblGrid>
            <w:tr>
              <w:tc>
                <w:tcPr>
                  <w:tcW w:type="dxa" w:w="844"/>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b/>
                    </w:rPr>
                    <w:t>分会场</w:t>
                  </w:r>
                </w:p>
              </w:tc>
              <w:tc>
                <w:tcPr>
                  <w:tcW w:type="dxa" w:w="456"/>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牵头单位</w:t>
                  </w:r>
                </w:p>
              </w:tc>
              <w:tc>
                <w:tcPr>
                  <w:tcW w:type="dxa" w:w="1237"/>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核心执行内容</w:t>
                  </w:r>
                </w:p>
              </w:tc>
            </w:tr>
            <w:tr>
              <w:tc>
                <w:tcPr>
                  <w:tcW w:type="dxa" w:w="844"/>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720"/>
                    <w:jc w:val="both"/>
                  </w:pPr>
                  <w:r>
                    <w:rPr>
                      <w:rFonts w:ascii="仿宋_GB2312" w:hAnsi="仿宋_GB2312" w:cs="仿宋_GB2312" w:eastAsia="仿宋_GB2312"/>
                      <w:sz w:val="24"/>
                    </w:rPr>
                    <w:t>非遗会客厅</w:t>
                  </w:r>
                </w:p>
                <w:p>
                  <w:pPr>
                    <w:pStyle w:val="null3"/>
                    <w:ind w:firstLine="240"/>
                    <w:jc w:val="both"/>
                  </w:pPr>
                  <w:r>
                    <w:rPr>
                      <w:rFonts w:ascii="仿宋_GB2312" w:hAnsi="仿宋_GB2312" w:cs="仿宋_GB2312" w:eastAsia="仿宋_GB2312"/>
                      <w:sz w:val="24"/>
                    </w:rPr>
                    <w:t>拟定</w:t>
                  </w:r>
                  <w:r>
                    <w:rPr>
                      <w:rFonts w:ascii="仿宋_GB2312" w:hAnsi="仿宋_GB2312" w:cs="仿宋_GB2312" w:eastAsia="仿宋_GB2312"/>
                      <w:sz w:val="24"/>
                    </w:rPr>
                    <w:t>地点：</w:t>
                  </w:r>
                  <w:r>
                    <w:rPr>
                      <w:rFonts w:ascii="仿宋_GB2312" w:hAnsi="仿宋_GB2312" w:cs="仿宋_GB2312" w:eastAsia="仿宋_GB2312"/>
                      <w:sz w:val="24"/>
                    </w:rPr>
                    <w:t>县</w:t>
                  </w:r>
                  <w:r>
                    <w:rPr>
                      <w:rFonts w:ascii="仿宋_GB2312" w:hAnsi="仿宋_GB2312" w:cs="仿宋_GB2312" w:eastAsia="仿宋_GB2312"/>
                      <w:sz w:val="24"/>
                    </w:rPr>
                    <w:t>影</w:t>
                  </w:r>
                  <w:r>
                    <w:rPr>
                      <w:rFonts w:ascii="仿宋_GB2312" w:hAnsi="仿宋_GB2312" w:cs="仿宋_GB2312" w:eastAsia="仿宋_GB2312"/>
                      <w:sz w:val="24"/>
                    </w:rPr>
                    <w:t>剧院</w:t>
                  </w:r>
                </w:p>
              </w:tc>
              <w:tc>
                <w:tcPr>
                  <w:tcW w:type="dxa" w:w="456"/>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县文旅局</w:t>
                  </w:r>
                </w:p>
              </w:tc>
              <w:tc>
                <w:tcPr>
                  <w:tcW w:type="dxa" w:w="123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4"/>
                    </w:rPr>
                    <w:t>专家演讲、案例分享、签约、圆桌、沉浸式体验（手作、直播、打卡）</w:t>
                  </w:r>
                </w:p>
              </w:tc>
            </w:tr>
            <w:tr>
              <w:tc>
                <w:tcPr>
                  <w:tcW w:type="dxa" w:w="844"/>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720"/>
                    <w:jc w:val="both"/>
                  </w:pPr>
                  <w:r>
                    <w:rPr>
                      <w:rFonts w:ascii="仿宋_GB2312" w:hAnsi="仿宋_GB2312" w:cs="仿宋_GB2312" w:eastAsia="仿宋_GB2312"/>
                      <w:sz w:val="24"/>
                    </w:rPr>
                    <w:t>秦岭自然研学</w:t>
                  </w:r>
                </w:p>
                <w:p>
                  <w:pPr>
                    <w:pStyle w:val="null3"/>
                    <w:jc w:val="both"/>
                  </w:pPr>
                  <w:r>
                    <w:rPr>
                      <w:rFonts w:ascii="仿宋_GB2312" w:hAnsi="仿宋_GB2312" w:cs="仿宋_GB2312" w:eastAsia="仿宋_GB2312"/>
                      <w:sz w:val="24"/>
                    </w:rPr>
                    <w:t>拟定</w:t>
                  </w:r>
                  <w:r>
                    <w:rPr>
                      <w:rFonts w:ascii="仿宋_GB2312" w:hAnsi="仿宋_GB2312" w:cs="仿宋_GB2312" w:eastAsia="仿宋_GB2312"/>
                      <w:sz w:val="24"/>
                    </w:rPr>
                    <w:t>地点：秦岭生物多样性博物馆（紫柏山景区游客服务中心）</w:t>
                  </w:r>
                </w:p>
              </w:tc>
              <w:tc>
                <w:tcPr>
                  <w:tcW w:type="dxa" w:w="456"/>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景区管委会</w:t>
                  </w:r>
                </w:p>
              </w:tc>
              <w:tc>
                <w:tcPr>
                  <w:tcW w:type="dxa" w:w="123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4"/>
                    </w:rPr>
                    <w:t>专家演讲、案例分享、发布手册、聘任导师、示范课堂、签约</w:t>
                  </w:r>
                </w:p>
              </w:tc>
            </w:tr>
            <w:tr>
              <w:tc>
                <w:tcPr>
                  <w:tcW w:type="dxa" w:w="844"/>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720"/>
                    <w:jc w:val="both"/>
                  </w:pPr>
                  <w:r>
                    <w:rPr>
                      <w:rFonts w:ascii="仿宋_GB2312" w:hAnsi="仿宋_GB2312" w:cs="仿宋_GB2312" w:eastAsia="仿宋_GB2312"/>
                      <w:sz w:val="24"/>
                    </w:rPr>
                    <w:t>秦岭星空旅游</w:t>
                  </w:r>
                </w:p>
                <w:p>
                  <w:pPr>
                    <w:pStyle w:val="null3"/>
                    <w:jc w:val="both"/>
                  </w:pPr>
                  <w:r>
                    <w:rPr>
                      <w:rFonts w:ascii="仿宋_GB2312" w:hAnsi="仿宋_GB2312" w:cs="仿宋_GB2312" w:eastAsia="仿宋_GB2312"/>
                      <w:sz w:val="24"/>
                    </w:rPr>
                    <w:t>拟定</w:t>
                  </w:r>
                  <w:r>
                    <w:rPr>
                      <w:rFonts w:ascii="仿宋_GB2312" w:hAnsi="仿宋_GB2312" w:cs="仿宋_GB2312" w:eastAsia="仿宋_GB2312"/>
                      <w:sz w:val="24"/>
                    </w:rPr>
                    <w:t>地点：</w:t>
                  </w:r>
                  <w:r>
                    <w:rPr>
                      <w:rFonts w:ascii="仿宋_GB2312" w:hAnsi="仿宋_GB2312" w:cs="仿宋_GB2312" w:eastAsia="仿宋_GB2312"/>
                      <w:sz w:val="24"/>
                    </w:rPr>
                    <w:t>星空稻田主题公园</w:t>
                  </w:r>
                </w:p>
              </w:tc>
              <w:tc>
                <w:tcPr>
                  <w:tcW w:type="dxa" w:w="456"/>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火烧店镇</w:t>
                  </w:r>
                </w:p>
              </w:tc>
              <w:tc>
                <w:tcPr>
                  <w:tcW w:type="dxa" w:w="123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4"/>
                    </w:rPr>
                    <w:t>专家演讲、案例分享、发布标准与路线、签约、圆桌、星空音乐会</w:t>
                  </w:r>
                  <w:r>
                    <w:rPr>
                      <w:rFonts w:ascii="仿宋_GB2312" w:hAnsi="仿宋_GB2312" w:cs="仿宋_GB2312" w:eastAsia="仿宋_GB2312"/>
                      <w:sz w:val="24"/>
                    </w:rPr>
                    <w:t>/摄影/露营</w:t>
                  </w:r>
                </w:p>
              </w:tc>
            </w:tr>
            <w:tr>
              <w:tc>
                <w:tcPr>
                  <w:tcW w:type="dxa" w:w="844"/>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480"/>
                    <w:jc w:val="both"/>
                  </w:pPr>
                  <w:r>
                    <w:rPr>
                      <w:rFonts w:ascii="仿宋_GB2312" w:hAnsi="仿宋_GB2312" w:cs="仿宋_GB2312" w:eastAsia="仿宋_GB2312"/>
                      <w:sz w:val="24"/>
                    </w:rPr>
                    <w:t>秦岭康养疗愈</w:t>
                  </w:r>
                </w:p>
                <w:p>
                  <w:pPr>
                    <w:pStyle w:val="null3"/>
                    <w:jc w:val="both"/>
                  </w:pPr>
                  <w:r>
                    <w:rPr>
                      <w:rFonts w:ascii="仿宋_GB2312" w:hAnsi="仿宋_GB2312" w:cs="仿宋_GB2312" w:eastAsia="仿宋_GB2312"/>
                      <w:sz w:val="24"/>
                    </w:rPr>
                    <w:t>拟定</w:t>
                  </w:r>
                  <w:r>
                    <w:rPr>
                      <w:rFonts w:ascii="仿宋_GB2312" w:hAnsi="仿宋_GB2312" w:cs="仿宋_GB2312" w:eastAsia="仿宋_GB2312"/>
                      <w:sz w:val="24"/>
                    </w:rPr>
                    <w:t>地点：</w:t>
                  </w:r>
                  <w:r>
                    <w:rPr>
                      <w:rFonts w:ascii="仿宋_GB2312" w:hAnsi="仿宋_GB2312" w:cs="仿宋_GB2312" w:eastAsia="仿宋_GB2312"/>
                      <w:sz w:val="24"/>
                    </w:rPr>
                    <w:t>留坝县工人文化宫</w:t>
                  </w:r>
                </w:p>
              </w:tc>
              <w:tc>
                <w:tcPr>
                  <w:tcW w:type="dxa" w:w="456"/>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县卫健局</w:t>
                  </w:r>
                </w:p>
              </w:tc>
              <w:tc>
                <w:tcPr>
                  <w:tcW w:type="dxa" w:w="123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4"/>
                    </w:rPr>
                    <w:t>专家演讲、案例分享、发布产品线路、签约、圆桌、疗愈项目展演</w:t>
                  </w:r>
                </w:p>
              </w:tc>
            </w:tr>
          </w:tbl>
          <w:p>
            <w:pPr>
              <w:pStyle w:val="null3"/>
              <w:jc w:val="both"/>
            </w:pPr>
            <w:r>
              <w:rPr>
                <w:rFonts w:ascii="仿宋_GB2312" w:hAnsi="仿宋_GB2312" w:cs="仿宋_GB2312" w:eastAsia="仿宋_GB2312"/>
                <w:sz w:val="24"/>
                <w:b/>
              </w:rPr>
              <w:t>宣传推广</w:t>
            </w:r>
          </w:p>
          <w:p>
            <w:pPr>
              <w:pStyle w:val="null3"/>
              <w:jc w:val="both"/>
            </w:pPr>
            <w:r>
              <w:rPr>
                <w:rFonts w:ascii="仿宋_GB2312" w:hAnsi="仿宋_GB2312" w:cs="仿宋_GB2312" w:eastAsia="仿宋_GB2312"/>
                <w:sz w:val="24"/>
              </w:rPr>
              <w:t>制定全媒体宣传方案（预热、会中、会后）</w:t>
            </w:r>
          </w:p>
          <w:p>
            <w:pPr>
              <w:pStyle w:val="null3"/>
              <w:jc w:val="both"/>
            </w:pPr>
            <w:r>
              <w:rPr>
                <w:rFonts w:ascii="仿宋_GB2312" w:hAnsi="仿宋_GB2312" w:cs="仿宋_GB2312" w:eastAsia="仿宋_GB2312"/>
                <w:sz w:val="24"/>
              </w:rPr>
              <w:t>邀请不少于</w:t>
            </w:r>
            <w:r>
              <w:rPr>
                <w:rFonts w:ascii="仿宋_GB2312" w:hAnsi="仿宋_GB2312" w:cs="仿宋_GB2312" w:eastAsia="仿宋_GB2312"/>
                <w:sz w:val="24"/>
              </w:rPr>
              <w:t>5家主流媒体、3家文旅垂直媒体现场报道</w:t>
            </w:r>
          </w:p>
          <w:p>
            <w:pPr>
              <w:pStyle w:val="null3"/>
              <w:jc w:val="both"/>
            </w:pPr>
            <w:r>
              <w:rPr>
                <w:rFonts w:ascii="仿宋_GB2312" w:hAnsi="仿宋_GB2312" w:cs="仿宋_GB2312" w:eastAsia="仿宋_GB2312"/>
                <w:sz w:val="24"/>
              </w:rPr>
              <w:t>组织短视频平台、小红书、微信公众号等内容种草</w:t>
            </w:r>
          </w:p>
          <w:p>
            <w:pPr>
              <w:pStyle w:val="null3"/>
              <w:jc w:val="both"/>
            </w:pPr>
            <w:r>
              <w:rPr>
                <w:rFonts w:ascii="仿宋_GB2312" w:hAnsi="仿宋_GB2312" w:cs="仿宋_GB2312" w:eastAsia="仿宋_GB2312"/>
                <w:sz w:val="24"/>
              </w:rPr>
              <w:t>制作活动回顾视频、图文总结、嘉宾专访等内容</w:t>
            </w:r>
          </w:p>
          <w:p>
            <w:pPr>
              <w:pStyle w:val="null3"/>
              <w:jc w:val="both"/>
            </w:pPr>
            <w:r>
              <w:rPr>
                <w:rFonts w:ascii="仿宋_GB2312" w:hAnsi="仿宋_GB2312" w:cs="仿宋_GB2312" w:eastAsia="仿宋_GB2312"/>
                <w:sz w:val="24"/>
              </w:rPr>
              <w:t>网络曝光量不低于</w:t>
            </w:r>
            <w:r>
              <w:rPr>
                <w:rFonts w:ascii="仿宋_GB2312" w:hAnsi="仿宋_GB2312" w:cs="仿宋_GB2312" w:eastAsia="仿宋_GB2312"/>
                <w:sz w:val="24"/>
              </w:rPr>
              <w:t>1000万次</w:t>
            </w:r>
          </w:p>
          <w:p>
            <w:pPr>
              <w:pStyle w:val="null3"/>
              <w:jc w:val="both"/>
            </w:pPr>
            <w:r>
              <w:rPr>
                <w:rFonts w:ascii="仿宋_GB2312" w:hAnsi="仿宋_GB2312" w:cs="仿宋_GB2312" w:eastAsia="仿宋_GB2312"/>
                <w:sz w:val="24"/>
                <w:b/>
              </w:rPr>
              <w:t>产业对接与成果转化</w:t>
            </w:r>
          </w:p>
          <w:p>
            <w:pPr>
              <w:pStyle w:val="null3"/>
              <w:jc w:val="both"/>
            </w:pPr>
            <w:r>
              <w:rPr>
                <w:rFonts w:ascii="仿宋_GB2312" w:hAnsi="仿宋_GB2312" w:cs="仿宋_GB2312" w:eastAsia="仿宋_GB2312"/>
                <w:sz w:val="24"/>
              </w:rPr>
              <w:t>协助完成不少于</w:t>
            </w:r>
            <w:r>
              <w:rPr>
                <w:rFonts w:ascii="仿宋_GB2312" w:hAnsi="仿宋_GB2312" w:cs="仿宋_GB2312" w:eastAsia="仿宋_GB2312"/>
                <w:sz w:val="24"/>
              </w:rPr>
              <w:t>5项合作签约，做好签约服务；</w:t>
            </w:r>
          </w:p>
          <w:p>
            <w:pPr>
              <w:pStyle w:val="null3"/>
              <w:jc w:val="both"/>
            </w:pPr>
            <w:r>
              <w:rPr>
                <w:rFonts w:ascii="仿宋_GB2312" w:hAnsi="仿宋_GB2312" w:cs="仿宋_GB2312" w:eastAsia="仿宋_GB2312"/>
                <w:sz w:val="24"/>
              </w:rPr>
              <w:t>输出</w:t>
            </w:r>
            <w:r>
              <w:rPr>
                <w:rFonts w:ascii="仿宋_GB2312" w:hAnsi="仿宋_GB2312" w:cs="仿宋_GB2312" w:eastAsia="仿宋_GB2312"/>
                <w:sz w:val="24"/>
              </w:rPr>
              <w:t>“留坝微场景打卡地图”等可视化成果；</w:t>
            </w:r>
          </w:p>
          <w:p>
            <w:pPr>
              <w:pStyle w:val="null3"/>
              <w:jc w:val="both"/>
            </w:pPr>
            <w:r>
              <w:rPr>
                <w:rFonts w:ascii="仿宋_GB2312" w:hAnsi="仿宋_GB2312" w:cs="仿宋_GB2312" w:eastAsia="仿宋_GB2312"/>
                <w:sz w:val="24"/>
              </w:rPr>
              <w:t>提供活动后评估报告（参与人数、媒体报道量、签约金额、转化建议等）</w:t>
            </w:r>
          </w:p>
          <w:p>
            <w:pPr>
              <w:pStyle w:val="null3"/>
              <w:jc w:val="both"/>
            </w:pPr>
            <w:r>
              <w:rPr>
                <w:rFonts w:ascii="仿宋_GB2312" w:hAnsi="仿宋_GB2312" w:cs="仿宋_GB2312" w:eastAsia="仿宋_GB2312"/>
                <w:sz w:val="24"/>
                <w:b/>
              </w:rPr>
              <w:t>第三章</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b/>
              </w:rPr>
              <w:t>3.1 人员要求</w:t>
            </w:r>
          </w:p>
          <w:p>
            <w:pPr>
              <w:pStyle w:val="null3"/>
              <w:ind w:firstLine="480"/>
              <w:jc w:val="both"/>
            </w:pPr>
            <w:r>
              <w:rPr>
                <w:rFonts w:ascii="仿宋_GB2312" w:hAnsi="仿宋_GB2312" w:cs="仿宋_GB2312" w:eastAsia="仿宋_GB2312"/>
                <w:sz w:val="24"/>
              </w:rPr>
              <w:t>策划、执行、设计、宣传、后勤等专职团队不少于</w:t>
            </w:r>
            <w:r>
              <w:rPr>
                <w:rFonts w:ascii="仿宋_GB2312" w:hAnsi="仿宋_GB2312" w:cs="仿宋_GB2312" w:eastAsia="仿宋_GB2312"/>
                <w:sz w:val="24"/>
              </w:rPr>
              <w:t>8人</w:t>
            </w:r>
            <w:r>
              <w:rPr>
                <w:rFonts w:ascii="仿宋_GB2312" w:hAnsi="仿宋_GB2312" w:cs="仿宋_GB2312" w:eastAsia="仿宋_GB2312"/>
                <w:sz w:val="24"/>
              </w:rPr>
              <w:t>其中含</w:t>
            </w:r>
            <w:r>
              <w:rPr>
                <w:rFonts w:ascii="仿宋_GB2312" w:hAnsi="仿宋_GB2312" w:cs="仿宋_GB2312" w:eastAsia="仿宋_GB2312"/>
                <w:sz w:val="24"/>
              </w:rPr>
              <w:t>项目负责</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主会场及四个分会场均需安排现场执行人员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3.2 时间要求</w:t>
            </w:r>
          </w:p>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7日内提交详细执行方案</w:t>
            </w:r>
          </w:p>
          <w:p>
            <w:pPr>
              <w:pStyle w:val="null3"/>
              <w:jc w:val="both"/>
            </w:pPr>
            <w:r>
              <w:rPr>
                <w:rFonts w:ascii="仿宋_GB2312" w:hAnsi="仿宋_GB2312" w:cs="仿宋_GB2312" w:eastAsia="仿宋_GB2312"/>
                <w:sz w:val="24"/>
              </w:rPr>
              <w:t>活动前</w:t>
            </w:r>
            <w:r>
              <w:rPr>
                <w:rFonts w:ascii="仿宋_GB2312" w:hAnsi="仿宋_GB2312" w:cs="仿宋_GB2312" w:eastAsia="仿宋_GB2312"/>
                <w:sz w:val="24"/>
              </w:rPr>
              <w:t>15日完成所有物料设计与制作</w:t>
            </w:r>
          </w:p>
          <w:p>
            <w:pPr>
              <w:pStyle w:val="null3"/>
              <w:jc w:val="both"/>
            </w:pPr>
            <w:r>
              <w:rPr>
                <w:rFonts w:ascii="仿宋_GB2312" w:hAnsi="仿宋_GB2312" w:cs="仿宋_GB2312" w:eastAsia="仿宋_GB2312"/>
                <w:sz w:val="24"/>
              </w:rPr>
              <w:t>活动前</w:t>
            </w:r>
            <w:r>
              <w:rPr>
                <w:rFonts w:ascii="仿宋_GB2312" w:hAnsi="仿宋_GB2312" w:cs="仿宋_GB2312" w:eastAsia="仿宋_GB2312"/>
                <w:sz w:val="24"/>
              </w:rPr>
              <w:t>7日完成场地搭建与设备调试</w:t>
            </w:r>
          </w:p>
          <w:p>
            <w:pPr>
              <w:pStyle w:val="null3"/>
              <w:jc w:val="both"/>
            </w:pPr>
            <w:r>
              <w:rPr>
                <w:rFonts w:ascii="仿宋_GB2312" w:hAnsi="仿宋_GB2312" w:cs="仿宋_GB2312" w:eastAsia="仿宋_GB2312"/>
                <w:sz w:val="24"/>
              </w:rPr>
              <w:t>活动结束后</w:t>
            </w:r>
            <w:r>
              <w:rPr>
                <w:rFonts w:ascii="仿宋_GB2312" w:hAnsi="仿宋_GB2312" w:cs="仿宋_GB2312" w:eastAsia="仿宋_GB2312"/>
                <w:sz w:val="24"/>
              </w:rPr>
              <w:t>10日内提交总结报告及全套成果资料</w:t>
            </w:r>
          </w:p>
          <w:p>
            <w:pPr>
              <w:pStyle w:val="null3"/>
              <w:jc w:val="both"/>
            </w:pPr>
            <w:r>
              <w:rPr>
                <w:rFonts w:ascii="仿宋_GB2312" w:hAnsi="仿宋_GB2312" w:cs="仿宋_GB2312" w:eastAsia="仿宋_GB2312"/>
                <w:sz w:val="24"/>
                <w:b/>
              </w:rPr>
              <w:t>3.3 质量要求</w:t>
            </w:r>
          </w:p>
          <w:p>
            <w:pPr>
              <w:pStyle w:val="null3"/>
              <w:jc w:val="both"/>
            </w:pPr>
            <w:r>
              <w:rPr>
                <w:rFonts w:ascii="仿宋_GB2312" w:hAnsi="仿宋_GB2312" w:cs="仿宋_GB2312" w:eastAsia="仿宋_GB2312"/>
                <w:sz w:val="24"/>
              </w:rPr>
              <w:t>活动执行零重大事故（安全事故、嘉宾投诉、媒体负面）</w:t>
            </w:r>
          </w:p>
          <w:p>
            <w:pPr>
              <w:pStyle w:val="null3"/>
              <w:jc w:val="both"/>
            </w:pPr>
            <w:r>
              <w:rPr>
                <w:rFonts w:ascii="仿宋_GB2312" w:hAnsi="仿宋_GB2312" w:cs="仿宋_GB2312" w:eastAsia="仿宋_GB2312"/>
                <w:sz w:val="24"/>
              </w:rPr>
              <w:t>网络曝光量不低于</w:t>
            </w:r>
            <w:r>
              <w:rPr>
                <w:rFonts w:ascii="仿宋_GB2312" w:hAnsi="仿宋_GB2312" w:cs="仿宋_GB2312" w:eastAsia="仿宋_GB2312"/>
                <w:sz w:val="24"/>
              </w:rPr>
              <w:t>1000万次</w:t>
            </w:r>
          </w:p>
          <w:p>
            <w:pPr>
              <w:pStyle w:val="null3"/>
              <w:jc w:val="both"/>
            </w:pPr>
            <w:r>
              <w:rPr>
                <w:rFonts w:ascii="仿宋_GB2312" w:hAnsi="仿宋_GB2312" w:cs="仿宋_GB2312" w:eastAsia="仿宋_GB2312"/>
                <w:sz w:val="24"/>
              </w:rPr>
              <w:t>签约项目不少于</w:t>
            </w:r>
            <w:r>
              <w:rPr>
                <w:rFonts w:ascii="仿宋_GB2312" w:hAnsi="仿宋_GB2312" w:cs="仿宋_GB2312" w:eastAsia="仿宋_GB2312"/>
                <w:sz w:val="24"/>
              </w:rPr>
              <w:t>5项</w:t>
            </w:r>
          </w:p>
          <w:p>
            <w:pPr>
              <w:pStyle w:val="null3"/>
              <w:jc w:val="both"/>
            </w:pPr>
            <w:r>
              <w:rPr>
                <w:rFonts w:ascii="仿宋_GB2312" w:hAnsi="仿宋_GB2312" w:cs="仿宋_GB2312" w:eastAsia="仿宋_GB2312"/>
                <w:sz w:val="24"/>
              </w:rPr>
              <w:t>参会嘉宾满意度不低于</w:t>
            </w:r>
            <w:r>
              <w:rPr>
                <w:rFonts w:ascii="仿宋_GB2312" w:hAnsi="仿宋_GB2312" w:cs="仿宋_GB2312" w:eastAsia="仿宋_GB2312"/>
                <w:sz w:val="24"/>
              </w:rPr>
              <w:t>90%</w:t>
            </w:r>
          </w:p>
          <w:p>
            <w:pPr>
              <w:pStyle w:val="null3"/>
              <w:jc w:val="both"/>
            </w:pPr>
            <w:r>
              <w:rPr>
                <w:rFonts w:ascii="仿宋_GB2312" w:hAnsi="仿宋_GB2312" w:cs="仿宋_GB2312" w:eastAsia="仿宋_GB2312"/>
                <w:sz w:val="24"/>
                <w:b/>
              </w:rPr>
              <w:t>第四章</w:t>
            </w:r>
            <w:r>
              <w:rPr>
                <w:rFonts w:ascii="仿宋_GB2312" w:hAnsi="仿宋_GB2312" w:cs="仿宋_GB2312" w:eastAsia="仿宋_GB2312"/>
                <w:sz w:val="24"/>
                <w:b/>
              </w:rPr>
              <w:t>成果交付要求</w:t>
            </w:r>
          </w:p>
          <w:tbl>
            <w:tblPr>
              <w:tblInd w:type="dxa" w:w="105"/>
              <w:tblBorders>
                <w:top w:val="none" w:color="000000" w:sz="4"/>
                <w:left w:val="none" w:color="000000" w:sz="4"/>
                <w:bottom w:val="none" w:color="000000" w:sz="4"/>
                <w:right w:val="none" w:color="000000" w:sz="4"/>
                <w:insideH w:val="none"/>
                <w:insideV w:val="none"/>
              </w:tblBorders>
            </w:tblPr>
            <w:tblGrid>
              <w:gridCol w:w="638"/>
              <w:gridCol w:w="638"/>
              <w:gridCol w:w="764"/>
              <w:gridCol w:w="512"/>
            </w:tblGrid>
            <w:tr>
              <w:tc>
                <w:tcPr>
                  <w:tcW w:type="dxa" w:w="6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b/>
                    </w:rPr>
                    <w:t>序号</w:t>
                  </w:r>
                </w:p>
              </w:tc>
              <w:tc>
                <w:tcPr>
                  <w:tcW w:type="dxa" w:w="63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b/>
                    </w:rPr>
                    <w:t>成果名称</w:t>
                  </w:r>
                </w:p>
              </w:tc>
              <w:tc>
                <w:tcPr>
                  <w:tcW w:type="dxa" w:w="764"/>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b/>
                    </w:rPr>
                    <w:t>形式</w:t>
                  </w:r>
                </w:p>
              </w:tc>
              <w:tc>
                <w:tcPr>
                  <w:tcW w:type="dxa" w:w="512"/>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b/>
                    </w:rPr>
                    <w:t>交付时间</w:t>
                  </w:r>
                </w:p>
              </w:tc>
            </w:tr>
            <w:tr>
              <w:tc>
                <w:tcPr>
                  <w:tcW w:type="dxa" w:w="63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6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活动执行方案</w:t>
                  </w:r>
                </w:p>
              </w:tc>
              <w:tc>
                <w:tcPr>
                  <w:tcW w:type="dxa" w:w="76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电子版</w:t>
                  </w:r>
                  <w:r>
                    <w:rPr>
                      <w:rFonts w:ascii="仿宋_GB2312" w:hAnsi="仿宋_GB2312" w:cs="仿宋_GB2312" w:eastAsia="仿宋_GB2312"/>
                      <w:sz w:val="24"/>
                    </w:rPr>
                    <w:t>+纸质版3份</w:t>
                  </w:r>
                </w:p>
              </w:tc>
              <w:tc>
                <w:tcPr>
                  <w:tcW w:type="dxa" w:w="51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7日内</w:t>
                  </w:r>
                </w:p>
              </w:tc>
            </w:tr>
            <w:tr>
              <w:tc>
                <w:tcPr>
                  <w:tcW w:type="dxa" w:w="63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240"/>
                    <w:jc w:val="both"/>
                  </w:pPr>
                  <w:r>
                    <w:rPr>
                      <w:rFonts w:ascii="仿宋_GB2312" w:hAnsi="仿宋_GB2312" w:cs="仿宋_GB2312" w:eastAsia="仿宋_GB2312"/>
                      <w:sz w:val="24"/>
                    </w:rPr>
                    <w:t>2</w:t>
                  </w:r>
                </w:p>
              </w:tc>
              <w:tc>
                <w:tcPr>
                  <w:tcW w:type="dxa" w:w="6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视觉设计全套</w:t>
                  </w:r>
                </w:p>
              </w:tc>
              <w:tc>
                <w:tcPr>
                  <w:tcW w:type="dxa" w:w="76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电子版</w:t>
                  </w:r>
                </w:p>
              </w:tc>
              <w:tc>
                <w:tcPr>
                  <w:tcW w:type="dxa" w:w="51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活动前</w:t>
                  </w:r>
                  <w:r>
                    <w:rPr>
                      <w:rFonts w:ascii="仿宋_GB2312" w:hAnsi="仿宋_GB2312" w:cs="仿宋_GB2312" w:eastAsia="仿宋_GB2312"/>
                      <w:sz w:val="24"/>
                    </w:rPr>
                    <w:t>15日</w:t>
                  </w:r>
                  <w:r>
                    <w:rPr>
                      <w:rFonts w:ascii="仿宋_GB2312" w:hAnsi="仿宋_GB2312" w:cs="仿宋_GB2312" w:eastAsia="仿宋_GB2312"/>
                      <w:sz w:val="24"/>
                    </w:rPr>
                    <w:t>内</w:t>
                  </w:r>
                </w:p>
              </w:tc>
            </w:tr>
            <w:tr>
              <w:tc>
                <w:tcPr>
                  <w:tcW w:type="dxa" w:w="63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240"/>
                    <w:jc w:val="both"/>
                  </w:pPr>
                  <w:r>
                    <w:rPr>
                      <w:rFonts w:ascii="仿宋_GB2312" w:hAnsi="仿宋_GB2312" w:cs="仿宋_GB2312" w:eastAsia="仿宋_GB2312"/>
                      <w:sz w:val="24"/>
                    </w:rPr>
                    <w:t>3</w:t>
                  </w:r>
                </w:p>
              </w:tc>
              <w:tc>
                <w:tcPr>
                  <w:tcW w:type="dxa" w:w="6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活动照片</w:t>
                  </w:r>
                </w:p>
              </w:tc>
              <w:tc>
                <w:tcPr>
                  <w:tcW w:type="dxa" w:w="76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不少于</w:t>
                  </w:r>
                  <w:r>
                    <w:rPr>
                      <w:rFonts w:ascii="仿宋_GB2312" w:hAnsi="仿宋_GB2312" w:cs="仿宋_GB2312" w:eastAsia="仿宋_GB2312"/>
                      <w:sz w:val="24"/>
                    </w:rPr>
                    <w:t>300张，电子版</w:t>
                  </w:r>
                </w:p>
              </w:tc>
              <w:tc>
                <w:tcPr>
                  <w:tcW w:type="dxa" w:w="51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活动后</w:t>
                  </w:r>
                  <w:r>
                    <w:rPr>
                      <w:rFonts w:ascii="仿宋_GB2312" w:hAnsi="仿宋_GB2312" w:cs="仿宋_GB2312" w:eastAsia="仿宋_GB2312"/>
                      <w:sz w:val="24"/>
                    </w:rPr>
                    <w:t>5日内</w:t>
                  </w:r>
                </w:p>
              </w:tc>
            </w:tr>
            <w:tr>
              <w:tc>
                <w:tcPr>
                  <w:tcW w:type="dxa" w:w="63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240"/>
                    <w:jc w:val="both"/>
                  </w:pPr>
                  <w:r>
                    <w:rPr>
                      <w:rFonts w:ascii="仿宋_GB2312" w:hAnsi="仿宋_GB2312" w:cs="仿宋_GB2312" w:eastAsia="仿宋_GB2312"/>
                      <w:sz w:val="24"/>
                    </w:rPr>
                    <w:t>4</w:t>
                  </w:r>
                </w:p>
              </w:tc>
              <w:tc>
                <w:tcPr>
                  <w:tcW w:type="dxa" w:w="6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视频素材</w:t>
                  </w:r>
                </w:p>
              </w:tc>
              <w:tc>
                <w:tcPr>
                  <w:tcW w:type="dxa" w:w="76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不少于</w:t>
                  </w:r>
                  <w:r>
                    <w:rPr>
                      <w:rFonts w:ascii="仿宋_GB2312" w:hAnsi="仿宋_GB2312" w:cs="仿宋_GB2312" w:eastAsia="仿宋_GB2312"/>
                      <w:sz w:val="24"/>
                    </w:rPr>
                    <w:t>20分钟，电子版</w:t>
                  </w:r>
                </w:p>
              </w:tc>
              <w:tc>
                <w:tcPr>
                  <w:tcW w:type="dxa" w:w="51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活动后</w:t>
                  </w:r>
                  <w:r>
                    <w:rPr>
                      <w:rFonts w:ascii="仿宋_GB2312" w:hAnsi="仿宋_GB2312" w:cs="仿宋_GB2312" w:eastAsia="仿宋_GB2312"/>
                      <w:sz w:val="24"/>
                    </w:rPr>
                    <w:t>10日内</w:t>
                  </w:r>
                </w:p>
              </w:tc>
            </w:tr>
            <w:tr>
              <w:tc>
                <w:tcPr>
                  <w:tcW w:type="dxa" w:w="63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ind w:firstLine="240"/>
                    <w:jc w:val="both"/>
                  </w:pPr>
                  <w:r>
                    <w:rPr>
                      <w:rFonts w:ascii="仿宋_GB2312" w:hAnsi="仿宋_GB2312" w:cs="仿宋_GB2312" w:eastAsia="仿宋_GB2312"/>
                      <w:sz w:val="24"/>
                    </w:rPr>
                    <w:t>5</w:t>
                  </w:r>
                </w:p>
              </w:tc>
              <w:tc>
                <w:tcPr>
                  <w:tcW w:type="dxa" w:w="6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活动总结报告</w:t>
                  </w:r>
                </w:p>
              </w:tc>
              <w:tc>
                <w:tcPr>
                  <w:tcW w:type="dxa" w:w="76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电子版</w:t>
                  </w:r>
                  <w:r>
                    <w:rPr>
                      <w:rFonts w:ascii="仿宋_GB2312" w:hAnsi="仿宋_GB2312" w:cs="仿宋_GB2312" w:eastAsia="仿宋_GB2312"/>
                      <w:sz w:val="24"/>
                    </w:rPr>
                    <w:t>+纸质版3份</w:t>
                  </w:r>
                </w:p>
              </w:tc>
              <w:tc>
                <w:tcPr>
                  <w:tcW w:type="dxa" w:w="51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活动后</w:t>
                  </w:r>
                  <w:r>
                    <w:rPr>
                      <w:rFonts w:ascii="仿宋_GB2312" w:hAnsi="仿宋_GB2312" w:cs="仿宋_GB2312" w:eastAsia="仿宋_GB2312"/>
                      <w:sz w:val="24"/>
                    </w:rPr>
                    <w:t>10日内</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达到采购人采购需求及相关验收标准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进度款，合同履约完成，并经验收合格，收到供应商开具的发票后，达到付款条件起15个工作日内，支付合同总金额的60.0%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符合采购人采购需求及相关标准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供应商认为需要提供的其他资料.docx 供应商应提交的相关资格证明材料.docx 供应商类似项目业绩一览表.docx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响应文件封面 拟投入相关人员情况表.docx 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针对本项目理解深度及定位</w:t>
            </w:r>
          </w:p>
        </w:tc>
        <w:tc>
          <w:tcPr>
            <w:tcW w:type="dxa" w:w="2492"/>
          </w:tcPr>
          <w:p>
            <w:pPr>
              <w:pStyle w:val="null3"/>
            </w:pPr>
            <w:r>
              <w:rPr>
                <w:rFonts w:ascii="仿宋_GB2312" w:hAnsi="仿宋_GB2312" w:cs="仿宋_GB2312" w:eastAsia="仿宋_GB2312"/>
              </w:rPr>
              <w:t>结合项目采购需求及实际情况,对项目的认知及目标、前期调研、后期定位分析等进行分析：1、对项目背景、工作内容和要求、分析评价方法等理解准确、全面，分析到位，得4.1-7.0分；2、对项目背景、工作内容和要求、分析评价方法等理解较准确、分析较全面，得2.1-4.0分；3、对项目背景、工作内容和要求、分析评价方法等理解不够准确，分析简单，得1.0-2.0 分；未提供或其他得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针对本项目的整体服务方案</w:t>
            </w:r>
          </w:p>
        </w:tc>
        <w:tc>
          <w:tcPr>
            <w:tcW w:type="dxa" w:w="2492"/>
          </w:tcPr>
          <w:p>
            <w:pPr>
              <w:pStyle w:val="null3"/>
            </w:pPr>
            <w:r>
              <w:rPr>
                <w:rFonts w:ascii="仿宋_GB2312" w:hAnsi="仿宋_GB2312" w:cs="仿宋_GB2312" w:eastAsia="仿宋_GB2312"/>
              </w:rPr>
              <w:t>结合本项目的实际情况，提供针对本项目的服务方案（包括但不限于活动整体策划与统筹、主会场及四个分会场活动执行、嘉宾接待与后勤保障、宣传推广与内容生产、产业对接与成果转化）：1、有完整的服务方案及措施，方案具体可行，针对性强，得7.1-10.0分；2、有较完整的服务方案及措施，方案比较可行，针对性较强，得3.1-7.0分；3、有服务方案，保证措施不够全面，可行性一般，针对性不强，得1.0-3.0分；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针对本项目的质量保障措施和质量管理制度</w:t>
            </w:r>
          </w:p>
        </w:tc>
        <w:tc>
          <w:tcPr>
            <w:tcW w:type="dxa" w:w="2492"/>
          </w:tcPr>
          <w:p>
            <w:pPr>
              <w:pStyle w:val="null3"/>
            </w:pPr>
            <w:r>
              <w:rPr>
                <w:rFonts w:ascii="仿宋_GB2312" w:hAnsi="仿宋_GB2312" w:cs="仿宋_GB2312" w:eastAsia="仿宋_GB2312"/>
              </w:rPr>
              <w:t>供应商有针对本项目的质量保障措施，健全严格的质量管理制度，建立了比较完善的工作程序制度和管理体系。 1、质量保障措施完善，管理制度科学合理、完全满足项目需求，得4.1-7.0分；2、质量保障措施较为完善，管理制度基本科学合理，基本满足项目需求得2.1-4.0分；3、质量保障措施不太完善，管理制度不够科学合理，不太满足项目需求得1.0-2.0分。未提供或其他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针对本项目的应急方案</w:t>
            </w:r>
          </w:p>
        </w:tc>
        <w:tc>
          <w:tcPr>
            <w:tcW w:type="dxa" w:w="2492"/>
          </w:tcPr>
          <w:p>
            <w:pPr>
              <w:pStyle w:val="null3"/>
            </w:pPr>
            <w:r>
              <w:rPr>
                <w:rFonts w:ascii="仿宋_GB2312" w:hAnsi="仿宋_GB2312" w:cs="仿宋_GB2312" w:eastAsia="仿宋_GB2312"/>
              </w:rPr>
              <w:t>提供针对本项目的应急方案，包括但不限于人员住宿、接待、车辆、餐饮、交通及活动现场人员调动等。1、方案内容科学合理、可操作性强、方案内容齐全、完全满足项目需求，得分4.1-7.0分；2、方案内容较科学合理有一定的操作性、方案内容较齐全，基本满足项目需求得2.1-4.0分；3、方案内容欠缺、缺乏科学性合理性、可操作性较差， 得1.0-2.0分。未提供或其他得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结合本项目的实际情况，提供针对本项目的宣传推广方案（包括但不限于制定全媒体宣传方案（预热、会中、会后）邀请不少于5家主流媒体、3家文旅垂直媒体现场报道组织短视频平台、小红书、微信公众号等内容种草制作活动回顾视频、图文总结、嘉宾专访等内容网络曝光量不低于1000万次）：1、有完整的宣传推广方案及措施，方案具体可行，针对性强，得4.1-6.0分；2、有较完整的宣传推广方案及措施，方案比较可行，针对性较强，得2.1-4.0分；3、有宣传推广方案，保证措施不够全面，可行性一般，针对性不强，得1.0-2.0分；未提供或其他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①服务质量保证措施及承诺，包括但不限于信息的及时反馈、实施工作中的主动沟通汇报；②拟派人员专业能力承诺，包括但不限于拟派人员能力的承诺、若采购人对服务不满意，可要求更换拟派人员等。 1、承诺内容科学合理、可操作性强、内容齐全、完全满足项目需求，得2.1-3.0分；2、承诺内容较科学合理有一定的操作性、内容较齐全，基本满足项目需求得1.1-2.0分；3、承诺内容欠缺、缺乏科学性合理性、可操作性较差，得0-1.0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人员配备合理、分工科学、专业知识构架全面、岗位职责明确，配备策划、执行、设计、宣传、后勤等专职团队8人以上含1名项目负责人的得7分；每增加1人得2分，最多得8分。提供人员身份证明及签订的用工合同复印件，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拟投入相关人员情况表.docx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至今类似项目业绩，以合同复印件为准，每一份计2.5分，最多计5分。评审标准：业绩证明材料（以提供的合同复印件为准，合同关键页复印件并加盖供应商公章，合同关键页内容须包含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价格分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详见附件：拟投入相关人员情况表.docx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