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版本号：HCKPZY-ZB-202602820260519001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陕西省干线公路桥隧结构监测技术支持服务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HCKPZY-ZB-2026028</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陕西省干线公路桥隧结构监测技术支持服务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HCKPZY-ZB-2026028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陕西省干线公路桥隧结构监测技术支持服务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部省相关政策文件及技术规范开展工作，确保陕西省长大桥隧、桥梁群轻量化结构监测系统、省级公路桥梁结构监测系统实施规范、运行稳定；按照部要求确保部省平台联网运行正常；完成省级监测平台桥梁群监测模块开发；完成省级监测平台与养护管理系统对接方案；按照我省养护管理需求，提供实时数据处理服务，满足日常管理、决策分析需求；协助桥隧管养单位总结凝练公路桥隧结构监测数据融合应用的典型创新成果，提升我省公路桥隧管养现代化水平和安全保障能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1、法定代表人授权委托书：法定代表人授权书(附法定代表人、被授权人身份证复印件)及被授权人身份证复印件(法定代表人直接参加投标的，须提供法定代表人身份证明及身份证复印件)；非法人单位参照执行。</w:t>
      </w:r>
    </w:p>
    <w:p>
      <w:pPr>
        <w:pStyle w:val="null3"/>
      </w:pPr>
      <w:r>
        <w:rPr>
          <w:rFonts w:ascii="仿宋_GB2312" w:hAnsi="仿宋_GB2312" w:cs="仿宋_GB2312" w:eastAsia="仿宋_GB2312"/>
        </w:rPr>
        <w:t>2、供应商关联关系声明：单位负责人为同一人或者存在直接控股、管理关系的不同供应商，不得参加同一项目的招标活动。（提供承诺书）</w:t>
      </w:r>
    </w:p>
    <w:p>
      <w:pPr>
        <w:pStyle w:val="null3"/>
      </w:pPr>
      <w:r>
        <w:rPr>
          <w:rFonts w:ascii="仿宋_GB2312" w:hAnsi="仿宋_GB2312" w:cs="仿宋_GB2312" w:eastAsia="仿宋_GB2312"/>
        </w:rPr>
        <w:t>3、信用查询：供应商未被“信用中国”网站（www.creditchina.gov.cn）中列入失信被执行人和重大税收违法案件当事人名单，在中国政府采购网（www.ccgp.gov.cn）政府采购严重违法失信行为记录名单中未被财政部门禁止参加政府采购活动的供应商。</w:t>
      </w:r>
    </w:p>
    <w:p>
      <w:pPr>
        <w:pStyle w:val="null3"/>
      </w:pPr>
      <w:r>
        <w:rPr>
          <w:rFonts w:ascii="仿宋_GB2312" w:hAnsi="仿宋_GB2312" w:cs="仿宋_GB2312" w:eastAsia="仿宋_GB2312"/>
        </w:rPr>
        <w:t>4、企业资质：具有有效的省级交通主管部门核发的桥梁隧道工程专项资质。</w:t>
      </w:r>
    </w:p>
    <w:p>
      <w:pPr>
        <w:pStyle w:val="null3"/>
      </w:pPr>
      <w:r>
        <w:rPr>
          <w:rFonts w:ascii="仿宋_GB2312" w:hAnsi="仿宋_GB2312" w:cs="仿宋_GB2312" w:eastAsia="仿宋_GB2312"/>
        </w:rPr>
        <w:t>5、非联合体声明：不允许组成联合体投标。（提供承诺书）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029-88408555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陕西省西安市南二环西段 58 号成长大厦 16 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张驰 李帆 李娜 冯建正 郭雄龙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029-85205306 /13772400720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w:t>
            </w:r>
          </w:p>
          <w:p>
            <w:pPr>
              <w:pStyle w:val="null3"/>
            </w:pPr>
            <w:r>
              <w:rPr>
                <w:rFonts w:ascii="仿宋_GB2312" w:hAnsi="仿宋_GB2312" w:cs="仿宋_GB2312" w:eastAsia="仿宋_GB2312"/>
              </w:rPr>
              <w:t>银行账号：30208471002849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说明：合同签订前，供应商向采购人缴纳合同总金额5%的履约保证金。经采购人履约验收合格，保证期到期且无任何纠纷后一次性无息退还。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中标（成交）金额，依据《国家发展改革委关于进一步放开建设项目专业服务价格的通知》（发改价格〔2015〕299号），并参考《招标代理服务收费管理暂行办法》（计价格［2002］1980号）规定的标准计算，下浮20%计取，在领取中标通知书时，向代理机构一次性全额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按照《陕西省公路局政府采购项目履约验收办法》及政府采购合同约定的技术、服务、安全标准组织对供应商每一项技术、服务、安全标准的履约情况进行验收，并出具验收书。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联系电话：029-85205306</w:t>
      </w:r>
    </w:p>
    <w:p>
      <w:pPr>
        <w:pStyle w:val="null3"/>
      </w:pPr>
      <w:r>
        <w:rPr>
          <w:rFonts w:ascii="仿宋_GB2312" w:hAnsi="仿宋_GB2312" w:cs="仿宋_GB2312" w:eastAsia="仿宋_GB2312"/>
        </w:rPr>
        <w:t>地址：陕西省西安市南二环西段 58 号成长大厦 16 楼1622</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0"/>
        </w:rPr>
        <w:t>按照部省相关政策文件及技术规范开展工作，确保陕西省长大桥隧、桥梁群轻量化结构监测系统、省级公路桥梁结构监测系统实施规范、运行稳定；按照部要求确保部省平台联网运行正常；完成省级监测平台桥梁群监测模块开发；完成省级监测平台与养护管理系统对接方案；按照我省养护管理需求，提供实时数据处理服务，</w:t>
      </w:r>
      <w:r>
        <w:rPr>
          <w:rFonts w:ascii="仿宋_GB2312" w:hAnsi="仿宋_GB2312" w:cs="仿宋_GB2312" w:eastAsia="仿宋_GB2312"/>
          <w:sz w:val="20"/>
        </w:rPr>
        <w:t>满足日常管理、决策分析需求；</w:t>
      </w:r>
      <w:r>
        <w:rPr>
          <w:rFonts w:ascii="仿宋_GB2312" w:hAnsi="仿宋_GB2312" w:cs="仿宋_GB2312" w:eastAsia="仿宋_GB2312"/>
          <w:sz w:val="20"/>
        </w:rPr>
        <w:t>协助桥隧管养单位总结凝练公路桥隧结构监测数据融合应用的典型创新成果，提升我省公路桥隧管养现代化水平和安全保障能力。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414,000.00</w:t>
      </w:r>
    </w:p>
    <w:p>
      <w:pPr>
        <w:pStyle w:val="null3"/>
      </w:pPr>
      <w:r>
        <w:rPr>
          <w:rFonts w:ascii="仿宋_GB2312" w:hAnsi="仿宋_GB2312" w:cs="仿宋_GB2312" w:eastAsia="仿宋_GB2312"/>
        </w:rPr>
        <w:t>采购包最高限价（元）: 414,000.00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陕西省干线公路桥隧结构监测技术支持服务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414,000.00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标的名称：陕西省干线公路桥隧结构监测技术支持服务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项目背景与总体目标</w:t>
            </w:r>
          </w:p>
          <w:p>
            <w:pPr>
              <w:pStyle w:val="null3"/>
              <w:ind w:firstLine="400"/>
              <w:jc w:val="both"/>
            </w:pPr>
            <w:r>
              <w:rPr>
                <w:rFonts w:ascii="仿宋_GB2312" w:hAnsi="仿宋_GB2312" w:cs="仿宋_GB2312" w:eastAsia="仿宋_GB2312"/>
                <w:sz w:val="20"/>
              </w:rPr>
              <w:t xml:space="preserve">1. </w:t>
            </w:r>
            <w:r>
              <w:rPr>
                <w:rFonts w:ascii="仿宋_GB2312" w:hAnsi="仿宋_GB2312" w:cs="仿宋_GB2312" w:eastAsia="仿宋_GB2312"/>
                <w:sz w:val="20"/>
              </w:rPr>
              <w:t>项目背景</w:t>
            </w:r>
          </w:p>
          <w:p>
            <w:pPr>
              <w:pStyle w:val="null3"/>
              <w:ind w:firstLine="400"/>
              <w:jc w:val="both"/>
            </w:pPr>
            <w:r>
              <w:rPr>
                <w:rFonts w:ascii="仿宋_GB2312" w:hAnsi="仿宋_GB2312" w:cs="仿宋_GB2312" w:eastAsia="仿宋_GB2312"/>
                <w:sz w:val="20"/>
              </w:rPr>
              <w:t>为贯彻落实交通运输部《公路长大桥梁结构健康监测系统实施方案》（交办公路〔</w:t>
            </w:r>
            <w:r>
              <w:rPr>
                <w:rFonts w:ascii="仿宋_GB2312" w:hAnsi="仿宋_GB2312" w:cs="仿宋_GB2312" w:eastAsia="仿宋_GB2312"/>
                <w:sz w:val="20"/>
              </w:rPr>
              <w:t>2021</w:t>
            </w:r>
            <w:r>
              <w:rPr>
                <w:rFonts w:ascii="仿宋_GB2312" w:hAnsi="仿宋_GB2312" w:cs="仿宋_GB2312" w:eastAsia="仿宋_GB2312"/>
                <w:sz w:val="20"/>
              </w:rPr>
              <w:t>〕</w:t>
            </w:r>
            <w:r>
              <w:rPr>
                <w:rFonts w:ascii="仿宋_GB2312" w:hAnsi="仿宋_GB2312" w:cs="仿宋_GB2312" w:eastAsia="仿宋_GB2312"/>
                <w:sz w:val="20"/>
              </w:rPr>
              <w:t>21</w:t>
            </w:r>
            <w:r>
              <w:rPr>
                <w:rFonts w:ascii="仿宋_GB2312" w:hAnsi="仿宋_GB2312" w:cs="仿宋_GB2312" w:eastAsia="仿宋_GB2312"/>
                <w:sz w:val="20"/>
              </w:rPr>
              <w:t>号）、《进一步推进公路桥梁隧道结构监测工作实施方案（</w:t>
            </w:r>
            <w:r>
              <w:rPr>
                <w:rFonts w:ascii="仿宋_GB2312" w:hAnsi="仿宋_GB2312" w:cs="仿宋_GB2312" w:eastAsia="仿宋_GB2312"/>
                <w:sz w:val="20"/>
              </w:rPr>
              <w:t>2024-2030</w:t>
            </w:r>
            <w:r>
              <w:rPr>
                <w:rFonts w:ascii="仿宋_GB2312" w:hAnsi="仿宋_GB2312" w:cs="仿宋_GB2312" w:eastAsia="仿宋_GB2312"/>
                <w:sz w:val="20"/>
              </w:rPr>
              <w:t>年）》（交办公路〔</w:t>
            </w:r>
            <w:r>
              <w:rPr>
                <w:rFonts w:ascii="仿宋_GB2312" w:hAnsi="仿宋_GB2312" w:cs="仿宋_GB2312" w:eastAsia="仿宋_GB2312"/>
                <w:sz w:val="20"/>
              </w:rPr>
              <w:t>2024</w:t>
            </w:r>
            <w:r>
              <w:rPr>
                <w:rFonts w:ascii="仿宋_GB2312" w:hAnsi="仿宋_GB2312" w:cs="仿宋_GB2312" w:eastAsia="仿宋_GB2312"/>
                <w:sz w:val="20"/>
              </w:rPr>
              <w:t>〕</w:t>
            </w:r>
            <w:r>
              <w:rPr>
                <w:rFonts w:ascii="仿宋_GB2312" w:hAnsi="仿宋_GB2312" w:cs="仿宋_GB2312" w:eastAsia="仿宋_GB2312"/>
                <w:sz w:val="20"/>
              </w:rPr>
              <w:t>26</w:t>
            </w:r>
            <w:r>
              <w:rPr>
                <w:rFonts w:ascii="仿宋_GB2312" w:hAnsi="仿宋_GB2312" w:cs="仿宋_GB2312" w:eastAsia="仿宋_GB2312"/>
                <w:sz w:val="20"/>
              </w:rPr>
              <w:t>号）、《公路桥梁结构监测技术规范》</w:t>
            </w:r>
            <w:r>
              <w:rPr>
                <w:rFonts w:ascii="仿宋_GB2312" w:hAnsi="仿宋_GB2312" w:cs="仿宋_GB2312" w:eastAsia="仿宋_GB2312"/>
                <w:sz w:val="20"/>
              </w:rPr>
              <w:t>(JT/T 1037-2022)</w:t>
            </w:r>
            <w:r>
              <w:rPr>
                <w:rFonts w:ascii="仿宋_GB2312" w:hAnsi="仿宋_GB2312" w:cs="仿宋_GB2312" w:eastAsia="仿宋_GB2312"/>
                <w:sz w:val="20"/>
              </w:rPr>
              <w:t>《省级公路长大桥梁结构监测平台建设技术指南》</w:t>
            </w:r>
            <w:r>
              <w:rPr>
                <w:rFonts w:ascii="仿宋_GB2312" w:hAnsi="仿宋_GB2312" w:cs="仿宋_GB2312" w:eastAsia="仿宋_GB2312"/>
                <w:sz w:val="20"/>
              </w:rPr>
              <w:t>及《陕西省公路长大桥梁结构健康监测系统建设实施方案》（陕交发〔</w:t>
            </w:r>
            <w:r>
              <w:rPr>
                <w:rFonts w:ascii="仿宋_GB2312" w:hAnsi="仿宋_GB2312" w:cs="仿宋_GB2312" w:eastAsia="仿宋_GB2312"/>
                <w:sz w:val="20"/>
              </w:rPr>
              <w:t>2021</w:t>
            </w:r>
            <w:r>
              <w:rPr>
                <w:rFonts w:ascii="仿宋_GB2312" w:hAnsi="仿宋_GB2312" w:cs="仿宋_GB2312" w:eastAsia="仿宋_GB2312"/>
                <w:sz w:val="20"/>
              </w:rPr>
              <w:t>〕</w:t>
            </w:r>
            <w:r>
              <w:rPr>
                <w:rFonts w:ascii="仿宋_GB2312" w:hAnsi="仿宋_GB2312" w:cs="仿宋_GB2312" w:eastAsia="仿宋_GB2312"/>
                <w:sz w:val="20"/>
              </w:rPr>
              <w:t>37</w:t>
            </w:r>
            <w:r>
              <w:rPr>
                <w:rFonts w:ascii="仿宋_GB2312" w:hAnsi="仿宋_GB2312" w:cs="仿宋_GB2312" w:eastAsia="仿宋_GB2312"/>
                <w:sz w:val="20"/>
              </w:rPr>
              <w:t>号）、《陕西省公路桥梁隧道结构监测工作实施方案》（陕交发〔</w:t>
            </w:r>
            <w:r>
              <w:rPr>
                <w:rFonts w:ascii="仿宋_GB2312" w:hAnsi="仿宋_GB2312" w:cs="仿宋_GB2312" w:eastAsia="仿宋_GB2312"/>
                <w:sz w:val="20"/>
              </w:rPr>
              <w:t>2024</w:t>
            </w:r>
            <w:r>
              <w:rPr>
                <w:rFonts w:ascii="仿宋_GB2312" w:hAnsi="仿宋_GB2312" w:cs="仿宋_GB2312" w:eastAsia="仿宋_GB2312"/>
                <w:sz w:val="20"/>
              </w:rPr>
              <w:t>〕</w:t>
            </w:r>
            <w:r>
              <w:rPr>
                <w:rFonts w:ascii="仿宋_GB2312" w:hAnsi="仿宋_GB2312" w:cs="仿宋_GB2312" w:eastAsia="仿宋_GB2312"/>
                <w:sz w:val="20"/>
              </w:rPr>
              <w:t>26</w:t>
            </w:r>
            <w:r>
              <w:rPr>
                <w:rFonts w:ascii="仿宋_GB2312" w:hAnsi="仿宋_GB2312" w:cs="仿宋_GB2312" w:eastAsia="仿宋_GB2312"/>
                <w:sz w:val="20"/>
              </w:rPr>
              <w:t>号）</w:t>
            </w:r>
            <w:r>
              <w:rPr>
                <w:rFonts w:ascii="仿宋_GB2312" w:hAnsi="仿宋_GB2312" w:cs="仿宋_GB2312" w:eastAsia="仿宋_GB2312"/>
                <w:sz w:val="20"/>
              </w:rPr>
              <w:t>等相关文件要求，需进一步完善监测</w:t>
            </w:r>
            <w:r>
              <w:rPr>
                <w:rFonts w:ascii="仿宋_GB2312" w:hAnsi="仿宋_GB2312" w:cs="仿宋_GB2312" w:eastAsia="仿宋_GB2312"/>
                <w:sz w:val="20"/>
              </w:rPr>
              <w:t>系统</w:t>
            </w:r>
            <w:r>
              <w:rPr>
                <w:rFonts w:ascii="仿宋_GB2312" w:hAnsi="仿宋_GB2312" w:cs="仿宋_GB2312" w:eastAsia="仿宋_GB2312"/>
                <w:sz w:val="20"/>
              </w:rPr>
              <w:t>，</w:t>
            </w:r>
            <w:r>
              <w:rPr>
                <w:rFonts w:ascii="仿宋_GB2312" w:hAnsi="仿宋_GB2312" w:cs="仿宋_GB2312" w:eastAsia="仿宋_GB2312"/>
                <w:sz w:val="20"/>
              </w:rPr>
              <w:t>依托监测系统开展日常管理，健全完善长期运行机制，不断拓展系统功能，形成技术先进、经济适用、精准预警的监测体系，进一步提升监测系统的实效性、可靠性、耐久性，有效提升公路桥隧运行安全水平和服务品质。</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总体目标</w:t>
            </w:r>
          </w:p>
          <w:p>
            <w:pPr>
              <w:pStyle w:val="null3"/>
              <w:ind w:firstLine="400"/>
              <w:jc w:val="both"/>
            </w:pPr>
            <w:r>
              <w:rPr>
                <w:rFonts w:ascii="仿宋_GB2312" w:hAnsi="仿宋_GB2312" w:cs="仿宋_GB2312" w:eastAsia="仿宋_GB2312"/>
                <w:sz w:val="20"/>
              </w:rPr>
              <w:t>按照部省相关政策文件及技术规范开展工作，确保陕西省长大桥隧、桥梁群轻量化结构监测系统、省级公路桥梁结构监测系统实施规范、运行稳定；按照部要求确保部省平台联网运行正常；完成省级监测平台桥梁群监测模块开发；完成省级监测平台与养护管理系统对接方案；按照我省养护管理需求，提供实时数据处理服务，</w:t>
            </w:r>
            <w:r>
              <w:rPr>
                <w:rFonts w:ascii="仿宋_GB2312" w:hAnsi="仿宋_GB2312" w:cs="仿宋_GB2312" w:eastAsia="仿宋_GB2312"/>
                <w:sz w:val="20"/>
              </w:rPr>
              <w:t>满足日常管理、决策分析需求；</w:t>
            </w:r>
            <w:r>
              <w:rPr>
                <w:rFonts w:ascii="仿宋_GB2312" w:hAnsi="仿宋_GB2312" w:cs="仿宋_GB2312" w:eastAsia="仿宋_GB2312"/>
                <w:sz w:val="20"/>
              </w:rPr>
              <w:t>协助桥隧管养单位总结凝练公路桥隧结构监测数据融合应用的典型创新成果，提升我省公路桥隧管养现代化水平和安全保障能力。</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采购内容清单</w:t>
            </w:r>
          </w:p>
          <w:p>
            <w:pPr>
              <w:pStyle w:val="null3"/>
              <w:ind w:firstLine="400"/>
              <w:jc w:val="both"/>
            </w:pPr>
            <w:r>
              <w:rPr>
                <w:rFonts w:ascii="仿宋_GB2312" w:hAnsi="仿宋_GB2312" w:cs="仿宋_GB2312" w:eastAsia="仿宋_GB2312"/>
                <w:sz w:val="20"/>
              </w:rPr>
              <w:t>监测系统技术指导与跟踪服务、省级监测平台桥梁群监测模块开发、省级监测平台对外接口开发、监测数据融合应用创新成果推广。</w:t>
            </w:r>
          </w:p>
          <w:p>
            <w:pPr>
              <w:pStyle w:val="null3"/>
              <w:jc w:val="left"/>
            </w:pPr>
            <w:r>
              <w:rPr>
                <w:rFonts w:ascii="仿宋_GB2312" w:hAnsi="仿宋_GB2312" w:cs="仿宋_GB2312" w:eastAsia="仿宋_GB2312"/>
                <w:sz w:val="20"/>
              </w:rPr>
              <w:t>三、</w:t>
            </w:r>
            <w:r>
              <w:rPr>
                <w:rFonts w:ascii="仿宋_GB2312" w:hAnsi="仿宋_GB2312" w:cs="仿宋_GB2312" w:eastAsia="仿宋_GB2312"/>
                <w:sz w:val="20"/>
              </w:rPr>
              <w:t>技术需求</w:t>
            </w:r>
          </w:p>
          <w:p>
            <w:pPr>
              <w:pStyle w:val="null3"/>
              <w:ind w:firstLine="400"/>
              <w:jc w:val="both"/>
            </w:pPr>
            <w:r>
              <w:rPr>
                <w:rFonts w:ascii="仿宋_GB2312" w:hAnsi="仿宋_GB2312" w:cs="仿宋_GB2312" w:eastAsia="仿宋_GB2312"/>
                <w:sz w:val="20"/>
              </w:rPr>
              <w:t>（一）通用技术需求</w:t>
            </w:r>
          </w:p>
          <w:p>
            <w:pPr>
              <w:pStyle w:val="null3"/>
              <w:ind w:firstLine="400"/>
              <w:jc w:val="both"/>
            </w:pPr>
            <w:r>
              <w:rPr>
                <w:rFonts w:ascii="仿宋_GB2312" w:hAnsi="仿宋_GB2312" w:cs="仿宋_GB2312" w:eastAsia="仿宋_GB2312"/>
                <w:sz w:val="20"/>
              </w:rPr>
              <w:t xml:space="preserve">1. </w:t>
            </w:r>
            <w:r>
              <w:rPr>
                <w:rFonts w:ascii="仿宋_GB2312" w:hAnsi="仿宋_GB2312" w:cs="仿宋_GB2312" w:eastAsia="仿宋_GB2312"/>
                <w:sz w:val="20"/>
              </w:rPr>
              <w:t>合规性：所有技术服务、模块开发、方案制定均需严格遵循交通运输部及陕西省相关政策文件、技术规范，确保成果合规、可落地，符合《公路桥梁结构监测技术规范》</w:t>
            </w:r>
            <w:r>
              <w:rPr>
                <w:rFonts w:ascii="仿宋_GB2312" w:hAnsi="仿宋_GB2312" w:cs="仿宋_GB2312" w:eastAsia="仿宋_GB2312"/>
                <w:sz w:val="20"/>
              </w:rPr>
              <w:t>(JT/T 1037-2022)</w:t>
            </w:r>
            <w:r>
              <w:rPr>
                <w:rFonts w:ascii="仿宋_GB2312" w:hAnsi="仿宋_GB2312" w:cs="仿宋_GB2312" w:eastAsia="仿宋_GB2312"/>
                <w:sz w:val="20"/>
              </w:rPr>
              <w:t>、《省级公路长大桥梁结构监测平台建设技术指南》等要求。</w:t>
            </w:r>
          </w:p>
          <w:p>
            <w:pPr>
              <w:pStyle w:val="null3"/>
              <w:ind w:firstLine="400"/>
              <w:jc w:val="both"/>
            </w:pPr>
            <w:r>
              <w:rPr>
                <w:rFonts w:ascii="仿宋_GB2312" w:hAnsi="仿宋_GB2312" w:cs="仿宋_GB2312" w:eastAsia="仿宋_GB2312"/>
                <w:sz w:val="20"/>
              </w:rPr>
              <w:t xml:space="preserve">2. </w:t>
            </w:r>
            <w:r>
              <w:rPr>
                <w:rFonts w:ascii="仿宋_GB2312" w:hAnsi="仿宋_GB2312" w:cs="仿宋_GB2312" w:eastAsia="仿宋_GB2312"/>
                <w:sz w:val="20"/>
              </w:rPr>
              <w:t>兼容性：模块开发、系统对接需适配现有省级监测平台、养护管理系统及各类桥隧监测系统，确保互联互通，无兼容性问题，数据传输顺畅，不影响原有系统正常运行。</w:t>
            </w:r>
          </w:p>
          <w:p>
            <w:pPr>
              <w:pStyle w:val="null3"/>
              <w:ind w:firstLine="400"/>
              <w:jc w:val="left"/>
            </w:pPr>
            <w:r>
              <w:rPr>
                <w:rFonts w:ascii="仿宋_GB2312" w:hAnsi="仿宋_GB2312" w:cs="仿宋_GB2312" w:eastAsia="仿宋_GB2312"/>
                <w:sz w:val="20"/>
              </w:rPr>
              <w:t xml:space="preserve">3. </w:t>
            </w:r>
            <w:r>
              <w:rPr>
                <w:rFonts w:ascii="仿宋_GB2312" w:hAnsi="仿宋_GB2312" w:cs="仿宋_GB2312" w:eastAsia="仿宋_GB2312"/>
                <w:sz w:val="20"/>
              </w:rPr>
              <w:t>安全性：数据采集、传输、存储过程需符合网络安全相关要求，建立完善的安全保障机制，</w:t>
            </w:r>
            <w:r>
              <w:rPr>
                <w:rFonts w:ascii="仿宋_GB2312" w:hAnsi="仿宋_GB2312" w:cs="仿宋_GB2312" w:eastAsia="仿宋_GB2312"/>
                <w:sz w:val="20"/>
              </w:rPr>
              <w:t>防范网络攻击</w:t>
            </w:r>
            <w:r>
              <w:rPr>
                <w:rFonts w:ascii="仿宋_GB2312" w:hAnsi="仿宋_GB2312" w:cs="仿宋_GB2312" w:eastAsia="仿宋_GB2312"/>
                <w:sz w:val="20"/>
              </w:rPr>
              <w:t>，</w:t>
            </w:r>
            <w:r>
              <w:rPr>
                <w:rFonts w:ascii="仿宋_GB2312" w:hAnsi="仿宋_GB2312" w:cs="仿宋_GB2312" w:eastAsia="仿宋_GB2312"/>
                <w:sz w:val="20"/>
              </w:rPr>
              <w:t>防止数据泄露、篡改、丢失，确保监测数据和系统运行安全，</w:t>
            </w:r>
            <w:r>
              <w:rPr>
                <w:rFonts w:ascii="仿宋_GB2312" w:hAnsi="仿宋_GB2312" w:cs="仿宋_GB2312" w:eastAsia="仿宋_GB2312"/>
                <w:sz w:val="20"/>
              </w:rPr>
              <w:t>及时修复风险隐患</w:t>
            </w:r>
            <w:r>
              <w:rPr>
                <w:rFonts w:ascii="仿宋_GB2312" w:hAnsi="仿宋_GB2312" w:cs="仿宋_GB2312" w:eastAsia="仿宋_GB2312"/>
                <w:sz w:val="20"/>
              </w:rPr>
              <w:t>，</w:t>
            </w:r>
            <w:r>
              <w:rPr>
                <w:rFonts w:ascii="仿宋_GB2312" w:hAnsi="仿宋_GB2312" w:cs="仿宋_GB2312" w:eastAsia="仿宋_GB2312"/>
                <w:sz w:val="20"/>
              </w:rPr>
              <w:t>满足等保二级合规要求。</w:t>
            </w:r>
          </w:p>
          <w:p>
            <w:pPr>
              <w:pStyle w:val="null3"/>
              <w:ind w:firstLine="400"/>
              <w:jc w:val="both"/>
            </w:pPr>
            <w:r>
              <w:rPr>
                <w:rFonts w:ascii="仿宋_GB2312" w:hAnsi="仿宋_GB2312" w:cs="仿宋_GB2312" w:eastAsia="仿宋_GB2312"/>
                <w:sz w:val="20"/>
              </w:rPr>
              <w:t>（二）专项技术需求</w:t>
            </w:r>
          </w:p>
          <w:p>
            <w:pPr>
              <w:pStyle w:val="null3"/>
              <w:ind w:firstLine="400"/>
              <w:jc w:val="both"/>
            </w:pPr>
            <w:r>
              <w:rPr>
                <w:rFonts w:ascii="仿宋_GB2312" w:hAnsi="仿宋_GB2312" w:cs="仿宋_GB2312" w:eastAsia="仿宋_GB2312"/>
                <w:sz w:val="20"/>
              </w:rPr>
              <w:t xml:space="preserve">1. </w:t>
            </w:r>
            <w:r>
              <w:rPr>
                <w:rFonts w:ascii="仿宋_GB2312" w:hAnsi="仿宋_GB2312" w:cs="仿宋_GB2312" w:eastAsia="仿宋_GB2312"/>
                <w:sz w:val="20"/>
              </w:rPr>
              <w:t>监测系统技术指导与跟踪服务：技术指导团队需具备丰富的实践经验，能够快速响应系统运行中的问题，提供现场或远程技术支持，确保监测系统运行稳定。</w:t>
            </w:r>
          </w:p>
          <w:p>
            <w:pPr>
              <w:pStyle w:val="null3"/>
              <w:ind w:firstLine="400"/>
              <w:jc w:val="both"/>
            </w:pPr>
            <w:r>
              <w:rPr>
                <w:rFonts w:ascii="仿宋_GB2312" w:hAnsi="仿宋_GB2312" w:cs="仿宋_GB2312" w:eastAsia="仿宋_GB2312"/>
                <w:sz w:val="20"/>
              </w:rPr>
              <w:t xml:space="preserve">2. </w:t>
            </w:r>
            <w:r>
              <w:rPr>
                <w:rFonts w:ascii="仿宋_GB2312" w:hAnsi="仿宋_GB2312" w:cs="仿宋_GB2312" w:eastAsia="仿宋_GB2312"/>
                <w:sz w:val="20"/>
              </w:rPr>
              <w:t>省级监测平台桥梁群监测模块开发：模块需支持监测数据（位移、应变、振动等）的实时采集、统计分析，具备数据可视化展示、异常预警、历史数据查询、报表管理等功能。</w:t>
            </w:r>
          </w:p>
          <w:p>
            <w:pPr>
              <w:pStyle w:val="null3"/>
              <w:ind w:firstLine="400"/>
              <w:jc w:val="both"/>
            </w:pPr>
            <w:r>
              <w:rPr>
                <w:rFonts w:ascii="仿宋_GB2312" w:hAnsi="仿宋_GB2312" w:cs="仿宋_GB2312" w:eastAsia="仿宋_GB2312"/>
                <w:sz w:val="20"/>
              </w:rPr>
              <w:t xml:space="preserve">3. </w:t>
            </w:r>
            <w:r>
              <w:rPr>
                <w:rFonts w:ascii="仿宋_GB2312" w:hAnsi="仿宋_GB2312" w:cs="仿宋_GB2312" w:eastAsia="仿宋_GB2312"/>
                <w:sz w:val="20"/>
              </w:rPr>
              <w:t>系统对接方案：对接方案需明确数据接口规范、数据传输协议，确保监测平台与养护管理系统实现互通，对接完成后系统运行稳定，无数据丢失、错乱等问题，不影响原有系统业务流程。</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数据处理需求：</w:t>
            </w:r>
            <w:r>
              <w:rPr>
                <w:rFonts w:ascii="仿宋_GB2312" w:hAnsi="仿宋_GB2312" w:cs="仿宋_GB2312" w:eastAsia="仿宋_GB2312"/>
                <w:sz w:val="20"/>
              </w:rPr>
              <w:t>投标人须按省公路局养护管理需求，提供实时数据处理服务，</w:t>
            </w:r>
            <w:r>
              <w:rPr>
                <w:rFonts w:ascii="仿宋_GB2312" w:hAnsi="仿宋_GB2312" w:cs="仿宋_GB2312" w:eastAsia="仿宋_GB2312"/>
                <w:sz w:val="20"/>
              </w:rPr>
              <w:t>包括对桥梁（群）系统进行抽查、调取桥梁监测相关数据，对各桥梁（群）监测系统设备在线率及数据完好率、监测系统数据质量、系统使用情况等进行汇总，并按国家、行业及省公路局制度要求出具各类报表，满足日常管理、决策分析及汇报需求。配合省公路局将相关数据、超限报警及使用情况等按照交通运输部要求进行报送。</w:t>
            </w:r>
          </w:p>
          <w:p>
            <w:pPr>
              <w:pStyle w:val="null3"/>
              <w:ind w:firstLine="400"/>
              <w:jc w:val="both"/>
            </w:pPr>
            <w:r>
              <w:rPr>
                <w:rFonts w:ascii="仿宋_GB2312" w:hAnsi="仿宋_GB2312" w:cs="仿宋_GB2312" w:eastAsia="仿宋_GB2312"/>
                <w:sz w:val="20"/>
              </w:rPr>
              <w:t xml:space="preserve">5. </w:t>
            </w:r>
            <w:r>
              <w:rPr>
                <w:rFonts w:ascii="仿宋_GB2312" w:hAnsi="仿宋_GB2312" w:cs="仿宋_GB2312" w:eastAsia="仿宋_GB2312"/>
                <w:sz w:val="20"/>
              </w:rPr>
              <w:t>创新成果凝练：成果需结合我省桥隧监测实际，突出数据融合应用的创新性和实用性，形成典型创新应用案例。</w:t>
            </w:r>
          </w:p>
          <w:p>
            <w:pPr>
              <w:pStyle w:val="null3"/>
              <w:ind w:firstLine="400"/>
              <w:jc w:val="both"/>
            </w:pPr>
            <w:r>
              <w:rPr>
                <w:rFonts w:ascii="仿宋_GB2312" w:hAnsi="仿宋_GB2312" w:cs="仿宋_GB2312" w:eastAsia="仿宋_GB2312"/>
                <w:sz w:val="20"/>
              </w:rPr>
              <w:t>（三）服务技术需求</w:t>
            </w:r>
          </w:p>
          <w:p>
            <w:pPr>
              <w:pStyle w:val="null3"/>
              <w:ind w:firstLine="400"/>
              <w:jc w:val="both"/>
            </w:pPr>
            <w:r>
              <w:rPr>
                <w:rFonts w:ascii="仿宋_GB2312" w:hAnsi="仿宋_GB2312" w:cs="仿宋_GB2312" w:eastAsia="仿宋_GB2312"/>
                <w:sz w:val="20"/>
              </w:rPr>
              <w:t xml:space="preserve">1. </w:t>
            </w:r>
            <w:r>
              <w:rPr>
                <w:rFonts w:ascii="仿宋_GB2312" w:hAnsi="仿宋_GB2312" w:cs="仿宋_GB2312" w:eastAsia="仿宋_GB2312"/>
                <w:sz w:val="20"/>
              </w:rPr>
              <w:t>服务响应：建立服务响应机制，接到技术咨询、问题反馈后，</w:t>
            </w:r>
            <w:r>
              <w:rPr>
                <w:rFonts w:ascii="仿宋_GB2312" w:hAnsi="仿宋_GB2312" w:cs="仿宋_GB2312" w:eastAsia="仿宋_GB2312"/>
                <w:sz w:val="20"/>
              </w:rPr>
              <w:t>1</w:t>
            </w:r>
            <w:r>
              <w:rPr>
                <w:rFonts w:ascii="仿宋_GB2312" w:hAnsi="仿宋_GB2312" w:cs="仿宋_GB2312" w:eastAsia="仿宋_GB2312"/>
                <w:sz w:val="20"/>
              </w:rPr>
              <w:t>小时内响应，</w:t>
            </w:r>
            <w:r>
              <w:rPr>
                <w:rFonts w:ascii="仿宋_GB2312" w:hAnsi="仿宋_GB2312" w:cs="仿宋_GB2312" w:eastAsia="仿宋_GB2312"/>
                <w:sz w:val="20"/>
              </w:rPr>
              <w:t>24</w:t>
            </w:r>
            <w:r>
              <w:rPr>
                <w:rFonts w:ascii="仿宋_GB2312" w:hAnsi="仿宋_GB2312" w:cs="仿宋_GB2312" w:eastAsia="仿宋_GB2312"/>
                <w:sz w:val="20"/>
              </w:rPr>
              <w:t>小时内提出解决方案，重大问题</w:t>
            </w:r>
            <w:r>
              <w:rPr>
                <w:rFonts w:ascii="仿宋_GB2312" w:hAnsi="仿宋_GB2312" w:cs="仿宋_GB2312" w:eastAsia="仿宋_GB2312"/>
                <w:sz w:val="20"/>
              </w:rPr>
              <w:t>48</w:t>
            </w:r>
            <w:r>
              <w:rPr>
                <w:rFonts w:ascii="仿宋_GB2312" w:hAnsi="仿宋_GB2312" w:cs="仿宋_GB2312" w:eastAsia="仿宋_GB2312"/>
                <w:sz w:val="20"/>
              </w:rPr>
              <w:t>小时内现场处置。</w:t>
            </w:r>
          </w:p>
          <w:p>
            <w:pPr>
              <w:pStyle w:val="null3"/>
              <w:ind w:firstLine="400"/>
              <w:jc w:val="both"/>
            </w:pPr>
            <w:r>
              <w:rPr>
                <w:rFonts w:ascii="仿宋_GB2312" w:hAnsi="仿宋_GB2312" w:cs="仿宋_GB2312" w:eastAsia="仿宋_GB2312"/>
                <w:sz w:val="20"/>
              </w:rPr>
              <w:t xml:space="preserve">2. </w:t>
            </w:r>
            <w:r>
              <w:rPr>
                <w:rFonts w:ascii="仿宋_GB2312" w:hAnsi="仿宋_GB2312" w:cs="仿宋_GB2312" w:eastAsia="仿宋_GB2312"/>
                <w:sz w:val="20"/>
              </w:rPr>
              <w:t>技术培训：根据需求为桥隧管养单位、平台操作人员提供技术培训，确保相关人员熟练掌握监测系统操作、平台使用及数据应用方法。</w:t>
            </w:r>
          </w:p>
          <w:p>
            <w:pPr>
              <w:pStyle w:val="null3"/>
              <w:ind w:firstLine="400"/>
              <w:jc w:val="both"/>
            </w:pPr>
            <w:r>
              <w:rPr>
                <w:rFonts w:ascii="仿宋_GB2312" w:hAnsi="仿宋_GB2312" w:cs="仿宋_GB2312" w:eastAsia="仿宋_GB2312"/>
                <w:sz w:val="20"/>
              </w:rPr>
              <w:t xml:space="preserve">3. </w:t>
            </w:r>
            <w:r>
              <w:rPr>
                <w:rFonts w:ascii="仿宋_GB2312" w:hAnsi="仿宋_GB2312" w:cs="仿宋_GB2312" w:eastAsia="仿宋_GB2312"/>
                <w:sz w:val="20"/>
              </w:rPr>
              <w:t>成果验收：所有技术服务、模块开发、方案制定完成后，需配合甲方完成验收工作，提供完整的验收资料，确保验收合格。</w:t>
            </w:r>
          </w:p>
          <w:p>
            <w:pPr>
              <w:pStyle w:val="null3"/>
              <w:ind w:firstLine="400"/>
              <w:jc w:val="both"/>
            </w:pPr>
            <w:r>
              <w:rPr>
                <w:rFonts w:ascii="仿宋_GB2312" w:hAnsi="仿宋_GB2312" w:cs="仿宋_GB2312" w:eastAsia="仿宋_GB2312"/>
                <w:sz w:val="20"/>
              </w:rPr>
              <w:t>（四）</w:t>
            </w:r>
            <w:r>
              <w:rPr>
                <w:rFonts w:ascii="仿宋_GB2312" w:hAnsi="仿宋_GB2312" w:cs="仿宋_GB2312" w:eastAsia="仿宋_GB2312"/>
                <w:sz w:val="20"/>
              </w:rPr>
              <w:t>付款原则</w:t>
            </w:r>
          </w:p>
          <w:p>
            <w:pPr>
              <w:pStyle w:val="null3"/>
              <w:ind w:firstLine="400"/>
              <w:jc w:val="both"/>
            </w:pPr>
            <w:r>
              <w:rPr>
                <w:rFonts w:ascii="仿宋_GB2312" w:hAnsi="仿宋_GB2312" w:cs="仿宋_GB2312" w:eastAsia="仿宋_GB2312"/>
                <w:sz w:val="20"/>
              </w:rPr>
              <w:t>严格遵循《政府采购需求管理办法》规定，按合同约定节点足额支付，不得设置无依据付款门槛，供应商付款时限最长不超过</w:t>
            </w:r>
            <w:r>
              <w:rPr>
                <w:rFonts w:ascii="仿宋_GB2312" w:hAnsi="仿宋_GB2312" w:cs="仿宋_GB2312" w:eastAsia="仿宋_GB2312"/>
                <w:sz w:val="20"/>
              </w:rPr>
              <w:t xml:space="preserve">60 </w:t>
            </w:r>
            <w:r>
              <w:rPr>
                <w:rFonts w:ascii="仿宋_GB2312" w:hAnsi="仿宋_GB2312" w:cs="仿宋_GB2312" w:eastAsia="仿宋_GB2312"/>
                <w:sz w:val="20"/>
              </w:rPr>
              <w:t>日。</w:t>
            </w:r>
          </w:p>
          <w:p>
            <w:pPr>
              <w:pStyle w:val="null3"/>
              <w:ind w:firstLine="400"/>
              <w:jc w:val="both"/>
            </w:pPr>
            <w:r>
              <w:rPr>
                <w:rFonts w:ascii="仿宋_GB2312" w:hAnsi="仿宋_GB2312" w:cs="仿宋_GB2312" w:eastAsia="仿宋_GB2312"/>
                <w:sz w:val="20"/>
              </w:rPr>
              <w:t>4.1</w:t>
            </w:r>
            <w:r>
              <w:rPr>
                <w:rFonts w:ascii="仿宋_GB2312" w:hAnsi="仿宋_GB2312" w:cs="仿宋_GB2312" w:eastAsia="仿宋_GB2312"/>
                <w:sz w:val="20"/>
              </w:rPr>
              <w:t>支付节点与比例</w:t>
            </w:r>
          </w:p>
          <w:p>
            <w:pPr>
              <w:pStyle w:val="null3"/>
              <w:ind w:firstLine="400"/>
              <w:jc w:val="both"/>
            </w:pPr>
            <w:r>
              <w:rPr>
                <w:rFonts w:ascii="仿宋_GB2312" w:hAnsi="仿宋_GB2312" w:cs="仿宋_GB2312" w:eastAsia="仿宋_GB2312"/>
                <w:sz w:val="20"/>
              </w:rPr>
              <w:t>合同签订前，乙方须向甲方缴纳合同总金额</w:t>
            </w:r>
            <w:r>
              <w:rPr>
                <w:rFonts w:ascii="仿宋_GB2312" w:hAnsi="仿宋_GB2312" w:cs="仿宋_GB2312" w:eastAsia="仿宋_GB2312"/>
                <w:sz w:val="20"/>
              </w:rPr>
              <w:t>5%的履约保证金，履约保证金待乙方履行完毕全部合同义务，并经甲方履约验收合格，无任何纠纷后无息退还。</w:t>
            </w:r>
          </w:p>
          <w:p>
            <w:pPr>
              <w:pStyle w:val="null3"/>
              <w:ind w:firstLine="400"/>
              <w:jc w:val="both"/>
            </w:pPr>
            <w:r>
              <w:rPr>
                <w:rFonts w:ascii="仿宋_GB2312" w:hAnsi="仿宋_GB2312" w:cs="仿宋_GB2312" w:eastAsia="仿宋_GB2312"/>
                <w:sz w:val="20"/>
              </w:rPr>
              <w:t>合同签订后，甲方收到履约保证金及增值税普通发票后，支付合同总金额的</w:t>
            </w:r>
            <w:r>
              <w:rPr>
                <w:rFonts w:ascii="仿宋_GB2312" w:hAnsi="仿宋_GB2312" w:cs="仿宋_GB2312" w:eastAsia="仿宋_GB2312"/>
                <w:sz w:val="20"/>
              </w:rPr>
              <w:t>60.00%。</w:t>
            </w:r>
            <w:r>
              <w:rPr>
                <w:rFonts w:ascii="仿宋_GB2312" w:hAnsi="仿宋_GB2312" w:cs="仿宋_GB2312" w:eastAsia="仿宋_GB2312"/>
                <w:sz w:val="20"/>
              </w:rPr>
              <w:t>20</w:t>
            </w:r>
            <w:r>
              <w:rPr>
                <w:rFonts w:ascii="仿宋_GB2312" w:hAnsi="仿宋_GB2312" w:cs="仿宋_GB2312" w:eastAsia="仿宋_GB2312"/>
                <w:sz w:val="20"/>
              </w:rPr>
              <w:t>26</w:t>
            </w:r>
            <w:r>
              <w:rPr>
                <w:rFonts w:ascii="仿宋_GB2312" w:hAnsi="仿宋_GB2312" w:cs="仿宋_GB2312" w:eastAsia="仿宋_GB2312"/>
                <w:sz w:val="20"/>
              </w:rPr>
              <w:t>年</w:t>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月</w:t>
            </w:r>
            <w:r>
              <w:rPr>
                <w:rFonts w:ascii="仿宋_GB2312" w:hAnsi="仿宋_GB2312" w:cs="仿宋_GB2312" w:eastAsia="仿宋_GB2312"/>
                <w:sz w:val="20"/>
              </w:rPr>
              <w:t>20</w:t>
            </w:r>
            <w:r>
              <w:rPr>
                <w:rFonts w:ascii="仿宋_GB2312" w:hAnsi="仿宋_GB2312" w:cs="仿宋_GB2312" w:eastAsia="仿宋_GB2312"/>
                <w:sz w:val="20"/>
              </w:rPr>
              <w:t>日</w:t>
            </w:r>
            <w:r>
              <w:rPr>
                <w:rFonts w:ascii="仿宋_GB2312" w:hAnsi="仿宋_GB2312" w:cs="仿宋_GB2312" w:eastAsia="仿宋_GB2312"/>
                <w:sz w:val="20"/>
              </w:rPr>
              <w:t>之前</w:t>
            </w:r>
            <w:r>
              <w:rPr>
                <w:rFonts w:ascii="仿宋_GB2312" w:hAnsi="仿宋_GB2312" w:cs="仿宋_GB2312" w:eastAsia="仿宋_GB2312"/>
                <w:sz w:val="20"/>
              </w:rPr>
              <w:t>，</w:t>
            </w:r>
            <w:r>
              <w:rPr>
                <w:rFonts w:ascii="仿宋_GB2312" w:hAnsi="仿宋_GB2312" w:cs="仿宋_GB2312" w:eastAsia="仿宋_GB2312"/>
                <w:sz w:val="20"/>
              </w:rPr>
              <w:t>乙方完成</w:t>
            </w:r>
            <w:r>
              <w:rPr>
                <w:rFonts w:ascii="仿宋_GB2312" w:hAnsi="仿宋_GB2312" w:cs="仿宋_GB2312" w:eastAsia="仿宋_GB2312"/>
                <w:sz w:val="20"/>
              </w:rPr>
              <w:t>阶段性服务</w:t>
            </w:r>
            <w:r>
              <w:rPr>
                <w:rFonts w:ascii="仿宋_GB2312" w:hAnsi="仿宋_GB2312" w:cs="仿宋_GB2312" w:eastAsia="仿宋_GB2312"/>
                <w:sz w:val="20"/>
              </w:rPr>
              <w:t>内容</w:t>
            </w:r>
            <w:r>
              <w:rPr>
                <w:rFonts w:ascii="仿宋_GB2312" w:hAnsi="仿宋_GB2312" w:cs="仿宋_GB2312" w:eastAsia="仿宋_GB2312"/>
                <w:sz w:val="20"/>
              </w:rPr>
              <w:t>并经</w:t>
            </w:r>
            <w:r>
              <w:rPr>
                <w:rFonts w:ascii="仿宋_GB2312" w:hAnsi="仿宋_GB2312" w:cs="仿宋_GB2312" w:eastAsia="仿宋_GB2312"/>
                <w:sz w:val="20"/>
              </w:rPr>
              <w:t>甲方</w:t>
            </w:r>
            <w:r>
              <w:rPr>
                <w:rFonts w:ascii="仿宋_GB2312" w:hAnsi="仿宋_GB2312" w:cs="仿宋_GB2312" w:eastAsia="仿宋_GB2312"/>
                <w:sz w:val="20"/>
              </w:rPr>
              <w:t>确认</w:t>
            </w:r>
            <w:r>
              <w:rPr>
                <w:rFonts w:ascii="仿宋_GB2312" w:hAnsi="仿宋_GB2312" w:cs="仿宋_GB2312" w:eastAsia="仿宋_GB2312"/>
                <w:sz w:val="20"/>
              </w:rPr>
              <w:t>合格</w:t>
            </w:r>
            <w:r>
              <w:rPr>
                <w:rFonts w:ascii="仿宋_GB2312" w:hAnsi="仿宋_GB2312" w:cs="仿宋_GB2312" w:eastAsia="仿宋_GB2312"/>
                <w:sz w:val="20"/>
              </w:rPr>
              <w:t>，</w:t>
            </w:r>
            <w:r>
              <w:rPr>
                <w:rFonts w:ascii="仿宋_GB2312" w:hAnsi="仿宋_GB2312" w:cs="仿宋_GB2312" w:eastAsia="仿宋_GB2312"/>
                <w:sz w:val="20"/>
              </w:rPr>
              <w:t>甲方在达到付款条件之日起</w:t>
            </w:r>
            <w:r>
              <w:rPr>
                <w:rFonts w:ascii="仿宋_GB2312" w:hAnsi="仿宋_GB2312" w:cs="仿宋_GB2312" w:eastAsia="仿宋_GB2312"/>
                <w:sz w:val="20"/>
              </w:rPr>
              <w:t>3</w:t>
            </w:r>
            <w:r>
              <w:rPr>
                <w:rFonts w:ascii="仿宋_GB2312" w:hAnsi="仿宋_GB2312" w:cs="仿宋_GB2312" w:eastAsia="仿宋_GB2312"/>
                <w:sz w:val="20"/>
              </w:rPr>
              <w:t>0</w:t>
            </w:r>
            <w:r>
              <w:rPr>
                <w:rFonts w:ascii="仿宋_GB2312" w:hAnsi="仿宋_GB2312" w:cs="仿宋_GB2312" w:eastAsia="仿宋_GB2312"/>
                <w:sz w:val="20"/>
              </w:rPr>
              <w:t>个工作日内，支付合同总金额的</w:t>
            </w:r>
            <w:r>
              <w:rPr>
                <w:rFonts w:ascii="仿宋_GB2312" w:hAnsi="仿宋_GB2312" w:cs="仿宋_GB2312" w:eastAsia="仿宋_GB2312"/>
                <w:sz w:val="20"/>
              </w:rPr>
              <w:t>40%。</w:t>
            </w:r>
          </w:p>
          <w:p>
            <w:pPr>
              <w:pStyle w:val="null3"/>
              <w:ind w:firstLine="400"/>
              <w:jc w:val="both"/>
            </w:pPr>
            <w:r>
              <w:rPr>
                <w:rFonts w:ascii="仿宋_GB2312" w:hAnsi="仿宋_GB2312" w:cs="仿宋_GB2312" w:eastAsia="仿宋_GB2312"/>
                <w:sz w:val="20"/>
              </w:rPr>
              <w:t xml:space="preserve">4.2 </w:t>
            </w:r>
            <w:r>
              <w:rPr>
                <w:rFonts w:ascii="仿宋_GB2312" w:hAnsi="仿宋_GB2312" w:cs="仿宋_GB2312" w:eastAsia="仿宋_GB2312"/>
                <w:sz w:val="20"/>
              </w:rPr>
              <w:t>支付要求</w:t>
            </w:r>
          </w:p>
          <w:p>
            <w:pPr>
              <w:pStyle w:val="null3"/>
              <w:jc w:val="both"/>
            </w:pPr>
            <w:r>
              <w:rPr>
                <w:rFonts w:ascii="仿宋_GB2312" w:hAnsi="仿宋_GB2312" w:cs="仿宋_GB2312" w:eastAsia="仿宋_GB2312"/>
                <w:sz w:val="20"/>
              </w:rPr>
              <w:t>不得将合同未约定的额外义务（如无偿培训、赠送设备）作为付款前置条件。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 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 （二）甲方收到乙方的验收申请后，组织乙方（必要时请有关专家）进行项目验收。乙方提交合同履约情况总结报告，并经甲方确认。验收合格后，填写项目验收单作为对项目的最终认可。 （三）验收依据：①本合同及附件文本；②竞争性磋商文件、磋商响应文件、澄清表（函）；（根据项目情况确定采购方式）③国家相应的标准、规范，包括不限于《公路桥梁结构监测技术规范》、《省级公路长大桥梁结构健康监测平台建设技术指南》。 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进度款，合同签订后，甲方收到履约保证金及增值税普通发票后，，达到付款条件起30个工作日内，支付合同总金额的60.0%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进度款，2026年12月20日之前，乙方完成阶段性服务内容并经甲方确认合格，，达到付款条件起30个工作日内，支付合同总金额的40.0%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（2）未按合同要求提供的服务，采购人会同招标组织机构有权终止合同和对供应商的违约行为进行追究。 （3）如乙方不能按期完成工作任务，按合同要求扣除违约金；如因甲方原因导致产品不能按期完成，乙方不用承担赔偿责任。 （4）合同执行中发生争议的，当事人双方应协商解决。协商达不成一致时，可向采购人所在地人民法院提请诉讼。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供应商在领取中标通知书前向代理机构提供纸质版磋商响应文件（磋商响应文件必须与在陕西省政府采购综合管理平台的项目电子化交易系统中递交的电子响应文件内容一致），磋商响应文件为正本一份，副本二份，电子U盘二个（U盘内容包括Word版本、签字盖章扫描后的PDF版本响应文件）。纸质响应文件均须A4纸打印，分别各自装订成册并编制目录和页码。 2.本项目所属行业为：软件和信息技术服务业。 3.供应商的投标报价是供应商响应项目要求的全部工作内容的价格体现，包括但不限于供应商完成本项目的人工费、服务费、管理费、验收费、资料费、采购代理服务费、利润和税费；在提供服务的过程中的任何遗漏，均由成交供应商免费提供，采购人将不再支付任何费用。 4.如磋商文件中融资相关内容与新政策要求有出入，按照最新要求执行。 5.磋商保证金的退还参照《政府采购竞争性磋商采购方式管理暂行办法》第三十一条，采购人或者采购代理机构应当在采购活动结束后及时退还供应商的磋商保证金，但因供应商自身原因导致无法及时退还的除外。未成交供应商的磋商保证金应当在成交通知书发出后5个工作日内退还，成交供应商的磋商保证金应当在采购合同签订后5个工作日内退还。 有下列情形之一的，磋商保证金不予退还： （一）供应商在提交响应文件截止时间后撤回响应文件的； （二）供应商在响应文件中提供虚假材料的； （三）除因不可抗力或磋商文件认可的情形以外，成交供应商不与采购人签订合同的； （四）供应商与采购人、其他供应商或者采购代理机构恶意串通的； （五）磋商文件规定的其他情形。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1.营业执照：有独立承担民事责任能力的法人、其他组织或自然人，供应商是法人或其他组织的应提供营业执照等证明文件，自然人提供有效的自然人身份证明； 2.完税证明：供应商须提供投标截止时间前一年内，已缴纳的任意一个月的纳税证明或完税证明，纳税证明或完税证明上应有代收机构或税务机关的公章或业务专用章，依法免税的供应商应提供相关文件证明；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一般资格审查证明文件.docx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供应商须提供2024或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资信证明需提供投标截止时间前6个月内）及基本存款账户开户许可证（或基本账户信息）；</w:t>
            </w:r>
          </w:p>
        </w:tc>
        <w:tc>
          <w:tcPr>
            <w:tcW w:type="dxa" w:w="1661"/>
          </w:tcPr>
          <w:p>
            <w:pPr>
              <w:pStyle w:val="null3"/>
            </w:pPr>
            <w:r>
              <w:rPr>
                <w:rFonts w:ascii="仿宋_GB2312" w:hAnsi="仿宋_GB2312" w:cs="仿宋_GB2312" w:eastAsia="仿宋_GB2312"/>
              </w:rPr>
              <w:t>一般资格审查证明文件.docx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一般资格审查证明文件.docx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法定代表人授权书(附法定代表人、被授权人身份证复印件)及被授权人身份证复印件(法定代表人直接参加投标的，须提供法定代表人身份证明及身份证复印件)；非法人单位参照执行。</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单位负责人为同一人或者存在直接控股、管理关系的不同供应商，不得参加同一项目的招标活动。（提供承诺书）</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案件当事人名单，在中国政府采购网（www.ccgp.gov.cn）政府采购严重违法失信行为记录名单中未被财政部门禁止参加政府采购活动的供应商。</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具有有效的省级交通主管部门核发的桥梁隧道工程专项资质。</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不允许组成联合体投标。（提供承诺书）</w:t>
            </w:r>
          </w:p>
        </w:tc>
        <w:tc>
          <w:tcPr>
            <w:tcW w:type="dxa" w:w="1661"/>
          </w:tcPr>
          <w:p>
            <w:pPr>
              <w:pStyle w:val="null3"/>
            </w:pPr>
            <w:r>
              <w:rPr>
                <w:rFonts w:ascii="仿宋_GB2312" w:hAnsi="仿宋_GB2312" w:cs="仿宋_GB2312" w:eastAsia="仿宋_GB2312"/>
              </w:rPr>
              <w:t>特殊资格审查证明文件.docx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采购人可以结合具体项目实际情况，提高上述第1项至第3项中启动异常低价投标（响应）审查的数值标准，但是最高不得超过65%。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采购人、采购代理机构应当为磋商小组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 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磋商响应文件签字盖章要求</w:t>
            </w:r>
          </w:p>
        </w:tc>
        <w:tc>
          <w:tcPr>
            <w:tcW w:type="dxa" w:w="3322"/>
          </w:tcPr>
          <w:p>
            <w:pPr>
              <w:pStyle w:val="null3"/>
            </w:pPr>
            <w:r>
              <w:rPr>
                <w:rFonts w:ascii="仿宋_GB2312" w:hAnsi="仿宋_GB2312" w:cs="仿宋_GB2312" w:eastAsia="仿宋_GB2312"/>
              </w:rPr>
              <w:t>供应商应按磋商文件要求对磋商响应文件进行电子签章。</w:t>
            </w:r>
          </w:p>
        </w:tc>
        <w:tc>
          <w:tcPr>
            <w:tcW w:type="dxa" w:w="1661"/>
          </w:tcPr>
          <w:p>
            <w:pPr>
              <w:pStyle w:val="null3"/>
            </w:pPr>
            <w:r>
              <w:rPr>
                <w:rFonts w:ascii="仿宋_GB2312" w:hAnsi="仿宋_GB2312" w:cs="仿宋_GB2312" w:eastAsia="仿宋_GB2312"/>
              </w:rPr>
              <w:t>业绩一览表.docx 服务内容及服务邀请应答表 中小企业声明函 商务应答表 一般资格审查证明文件.docx 供应商应提交的相关资格证明材料 响应文件封面 设备清单.docx 残疾人福利性单位声明函 服务方案 标的清单 响应函 监狱企业的证明文件 特殊资格审查证明文件.docx 人员清单.docx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业绩一览表.docx 服务内容及服务邀请应答表 中小企业声明函 商务应答表 一般资格审查证明文件.docx 供应商应提交的相关资格证明材料 响应文件封面 设备清单.docx 残疾人福利性单位声明函 服务方案 标的清单 响应函 监狱企业的证明文件 特殊资格审查证明文件.docx 人员清单.docx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报价超过磋商文件中规定的最高限价的</w:t>
            </w:r>
          </w:p>
        </w:tc>
        <w:tc>
          <w:tcPr>
            <w:tcW w:type="dxa" w:w="3322"/>
          </w:tcPr>
          <w:p>
            <w:pPr>
              <w:pStyle w:val="null3"/>
            </w:pPr>
            <w:r>
              <w:rPr>
                <w:rFonts w:ascii="仿宋_GB2312" w:hAnsi="仿宋_GB2312" w:cs="仿宋_GB2312" w:eastAsia="仿宋_GB2312"/>
              </w:rPr>
              <w:t>报价唯一，报价不得超过磋商文件中规定的最高限价。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提交磋商响应文件的截止之日起不少于90天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符合磋商文件要求，提供磋商保证金缴纳凭证或担保机构出具的保函</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业绩一览表.docx 服务内容及服务邀请应答表 中小企业声明函 商务应答表 一般资格审查证明文件.docx 供应商应提交的相关资格证明材料 设备清单.docx 响应文件封面 残疾人福利性单位声明函 服务方案 标的清单 响应函 监狱企业的证明文件 特殊资格审查证明文件.docx 人员清单.docx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2021年1月1日以来至响应文件递交截止前，承担过公路行业类似业绩至少3个，得9分；每增加1个，加2分，最多加8分。 注：未提供项目合同或业主履约证明资料，按无效项目处理，磋商评审不计分。（业绩证明资料须加盖供应商公章。)</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项目负责人与技术负责人</w:t>
            </w:r>
          </w:p>
        </w:tc>
        <w:tc>
          <w:tcPr>
            <w:tcW w:type="dxa" w:w="2492"/>
          </w:tcPr>
          <w:p>
            <w:pPr>
              <w:pStyle w:val="null3"/>
            </w:pPr>
            <w:r>
              <w:rPr>
                <w:rFonts w:ascii="仿宋_GB2312" w:hAnsi="仿宋_GB2312" w:cs="仿宋_GB2312" w:eastAsia="仿宋_GB2312"/>
              </w:rPr>
              <w:t>1.项目负责人（8分）：公路桥梁或计算机软件、智慧交通、信息系统工程相关专业，具备高级工程师及以上职称，得4分；否则不得分。 2021年1月1日至响应文件递交截止日前，担任过1个公路行业类似业绩的项目负责人，得6分；每增加1项加1分，最多加2分。 2.技术负责人（7分）：公路桥梁或计算机软件、智慧交通、信息系统工程相关专业，具备高级工程师及以上职称，得3分，否则不得分。 2022年1月1日至响应文件递交截止日前，担任过1个公路行业类似业绩的技术负责人，得3分；每增加1项加0.5分，最多加1分。 证明材料：须提供相关人员的身份证、相关证书复印件及业绩证明材料和磋商响应文件递交前3个月内任意1个月的社保缴纳证明或社保局出具的有效证明材料，未能提供有效证明材料或证明材料不完整的成员不计入评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人员清单.docx</w:t>
            </w:r>
          </w:p>
        </w:tc>
      </w:tr>
      <w:tr>
        <w:tc>
          <w:tcPr>
            <w:tcW w:type="dxa" w:w="831"/>
            <w:vMerge/>
          </w:tcPr>
          <w:p/>
        </w:tc>
        <w:tc>
          <w:tcPr>
            <w:tcW w:type="dxa" w:w="1661"/>
          </w:tcPr>
          <w:p>
            <w:pPr>
              <w:pStyle w:val="null3"/>
            </w:pPr>
            <w:r>
              <w:rPr>
                <w:rFonts w:ascii="仿宋_GB2312" w:hAnsi="仿宋_GB2312" w:cs="仿宋_GB2312" w:eastAsia="仿宋_GB2312"/>
              </w:rPr>
              <w:t>项目组成团队</w:t>
            </w:r>
          </w:p>
        </w:tc>
        <w:tc>
          <w:tcPr>
            <w:tcW w:type="dxa" w:w="2492"/>
          </w:tcPr>
          <w:p>
            <w:pPr>
              <w:pStyle w:val="null3"/>
            </w:pPr>
            <w:r>
              <w:rPr>
                <w:rFonts w:ascii="仿宋_GB2312" w:hAnsi="仿宋_GB2312" w:cs="仿宋_GB2312" w:eastAsia="仿宋_GB2312"/>
              </w:rPr>
              <w:t>项目组成团队（8分）： 投标人应组建一支稳定的技术服务团队，技术服务团队成员（除项目/技术负责人外）应具有公路、信息化行业中级及以上职称，团队成员不少于4人，得4分；每增加1人加2分，最多加4分。 证明材料：须提供所有项目组成员的身份证、相关证书复印件及业绩证明材料和磋商响应文件递交前3个月内任意1个月的社保缴纳证明或社保局出具的有效证明材料，未能提供有效证明材料或证明材料不完整的成员不计入评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人员清单.docx</w:t>
            </w:r>
          </w:p>
          <w:p>
            <w:pPr>
              <w:pStyle w:val="null3"/>
            </w:pPr>
            <w:r>
              <w:rPr>
                <w:rFonts w:ascii="仿宋_GB2312" w:hAnsi="仿宋_GB2312" w:cs="仿宋_GB2312" w:eastAsia="仿宋_GB2312"/>
              </w:rPr>
              <w:t>设备清单.docx</w:t>
            </w:r>
          </w:p>
        </w:tc>
      </w:tr>
      <w:tr>
        <w:tc>
          <w:tcPr>
            <w:tcW w:type="dxa" w:w="831"/>
            <w:vMerge/>
          </w:tcPr>
          <w:p/>
        </w:tc>
        <w:tc>
          <w:tcPr>
            <w:tcW w:type="dxa" w:w="1661"/>
          </w:tcPr>
          <w:p>
            <w:pPr>
              <w:pStyle w:val="null3"/>
            </w:pPr>
            <w:r>
              <w:rPr>
                <w:rFonts w:ascii="仿宋_GB2312" w:hAnsi="仿宋_GB2312" w:cs="仿宋_GB2312" w:eastAsia="仿宋_GB2312"/>
              </w:rPr>
              <w:t>监测系统技术指导与跟踪服务</w:t>
            </w:r>
          </w:p>
        </w:tc>
        <w:tc>
          <w:tcPr>
            <w:tcW w:type="dxa" w:w="2492"/>
          </w:tcPr>
          <w:p>
            <w:pPr>
              <w:pStyle w:val="null3"/>
            </w:pPr>
            <w:r>
              <w:rPr>
                <w:rFonts w:ascii="仿宋_GB2312" w:hAnsi="仿宋_GB2312" w:cs="仿宋_GB2312" w:eastAsia="仿宋_GB2312"/>
              </w:rPr>
              <w:t>一、评审内容 内容包含陕西省长大桥隧、桥梁群轻量化结构监测系统、省级公路桥梁结构监测系统的技术支持跟踪、平台问题排查及优化建议，确保与部省平台联网正常 二、评审标准 1.完整性：方案全面，完善，对评审内容中的各项要求有详细描述； 2.可实施性：方案切合本项目实际情况，科学合理可行，具有较强的针对性。 三、赋分标准 ①陕西省长大桥隧：满分4分。每完全满足一个评分标准得2分，如存在不合理的方面得1.2分，针对每条评审标准，内容与本项目无关或未提供得0分。 ②桥梁群轻量化结构监测系统：满分4分。每完全满足一个评分标准得2分，如存在不合理的方面得1.2分，针对每条评审标准，内容与本项目无关或未提供得0分。 ③省级公路桥梁结构监测系统：满分4分。每完全满足一个评分标准得2分，如存在不合理的方面得1.2分，针对每条评审标准，内容与本项目无关或未提供得0分。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省级监测平台桥梁群监测模块开发</w:t>
            </w:r>
          </w:p>
        </w:tc>
        <w:tc>
          <w:tcPr>
            <w:tcW w:type="dxa" w:w="2492"/>
          </w:tcPr>
          <w:p>
            <w:pPr>
              <w:pStyle w:val="null3"/>
            </w:pPr>
            <w:r>
              <w:rPr>
                <w:rFonts w:ascii="仿宋_GB2312" w:hAnsi="仿宋_GB2312" w:cs="仿宋_GB2312" w:eastAsia="仿宋_GB2312"/>
              </w:rPr>
              <w:t>一、评审内容 内容包含①数据展示：集成GIS地图，可实时清晰显示桥梁地理位置、设备运行状态、预警总数及关键监测指标，支持地图缩放、定位查询；数据展示界面简洁直观，适配主流浏览器（贴合B/S架构要求）；②数据统计：以图表形式展示各传感器特征值数据、时程曲线；支持按时间、桥梁、指标等多维度筛选统计，统计结果可直观反映桥梁结构状态变化；③报告管理：支持监测报表的在线查看、上传及下载。 二、评审标准 1.完整性：方案全面，完善，对评审内容中的各项要求有详细描述； 2.可实施性：方案切合本项目实际情况，科学合理可行，具有较强的针对性。 三、赋分标准 ①数据展示：满分4分；每完全满足一项评审标准得2分，如存在不合理的方面得1.2分，针对每条评审标准，内容与本项目无关或未提供得0分。 ②数据统计：满分4分；每完全满足一项评审标准得2分，如存在不合理的方面得1.2分，针对每条评审标准，内容与本项目无关或未提供得0分。 ③报告管理：满分4分；每完全满足一项评审标准得2分，如存在不合理的方面得1.2分，针对每条评审标准，内容与本项目无关或未提供得0分。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系统安全与对接</w:t>
            </w:r>
          </w:p>
        </w:tc>
        <w:tc>
          <w:tcPr>
            <w:tcW w:type="dxa" w:w="2492"/>
          </w:tcPr>
          <w:p>
            <w:pPr>
              <w:pStyle w:val="null3"/>
            </w:pPr>
            <w:r>
              <w:rPr>
                <w:rFonts w:ascii="仿宋_GB2312" w:hAnsi="仿宋_GB2312" w:cs="仿宋_GB2312" w:eastAsia="仿宋_GB2312"/>
              </w:rPr>
              <w:t>一、评审内容 内容包含①数据安全：从传输加密、访问控制（多级权限）、系统等保等方面进行了全方位设计②互联互通：提供接口文档，能与上、下级系统平台无缝对接，且接口协议符合国家标准。 二、评审标准 1.完整性：方案全面，完善，对评审内容中的各项要求有详细描述； 2.可实施性：方案切合本项目实际情况，科学合理可行，具有较强的针对性。 三、赋分标准 ①数据安全：满分4分。每完全满足一项评审标准得2分，如存在不合理的方面得1.2分，针对每条评审标准，内容与本项目无关或未提供得0分。 ②互联互通：满分4分。每完全满足一项评审标准得2分，如存在不合理的方面得1.2分，针对每条评审标准，内容与本项目无关或未提供得0分。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数据处理</w:t>
            </w:r>
          </w:p>
        </w:tc>
        <w:tc>
          <w:tcPr>
            <w:tcW w:type="dxa" w:w="2492"/>
          </w:tcPr>
          <w:p>
            <w:pPr>
              <w:pStyle w:val="null3"/>
            </w:pPr>
            <w:r>
              <w:rPr>
                <w:rFonts w:ascii="仿宋_GB2312" w:hAnsi="仿宋_GB2312" w:cs="仿宋_GB2312" w:eastAsia="仿宋_GB2312"/>
              </w:rPr>
              <w:t>一、评审内容 内容包括①实时数据处理服务：包括对桥梁（群）系统进行抽查、调取桥梁监测相关数据，对各桥梁（群）监测系统设备在线率及数据完好率、监测系统数据质量、系统使用情况等进行汇总，出具各类报表，满足日常管理、决策分析及汇报需求。②信息报送：将相关数据、超限报警及使用情况等按照交通运输部要求进行报送。 二、评审标准 1.完整性：方案全面，完善，对评审内容中的各项要求有详细描述； 2.可实施性：方案切合本项目实际情况，科学合理可行，具有较强的针对性。 三、赋分标准 ①实时数据处理服务：满分4分；每完全满足一项评审标准得2分，如存在不合理的方面得1.2分，针对每条评审标准，内容与本项目无关或未提供得0分。 ②信息报送：满分4分；每完全满足一项评审标准得2分，如存在不合理的方面得1.2分，针对每条评审标准，内容与本项目无关或未提供得0分。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监测数据融合应用创新</w:t>
            </w:r>
          </w:p>
        </w:tc>
        <w:tc>
          <w:tcPr>
            <w:tcW w:type="dxa" w:w="2492"/>
          </w:tcPr>
          <w:p>
            <w:pPr>
              <w:pStyle w:val="null3"/>
            </w:pPr>
            <w:r>
              <w:rPr>
                <w:rFonts w:ascii="仿宋_GB2312" w:hAnsi="仿宋_GB2312" w:cs="仿宋_GB2312" w:eastAsia="仿宋_GB2312"/>
              </w:rPr>
              <w:t>一、评审内容 内容包含：协助桥隧养管单位总结创新经验，形成典型创新应用案例，具备推广价值 评审标准 1.完整性：方案全面，完善，对评审内容中的各项要求有详细描述； 2.可实施性：方案切合本项目实际情况，科学合理可行，具有较强的针对性。 赋分标准 满足评审标准得5分，每完全满足一项评审标准得2.5分，如存在不合理的方面得1.5分，针对每条评审标准，内容与本项目无关或未提供得0分。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价格最低的投标报价（符合磋商文件规定的小微企业、监狱企业、残疾人福利性单位优惠条件的供应商，价格给予10%的扣除，用扣除后的价格参与评审以上政策同时具备的仅对其进行一次10%的价格扣除，不重复扣除。对最低价符合扣除条件的企业按照最低价扣除10%后的最终价作为评标基准价）价格为评标基准价，其价格为15分。其他供应商的价格分按照下列公式计算：投标报价得分＝（评标基准价/评标价）×15%×100，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详见附件：人员清单.docx</w:t>
      </w:r>
    </w:p>
    <w:p>
      <w:pPr>
        <w:pStyle w:val="null3"/>
        <w:ind w:firstLine="960"/>
      </w:pPr>
      <w:r>
        <w:rPr>
          <w:rFonts w:ascii="仿宋_GB2312" w:hAnsi="仿宋_GB2312" w:cs="仿宋_GB2312" w:eastAsia="仿宋_GB2312"/>
        </w:rPr>
        <w:t>详见附件：设备清单.docx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详见附件：一般资格审查证明文件.docx</w:t>
      </w:r>
    </w:p>
    <w:p>
      <w:pPr>
        <w:pStyle w:val="null3"/>
        <w:ind w:firstLine="960"/>
      </w:pPr>
      <w:r>
        <w:rPr>
          <w:rFonts w:ascii="仿宋_GB2312" w:hAnsi="仿宋_GB2312" w:cs="仿宋_GB2312" w:eastAsia="仿宋_GB2312"/>
        </w:rPr>
        <w:t>详见附件：特殊资格审查证明文件.docx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详见附件：上传合同.docx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