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FC729">
      <w:pPr>
        <w:pStyle w:val="8"/>
        <w:jc w:val="center"/>
        <w:outlineLvl w:val="1"/>
        <w:rPr>
          <w:rFonts w:hint="default"/>
        </w:rPr>
      </w:pPr>
      <w:r>
        <w:rPr>
          <w:rFonts w:ascii="仿宋_GB2312" w:hAnsi="仿宋_GB2312" w:eastAsia="仿宋_GB2312" w:cs="仿宋_GB2312"/>
          <w:b/>
          <w:sz w:val="36"/>
        </w:rPr>
        <w:t>拟签订采购合同文本</w:t>
      </w:r>
    </w:p>
    <w:p w14:paraId="3AE096C2">
      <w:pPr>
        <w:jc w:val="center"/>
        <w:rPr>
          <w:rFonts w:hint="eastAsia"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p w14:paraId="12963CFA">
      <w:pPr>
        <w:jc w:val="center"/>
        <w:rPr>
          <w:rFonts w:hint="eastAsia" w:ascii="仿宋_GB2312" w:hAnsi="仿宋_GB2312" w:eastAsia="仿宋_GB2312" w:cs="仿宋_GB2312"/>
        </w:rPr>
      </w:pPr>
    </w:p>
    <w:p w14:paraId="2B5F66FE">
      <w:pPr>
        <w:jc w:val="center"/>
        <w:rPr>
          <w:rFonts w:hint="eastAsia" w:ascii="仿宋_GB2312" w:hAnsi="仿宋_GB2312" w:eastAsia="仿宋_GB2312" w:cs="仿宋_GB2312"/>
        </w:rPr>
      </w:pPr>
    </w:p>
    <w:p w14:paraId="271A2D9B">
      <w:pPr>
        <w:jc w:val="center"/>
        <w:rPr>
          <w:rFonts w:hint="eastAsia" w:ascii="仿宋_GB2312" w:hAnsi="仿宋_GB2312" w:eastAsia="仿宋_GB2312" w:cs="仿宋_GB2312"/>
        </w:rPr>
      </w:pPr>
    </w:p>
    <w:p w14:paraId="5A6D86AE">
      <w:pPr>
        <w:jc w:val="center"/>
        <w:rPr>
          <w:rFonts w:hint="eastAsia" w:ascii="仿宋_GB2312" w:hAnsi="仿宋_GB2312" w:eastAsia="仿宋_GB2312" w:cs="仿宋_GB2312"/>
        </w:rPr>
      </w:pPr>
      <w:bookmarkStart w:id="40" w:name="_GoBack"/>
      <w:bookmarkEnd w:id="40"/>
    </w:p>
    <w:p w14:paraId="6EA9AEF1">
      <w:pPr>
        <w:jc w:val="center"/>
        <w:rPr>
          <w:rFonts w:hint="eastAsia" w:ascii="仿宋_GB2312" w:hAnsi="仿宋_GB2312" w:eastAsia="仿宋_GB2312" w:cs="仿宋_GB2312"/>
        </w:rPr>
      </w:pPr>
    </w:p>
    <w:p w14:paraId="7E1D3137">
      <w:pPr>
        <w:jc w:val="center"/>
        <w:rPr>
          <w:rFonts w:hint="eastAsia" w:ascii="黑体" w:hAnsi="黑体" w:eastAsia="黑体" w:cs="黑体"/>
          <w:b/>
          <w:color w:val="000000"/>
          <w:sz w:val="52"/>
          <w:szCs w:val="52"/>
        </w:rPr>
      </w:pPr>
      <w:r>
        <w:rPr>
          <w:rFonts w:hint="eastAsia" w:ascii="黑体" w:hAnsi="黑体" w:eastAsia="黑体" w:cs="黑体"/>
          <w:b/>
          <w:color w:val="000000"/>
          <w:sz w:val="52"/>
          <w:szCs w:val="52"/>
        </w:rPr>
        <w:t xml:space="preserve"> 采 购 合 同</w:t>
      </w:r>
    </w:p>
    <w:p w14:paraId="3B7B37BD">
      <w:pPr>
        <w:jc w:val="center"/>
        <w:rPr>
          <w:rFonts w:hint="eastAsia" w:ascii="黑体" w:hAnsi="黑体" w:eastAsia="黑体" w:cs="黑体"/>
          <w:color w:val="000000"/>
          <w:sz w:val="30"/>
          <w:szCs w:val="30"/>
        </w:rPr>
      </w:pPr>
    </w:p>
    <w:p w14:paraId="2CB1202B">
      <w:pPr>
        <w:pStyle w:val="3"/>
      </w:pPr>
    </w:p>
    <w:p w14:paraId="3EC307E3"/>
    <w:p w14:paraId="08408EBA">
      <w:pPr>
        <w:jc w:val="center"/>
        <w:rPr>
          <w:rFonts w:hint="eastAsia" w:ascii="黑体" w:hAnsi="黑体" w:eastAsia="黑体" w:cs="黑体"/>
          <w:color w:val="000000"/>
          <w:sz w:val="30"/>
          <w:szCs w:val="30"/>
        </w:rPr>
      </w:pPr>
    </w:p>
    <w:p w14:paraId="7864375D">
      <w:pPr>
        <w:rPr>
          <w:rFonts w:hint="eastAsia" w:ascii="黑体" w:hAnsi="黑体" w:eastAsia="黑体" w:cs="黑体"/>
          <w:color w:val="000000"/>
          <w:sz w:val="30"/>
          <w:szCs w:val="30"/>
        </w:rPr>
      </w:pPr>
    </w:p>
    <w:p w14:paraId="3ACB3B30">
      <w:pPr>
        <w:jc w:val="center"/>
        <w:rPr>
          <w:rFonts w:hint="eastAsia" w:ascii="黑体" w:hAnsi="黑体" w:eastAsia="黑体" w:cs="黑体"/>
          <w:color w:val="000000"/>
          <w:sz w:val="30"/>
          <w:szCs w:val="30"/>
        </w:rPr>
      </w:pPr>
    </w:p>
    <w:p w14:paraId="5E9796F7">
      <w:pPr>
        <w:ind w:firstLine="1606" w:firstLineChars="50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甲    方：陕西省高速公路路政执法总队</w:t>
      </w:r>
    </w:p>
    <w:p w14:paraId="0CF20CF6">
      <w:pPr>
        <w:tabs>
          <w:tab w:val="left" w:pos="480"/>
        </w:tabs>
        <w:ind w:firstLine="1606" w:firstLineChars="500"/>
        <w:rPr>
          <w:rFonts w:hint="eastAsia" w:ascii="黑体" w:hAnsi="黑体" w:eastAsia="黑体" w:cs="黑体"/>
          <w:b/>
          <w:bCs/>
          <w:color w:val="000000"/>
          <w:sz w:val="32"/>
          <w:szCs w:val="32"/>
        </w:rPr>
      </w:pPr>
      <w:r>
        <w:rPr>
          <w:rFonts w:hint="eastAsia" w:ascii="黑体" w:hAnsi="黑体" w:eastAsia="黑体" w:cs="黑体"/>
          <w:b/>
          <w:bCs/>
          <w:color w:val="000000"/>
          <w:sz w:val="32"/>
          <w:szCs w:val="32"/>
        </w:rPr>
        <w:t>乙    方：</w:t>
      </w:r>
    </w:p>
    <w:p w14:paraId="471C6552">
      <w:pPr>
        <w:tabs>
          <w:tab w:val="left" w:pos="480"/>
        </w:tabs>
        <w:ind w:firstLine="1606" w:firstLineChars="500"/>
      </w:pPr>
      <w:r>
        <w:rPr>
          <w:rFonts w:hint="eastAsia" w:ascii="黑体" w:hAnsi="黑体" w:eastAsia="黑体" w:cs="黑体"/>
          <w:b/>
          <w:bCs/>
          <w:color w:val="000000"/>
          <w:sz w:val="32"/>
          <w:szCs w:val="32"/>
        </w:rPr>
        <w:t>签订地点：陕西省西安市碑林区友谊西路352号</w:t>
      </w:r>
    </w:p>
    <w:p w14:paraId="124C5E57">
      <w:pPr>
        <w:ind w:firstLine="1606" w:firstLineChars="500"/>
        <w:jc w:val="left"/>
        <w:rPr>
          <w:rFonts w:hint="eastAsia" w:ascii="黑体" w:hAnsi="黑体" w:eastAsia="黑体" w:cs="黑体"/>
          <w:b/>
          <w:bCs/>
          <w:color w:val="000000"/>
          <w:sz w:val="32"/>
          <w:szCs w:val="32"/>
        </w:rPr>
      </w:pPr>
      <w:r>
        <w:rPr>
          <w:rFonts w:hint="eastAsia" w:ascii="黑体" w:hAnsi="黑体" w:eastAsia="黑体" w:cs="黑体"/>
          <w:b/>
          <w:bCs/>
          <w:color w:val="000000"/>
          <w:sz w:val="32"/>
          <w:szCs w:val="32"/>
        </w:rPr>
        <w:t>签订时间：       年    月    日</w:t>
      </w:r>
    </w:p>
    <w:p w14:paraId="738E8A6F">
      <w:pPr>
        <w:ind w:left="1890" w:leftChars="900"/>
        <w:jc w:val="left"/>
        <w:rPr>
          <w:rFonts w:hint="eastAsia" w:ascii="黑体" w:hAnsi="黑体" w:eastAsia="黑体" w:cs="黑体"/>
          <w:b/>
          <w:bCs/>
          <w:color w:val="000000"/>
          <w:sz w:val="32"/>
          <w:szCs w:val="32"/>
        </w:rPr>
      </w:pPr>
    </w:p>
    <w:p w14:paraId="4E6BC16A">
      <w:pPr>
        <w:spacing w:line="360" w:lineRule="auto"/>
        <w:jc w:val="center"/>
        <w:outlineLvl w:val="1"/>
        <w:rPr>
          <w:rFonts w:hint="eastAsia" w:ascii="黑体" w:hAnsi="黑体" w:eastAsia="黑体" w:cs="黑体"/>
          <w:b/>
          <w:bCs/>
          <w:color w:val="000000"/>
          <w:sz w:val="32"/>
          <w:szCs w:val="32"/>
        </w:rPr>
      </w:pPr>
      <w:r>
        <w:rPr>
          <w:rFonts w:hint="eastAsia" w:ascii="黑体" w:hAnsi="黑体" w:eastAsia="黑体" w:cs="黑体"/>
          <w:b/>
          <w:bCs/>
          <w:color w:val="000000"/>
          <w:sz w:val="32"/>
          <w:szCs w:val="32"/>
        </w:rPr>
        <w:t xml:space="preserve">  </w:t>
      </w:r>
    </w:p>
    <w:p w14:paraId="10EB9724">
      <w:pPr>
        <w:spacing w:line="360" w:lineRule="auto"/>
        <w:jc w:val="center"/>
        <w:outlineLvl w:val="1"/>
        <w:rPr>
          <w:rFonts w:hint="eastAsia" w:ascii="黑体" w:hAnsi="黑体" w:eastAsia="黑体" w:cs="黑体"/>
          <w:b/>
          <w:bCs/>
          <w:color w:val="000000"/>
          <w:sz w:val="32"/>
          <w:szCs w:val="32"/>
        </w:rPr>
      </w:pPr>
    </w:p>
    <w:p w14:paraId="180EEA24">
      <w:pPr>
        <w:tabs>
          <w:tab w:val="left" w:pos="6765"/>
        </w:tabs>
        <w:spacing w:line="360" w:lineRule="auto"/>
        <w:jc w:val="left"/>
        <w:outlineLvl w:val="1"/>
        <w:rPr>
          <w:rFonts w:hint="eastAsia" w:ascii="黑体" w:hAnsi="黑体" w:eastAsia="黑体" w:cs="黑体"/>
          <w:b/>
          <w:bCs/>
          <w:color w:val="000000"/>
          <w:sz w:val="32"/>
          <w:szCs w:val="32"/>
        </w:rPr>
      </w:pPr>
      <w:r>
        <w:rPr>
          <w:rFonts w:hint="eastAsia" w:ascii="黑体" w:hAnsi="黑体" w:eastAsia="黑体" w:cs="黑体"/>
          <w:b/>
          <w:bCs/>
          <w:color w:val="000000"/>
          <w:sz w:val="32"/>
          <w:szCs w:val="32"/>
        </w:rPr>
        <w:tab/>
      </w:r>
    </w:p>
    <w:p w14:paraId="02ED0678">
      <w:pPr>
        <w:spacing w:line="360" w:lineRule="auto"/>
        <w:jc w:val="center"/>
        <w:outlineLvl w:val="1"/>
        <w:rPr>
          <w:rFonts w:hint="eastAsia" w:ascii="黑体" w:hAnsi="黑体" w:eastAsia="黑体" w:cs="黑体"/>
          <w:b/>
          <w:bCs/>
          <w:color w:val="000000"/>
          <w:sz w:val="32"/>
          <w:szCs w:val="32"/>
        </w:rPr>
      </w:pPr>
    </w:p>
    <w:p w14:paraId="0BD6AE60">
      <w:pPr>
        <w:spacing w:line="360" w:lineRule="auto"/>
        <w:jc w:val="center"/>
        <w:outlineLvl w:val="1"/>
        <w:rPr>
          <w:rFonts w:hint="eastAsia" w:ascii="黑体" w:hAnsi="黑体" w:eastAsia="黑体" w:cs="黑体"/>
          <w:b/>
          <w:bCs/>
          <w:color w:val="000000"/>
          <w:sz w:val="32"/>
          <w:szCs w:val="32"/>
        </w:rPr>
      </w:pPr>
    </w:p>
    <w:p w14:paraId="4CBE6648">
      <w:pPr>
        <w:spacing w:line="360" w:lineRule="auto"/>
        <w:outlineLvl w:val="1"/>
        <w:rPr>
          <w:rFonts w:ascii="黑体" w:hAnsi="??" w:eastAsia="黑体" w:cs="??"/>
          <w:bCs/>
          <w:sz w:val="32"/>
          <w:szCs w:val="32"/>
        </w:rPr>
        <w:sectPr>
          <w:footerReference r:id="rId3" w:type="default"/>
          <w:pgSz w:w="11906" w:h="16838"/>
          <w:pgMar w:top="1440" w:right="1800" w:bottom="1440" w:left="1800" w:header="851" w:footer="992" w:gutter="0"/>
          <w:pgNumType w:start="1"/>
          <w:cols w:space="425" w:num="1"/>
          <w:docGrid w:type="lines" w:linePitch="312" w:charSpace="0"/>
        </w:sectPr>
      </w:pPr>
    </w:p>
    <w:p w14:paraId="59B42940">
      <w:pPr>
        <w:spacing w:line="560" w:lineRule="exact"/>
        <w:jc w:val="center"/>
        <w:outlineLvl w:val="1"/>
        <w:rPr>
          <w:rFonts w:ascii="黑体" w:hAnsi="??" w:eastAsia="黑体" w:cs="??"/>
          <w:bCs/>
          <w:sz w:val="32"/>
          <w:szCs w:val="32"/>
        </w:rPr>
      </w:pPr>
      <w:r>
        <w:rPr>
          <w:rFonts w:hint="eastAsia" w:ascii="黑体" w:hAnsi="??" w:eastAsia="黑体" w:cs="??"/>
          <w:bCs/>
          <w:sz w:val="40"/>
          <w:szCs w:val="40"/>
        </w:rPr>
        <w:t>采购合同</w:t>
      </w:r>
    </w:p>
    <w:p w14:paraId="75C94CD7">
      <w:pPr>
        <w:spacing w:line="560" w:lineRule="exact"/>
        <w:ind w:firstLine="480" w:firstLineChars="200"/>
        <w:rPr>
          <w:rFonts w:hint="eastAsia" w:ascii="宋体" w:hAnsi="宋体" w:cs="宋体"/>
          <w:sz w:val="24"/>
        </w:rPr>
      </w:pPr>
      <w:r>
        <w:rPr>
          <w:rFonts w:hint="eastAsia" w:ascii="宋体" w:hAnsi="宋体" w:cs="宋体"/>
          <w:sz w:val="24"/>
          <w:u w:val="single"/>
          <w:lang w:val="zh-CN"/>
        </w:rPr>
        <w:t xml:space="preserve"> </w:t>
      </w:r>
      <w:r>
        <w:rPr>
          <w:rFonts w:hint="eastAsia" w:ascii="宋体" w:hAnsi="宋体" w:cs="宋体"/>
          <w:sz w:val="24"/>
          <w:u w:val="single"/>
        </w:rPr>
        <w:t>2026</w:t>
      </w:r>
      <w:r>
        <w:rPr>
          <w:rFonts w:hint="eastAsia" w:ascii="宋体" w:hAnsi="宋体" w:cs="宋体"/>
          <w:sz w:val="24"/>
          <w:u w:val="single"/>
          <w:lang w:val="zh-CN"/>
        </w:rPr>
        <w:t xml:space="preserve"> </w:t>
      </w:r>
      <w:r>
        <w:rPr>
          <w:rFonts w:hint="eastAsia" w:ascii="宋体" w:hAnsi="宋体" w:cs="宋体"/>
          <w:sz w:val="24"/>
          <w:lang w:val="zh-CN"/>
        </w:rPr>
        <w:t>年</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lang w:val="zh-CN"/>
        </w:rPr>
        <w:t>月</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lang w:val="zh-CN"/>
        </w:rPr>
        <w:t>日</w:t>
      </w:r>
      <w:r>
        <w:rPr>
          <w:rFonts w:hint="eastAsia" w:ascii="宋体" w:hAnsi="宋体" w:cs="宋体"/>
          <w:sz w:val="24"/>
        </w:rPr>
        <w:t>，</w:t>
      </w:r>
      <w:r>
        <w:rPr>
          <w:rFonts w:hint="eastAsia" w:ascii="宋体" w:hAnsi="宋体" w:cs="宋体"/>
          <w:sz w:val="24"/>
          <w:u w:val="single"/>
        </w:rPr>
        <w:t>陕西省高速公路路政执法总队（采购人）</w:t>
      </w:r>
      <w:r>
        <w:rPr>
          <w:rFonts w:hint="eastAsia" w:ascii="宋体" w:hAnsi="宋体" w:cs="宋体"/>
          <w:sz w:val="24"/>
        </w:rPr>
        <w:t>以竞争性谈判方式对“陕西省高速公路路政执法总队关于执法服装的采购项目”（项目编号：</w:t>
      </w:r>
      <w:r>
        <w:rPr>
          <w:rFonts w:hint="eastAsia" w:ascii="宋体" w:hAnsi="宋体" w:cs="宋体"/>
          <w:sz w:val="24"/>
          <w:u w:val="single"/>
        </w:rPr>
        <w:t xml:space="preserve">                </w:t>
      </w:r>
      <w:r>
        <w:rPr>
          <w:rFonts w:hint="eastAsia" w:ascii="宋体" w:hAnsi="宋体" w:cs="宋体"/>
          <w:sz w:val="24"/>
        </w:rPr>
        <w:t>）进行了采购。经评审小组评定，</w:t>
      </w:r>
      <w:r>
        <w:rPr>
          <w:rFonts w:hint="eastAsia" w:ascii="宋体" w:hAnsi="宋体" w:cs="宋体"/>
          <w:sz w:val="24"/>
          <w:u w:val="single"/>
        </w:rPr>
        <w:t xml:space="preserve">         （成交供应商名称）</w:t>
      </w:r>
      <w:r>
        <w:rPr>
          <w:rFonts w:hint="eastAsia" w:ascii="宋体" w:hAnsi="宋体" w:cs="宋体"/>
          <w:sz w:val="24"/>
        </w:rPr>
        <w:t>（以下简称“乙方”）为该项目成交供应商。</w:t>
      </w:r>
      <w:r>
        <w:rPr>
          <w:rFonts w:hint="eastAsia" w:ascii="宋体" w:hAnsi="宋体" w:cs="宋体"/>
          <w:sz w:val="24"/>
          <w:u w:val="single"/>
        </w:rPr>
        <w:t>陕西省高速公路路政执法总队</w:t>
      </w:r>
      <w:r>
        <w:rPr>
          <w:rFonts w:hint="eastAsia" w:ascii="宋体" w:hAnsi="宋体" w:cs="宋体"/>
          <w:sz w:val="24"/>
        </w:rPr>
        <w:t>（以下简称“甲方”）基于此成交结果与乙方签订采购合同</w:t>
      </w:r>
    </w:p>
    <w:p w14:paraId="21E2A26C">
      <w:pPr>
        <w:spacing w:line="560" w:lineRule="exact"/>
        <w:ind w:firstLine="480" w:firstLineChars="200"/>
        <w:rPr>
          <w:rFonts w:hint="eastAsia" w:ascii="宋体" w:hAnsi="宋体" w:cs="宋体"/>
          <w:sz w:val="24"/>
        </w:rPr>
      </w:pPr>
      <w:r>
        <w:rPr>
          <w:rFonts w:hint="eastAsia" w:ascii="宋体" w:hAnsi="宋体" w:cs="宋体"/>
          <w:sz w:val="24"/>
          <w:lang w:val="zh-CN"/>
        </w:rPr>
        <w:t>根据《中华人民共和国</w:t>
      </w:r>
      <w:r>
        <w:rPr>
          <w:rFonts w:hint="eastAsia" w:ascii="宋体" w:hAnsi="宋体" w:cs="宋体"/>
          <w:sz w:val="24"/>
        </w:rPr>
        <w:t>民法典</w:t>
      </w:r>
      <w:r>
        <w:rPr>
          <w:rFonts w:hint="eastAsia" w:ascii="宋体" w:hAnsi="宋体" w:cs="宋体"/>
          <w:sz w:val="24"/>
          <w:lang w:val="zh-CN"/>
        </w:rPr>
        <w:t>》、《中华人民共和国政府采购法》等相关法律法规之规定，按照平等、自愿、公平和诚实信用的原则，经甲方和乙方协商一致，约定以下合同</w:t>
      </w:r>
      <w:r>
        <w:rPr>
          <w:rFonts w:hint="eastAsia" w:ascii="宋体" w:hAnsi="宋体" w:cs="宋体"/>
          <w:sz w:val="24"/>
        </w:rPr>
        <w:t>条款，以兹共同遵守、全面履行。</w:t>
      </w:r>
      <w:bookmarkStart w:id="0" w:name="_Toc2232"/>
      <w:bookmarkStart w:id="1" w:name="_Toc27743"/>
      <w:bookmarkStart w:id="2" w:name="_Toc17016"/>
      <w:bookmarkStart w:id="3" w:name="_Toc3029"/>
      <w:bookmarkStart w:id="4" w:name="_Toc24059"/>
    </w:p>
    <w:bookmarkEnd w:id="0"/>
    <w:bookmarkEnd w:id="1"/>
    <w:bookmarkEnd w:id="2"/>
    <w:bookmarkEnd w:id="3"/>
    <w:bookmarkEnd w:id="4"/>
    <w:p w14:paraId="54F85BFA">
      <w:pPr>
        <w:spacing w:line="560" w:lineRule="exact"/>
        <w:ind w:firstLine="482" w:firstLineChars="200"/>
        <w:rPr>
          <w:rFonts w:hint="eastAsia" w:ascii="黑体" w:hAnsi="黑体" w:eastAsia="黑体" w:cs="黑体"/>
          <w:b/>
          <w:bCs/>
          <w:sz w:val="24"/>
        </w:rPr>
      </w:pPr>
      <w:bookmarkStart w:id="5" w:name="_Toc21295"/>
      <w:bookmarkStart w:id="6" w:name="_Toc24300"/>
      <w:bookmarkStart w:id="7" w:name="_Toc22261"/>
      <w:bookmarkStart w:id="8" w:name="_Toc27126"/>
      <w:bookmarkStart w:id="9" w:name="_Toc12433"/>
      <w:r>
        <w:rPr>
          <w:rFonts w:hint="eastAsia" w:ascii="黑体" w:hAnsi="黑体" w:eastAsia="黑体" w:cs="黑体"/>
          <w:b/>
          <w:bCs/>
          <w:sz w:val="24"/>
        </w:rPr>
        <w:t>一、货物</w:t>
      </w:r>
      <w:bookmarkEnd w:id="5"/>
      <w:bookmarkEnd w:id="6"/>
      <w:bookmarkEnd w:id="7"/>
      <w:bookmarkEnd w:id="8"/>
      <w:bookmarkEnd w:id="9"/>
    </w:p>
    <w:p w14:paraId="2B45318B">
      <w:pPr>
        <w:spacing w:line="560" w:lineRule="exact"/>
        <w:ind w:left="420"/>
        <w:rPr>
          <w:lang w:val="zh-CN"/>
        </w:rPr>
      </w:pPr>
      <w:r>
        <w:rPr>
          <w:rFonts w:hint="eastAsia" w:ascii="宋体" w:hAnsi="宋体" w:cs="宋体"/>
          <w:sz w:val="24"/>
        </w:rPr>
        <w:t>1.1</w:t>
      </w:r>
      <w:r>
        <w:rPr>
          <w:rFonts w:hint="eastAsia" w:ascii="宋体" w:hAnsi="宋体" w:cs="宋体"/>
          <w:sz w:val="24"/>
          <w:lang w:val="zh-CN"/>
        </w:rPr>
        <w:t>货物名称：</w:t>
      </w:r>
      <w:r>
        <w:rPr>
          <w:rFonts w:hint="eastAsia" w:ascii="宋体" w:hAnsi="宋体" w:cs="宋体"/>
          <w:sz w:val="24"/>
          <w:u w:val="single"/>
          <w:lang w:val="zh-CN"/>
        </w:rPr>
        <w:t xml:space="preserve"> </w:t>
      </w:r>
      <w:r>
        <w:rPr>
          <w:rFonts w:hint="eastAsia" w:ascii="宋体" w:hAnsi="宋体" w:cs="宋体"/>
          <w:sz w:val="24"/>
          <w:u w:val="single"/>
        </w:rPr>
        <w:t xml:space="preserve"> 详见分项价格表</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lang w:val="zh-CN"/>
        </w:rPr>
        <w:t>。</w:t>
      </w:r>
    </w:p>
    <w:p w14:paraId="01D837FE">
      <w:pPr>
        <w:spacing w:line="560" w:lineRule="exact"/>
        <w:ind w:left="420"/>
        <w:rPr>
          <w:rFonts w:hint="eastAsia" w:ascii="宋体" w:hAnsi="宋体" w:cs="宋体"/>
          <w:sz w:val="24"/>
          <w:lang w:val="zh-CN"/>
        </w:rPr>
      </w:pPr>
      <w:r>
        <w:rPr>
          <w:rFonts w:hint="eastAsia" w:ascii="宋体" w:hAnsi="宋体" w:cs="宋体"/>
          <w:sz w:val="24"/>
        </w:rPr>
        <w:t>1.2</w:t>
      </w:r>
      <w:r>
        <w:rPr>
          <w:rFonts w:hint="eastAsia" w:ascii="宋体" w:hAnsi="宋体" w:cs="宋体"/>
          <w:sz w:val="24"/>
          <w:lang w:val="zh-CN"/>
        </w:rPr>
        <w:t>货物数量：</w:t>
      </w:r>
      <w:r>
        <w:rPr>
          <w:rFonts w:hint="eastAsia" w:ascii="宋体" w:hAnsi="宋体" w:cs="宋体"/>
          <w:sz w:val="24"/>
          <w:u w:val="single"/>
          <w:lang w:val="zh-CN"/>
        </w:rPr>
        <w:t xml:space="preserve">  </w:t>
      </w:r>
      <w:r>
        <w:rPr>
          <w:rFonts w:hint="eastAsia" w:ascii="宋体" w:hAnsi="宋体" w:cs="宋体"/>
          <w:sz w:val="24"/>
          <w:u w:val="single"/>
        </w:rPr>
        <w:t>详见分项价格表</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lang w:val="zh-CN"/>
        </w:rPr>
        <w:t>。</w:t>
      </w:r>
    </w:p>
    <w:p w14:paraId="5E80561D">
      <w:pPr>
        <w:spacing w:line="560" w:lineRule="exact"/>
        <w:ind w:left="420"/>
        <w:rPr>
          <w:rFonts w:hint="eastAsia" w:ascii="宋体" w:hAnsi="宋体" w:cs="宋体"/>
          <w:sz w:val="24"/>
          <w:lang w:val="zh-CN"/>
        </w:rPr>
      </w:pPr>
      <w:r>
        <w:rPr>
          <w:rFonts w:hint="eastAsia" w:ascii="宋体" w:hAnsi="宋体" w:cs="宋体"/>
          <w:sz w:val="24"/>
        </w:rPr>
        <w:t xml:space="preserve">1.3 </w:t>
      </w:r>
      <w:r>
        <w:rPr>
          <w:rFonts w:hint="eastAsia" w:ascii="宋体" w:hAnsi="宋体" w:cs="宋体"/>
          <w:sz w:val="24"/>
          <w:lang w:val="zh-CN"/>
        </w:rPr>
        <w:t>货物质量：</w:t>
      </w:r>
      <w:r>
        <w:rPr>
          <w:rFonts w:hint="eastAsia" w:ascii="宋体" w:hAnsi="宋体" w:cs="宋体"/>
          <w:sz w:val="24"/>
          <w:u w:val="single"/>
          <w:lang w:val="zh-CN"/>
        </w:rPr>
        <w:t>　</w:t>
      </w:r>
      <w:r>
        <w:rPr>
          <w:rFonts w:hint="eastAsia" w:ascii="宋体" w:hAnsi="宋体" w:cs="宋体"/>
          <w:sz w:val="24"/>
          <w:u w:val="single"/>
        </w:rPr>
        <w:t>符合谈判文件及国家行业标准</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lang w:val="zh-CN"/>
        </w:rPr>
        <w:t>。</w:t>
      </w:r>
    </w:p>
    <w:p w14:paraId="03F7D36F">
      <w:pPr>
        <w:spacing w:line="560" w:lineRule="exact"/>
        <w:ind w:firstLine="482" w:firstLineChars="200"/>
        <w:rPr>
          <w:rFonts w:hint="eastAsia" w:ascii="黑体" w:hAnsi="黑体" w:eastAsia="黑体" w:cs="黑体"/>
          <w:b/>
          <w:bCs/>
          <w:sz w:val="24"/>
        </w:rPr>
      </w:pPr>
      <w:bookmarkStart w:id="10" w:name="_Toc23292"/>
      <w:bookmarkStart w:id="11" w:name="_Toc20892"/>
      <w:bookmarkStart w:id="12" w:name="_Toc2609"/>
      <w:bookmarkStart w:id="13" w:name="_Toc21551"/>
      <w:bookmarkStart w:id="14" w:name="_Toc21631"/>
      <w:r>
        <w:rPr>
          <w:rFonts w:hint="eastAsia" w:ascii="黑体" w:hAnsi="黑体" w:eastAsia="黑体" w:cs="黑体"/>
          <w:b/>
          <w:bCs/>
          <w:sz w:val="24"/>
        </w:rPr>
        <w:t>二、价款</w:t>
      </w:r>
      <w:bookmarkEnd w:id="10"/>
      <w:bookmarkEnd w:id="11"/>
      <w:bookmarkEnd w:id="12"/>
      <w:bookmarkEnd w:id="13"/>
      <w:bookmarkEnd w:id="14"/>
    </w:p>
    <w:p w14:paraId="3F81EFE4">
      <w:pPr>
        <w:spacing w:line="500" w:lineRule="exact"/>
        <w:ind w:firstLine="480" w:firstLineChars="200"/>
        <w:rPr>
          <w:rFonts w:hint="eastAsia" w:ascii="宋体" w:hAnsi="宋体" w:cs="宋体"/>
          <w:sz w:val="24"/>
          <w:lang w:val="zh-CN"/>
        </w:rPr>
      </w:pPr>
      <w:r>
        <w:rPr>
          <w:rFonts w:hint="eastAsia" w:ascii="宋体" w:hAnsi="宋体" w:cs="宋体"/>
          <w:sz w:val="24"/>
          <w:lang w:val="zh-CN"/>
        </w:rPr>
        <w:t>本合同总价为：</w:t>
      </w:r>
      <w:r>
        <w:rPr>
          <w:rFonts w:hint="eastAsia" w:ascii="宋体" w:hAnsi="宋体" w:cs="宋体"/>
          <w:sz w:val="24"/>
        </w:rPr>
        <w:t>¥</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lang w:val="zh-CN"/>
        </w:rPr>
        <w:t>元（大写：</w:t>
      </w:r>
      <w:r>
        <w:rPr>
          <w:rFonts w:hint="eastAsia" w:ascii="宋体" w:hAnsi="宋体" w:cs="宋体"/>
          <w:sz w:val="24"/>
          <w:u w:val="single"/>
        </w:rPr>
        <w:t xml:space="preserve">             </w:t>
      </w:r>
      <w:r>
        <w:rPr>
          <w:rFonts w:hint="eastAsia" w:ascii="宋体" w:hAnsi="宋体" w:cs="宋体"/>
          <w:sz w:val="24"/>
          <w:lang w:val="zh-CN"/>
        </w:rPr>
        <w:t>）。</w:t>
      </w:r>
      <w:r>
        <w:rPr>
          <w:rFonts w:hint="eastAsia" w:ascii="宋体" w:hAnsi="宋体" w:cs="宋体"/>
          <w:sz w:val="24"/>
        </w:rPr>
        <w:t>本合同为单价一次性包死价，</w:t>
      </w:r>
      <w:r>
        <w:rPr>
          <w:rFonts w:hint="eastAsia" w:ascii="宋体" w:hAnsi="宋体" w:cs="宋体"/>
          <w:sz w:val="24"/>
          <w:lang w:val="zh-CN"/>
        </w:rPr>
        <w:t>该费用</w:t>
      </w:r>
      <w:r>
        <w:rPr>
          <w:rFonts w:hint="eastAsia" w:ascii="宋体" w:hAnsi="宋体" w:cs="宋体"/>
          <w:sz w:val="24"/>
        </w:rPr>
        <w:t>已</w:t>
      </w:r>
      <w:r>
        <w:rPr>
          <w:rFonts w:hint="eastAsia" w:ascii="宋体" w:hAnsi="宋体" w:cs="宋体"/>
          <w:sz w:val="24"/>
          <w:lang w:val="zh-CN"/>
        </w:rPr>
        <w:t>包含包装、</w:t>
      </w:r>
      <w:r>
        <w:rPr>
          <w:rFonts w:hint="eastAsia" w:ascii="宋体" w:hAnsi="宋体" w:cs="宋体"/>
          <w:sz w:val="24"/>
        </w:rPr>
        <w:t>税费、运费</w:t>
      </w:r>
      <w:r>
        <w:rPr>
          <w:rFonts w:hint="eastAsia" w:ascii="宋体" w:hAnsi="宋体" w:cs="宋体"/>
          <w:sz w:val="24"/>
          <w:lang w:val="zh-CN"/>
        </w:rPr>
        <w:t>等全部费用，不再另行增收。</w:t>
      </w:r>
    </w:p>
    <w:p w14:paraId="68B33CD9">
      <w:pPr>
        <w:spacing w:line="560" w:lineRule="exact"/>
        <w:ind w:firstLine="480" w:firstLineChars="200"/>
        <w:jc w:val="left"/>
        <w:rPr>
          <w:rFonts w:hint="eastAsia" w:ascii="宋体" w:hAnsi="宋体" w:cs="宋体"/>
          <w:sz w:val="24"/>
          <w:lang w:val="zh-CN"/>
        </w:rPr>
      </w:pPr>
      <w:r>
        <w:rPr>
          <w:rFonts w:hint="eastAsia" w:ascii="宋体" w:hAnsi="宋体" w:cs="宋体"/>
          <w:sz w:val="24"/>
          <w:lang w:val="zh-CN"/>
        </w:rPr>
        <w:t>分项价格表：</w:t>
      </w:r>
    </w:p>
    <w:tbl>
      <w:tblPr>
        <w:tblStyle w:val="5"/>
        <w:tblpPr w:leftFromText="180" w:rightFromText="180" w:vertAnchor="text" w:horzAnchor="page" w:tblpX="1714" w:tblpY="285"/>
        <w:tblOverlap w:val="never"/>
        <w:tblW w:w="9096" w:type="dxa"/>
        <w:tblInd w:w="0" w:type="dxa"/>
        <w:tblLayout w:type="fixed"/>
        <w:tblCellMar>
          <w:top w:w="0" w:type="dxa"/>
          <w:left w:w="108" w:type="dxa"/>
          <w:bottom w:w="0" w:type="dxa"/>
          <w:right w:w="108" w:type="dxa"/>
        </w:tblCellMar>
      </w:tblPr>
      <w:tblGrid>
        <w:gridCol w:w="982"/>
        <w:gridCol w:w="1788"/>
        <w:gridCol w:w="1778"/>
        <w:gridCol w:w="1516"/>
        <w:gridCol w:w="1516"/>
        <w:gridCol w:w="1516"/>
      </w:tblGrid>
      <w:tr w14:paraId="0437A8DB">
        <w:tblPrEx>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vAlign w:val="center"/>
          </w:tcPr>
          <w:p w14:paraId="2550D827">
            <w:pPr>
              <w:widowControl/>
              <w:spacing w:line="500" w:lineRule="exact"/>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序号</w:t>
            </w:r>
          </w:p>
        </w:tc>
        <w:tc>
          <w:tcPr>
            <w:tcW w:w="1788" w:type="dxa"/>
            <w:tcBorders>
              <w:top w:val="single" w:color="000000" w:sz="4" w:space="0"/>
              <w:left w:val="single" w:color="000000" w:sz="4" w:space="0"/>
              <w:bottom w:val="single" w:color="000000" w:sz="4" w:space="0"/>
              <w:right w:val="single" w:color="000000" w:sz="4" w:space="0"/>
            </w:tcBorders>
            <w:vAlign w:val="center"/>
          </w:tcPr>
          <w:p w14:paraId="597E3637">
            <w:pPr>
              <w:widowControl/>
              <w:spacing w:line="500" w:lineRule="exact"/>
              <w:jc w:val="center"/>
              <w:textAlignment w:val="center"/>
              <w:rPr>
                <w:rFonts w:hint="eastAsia" w:ascii="宋体" w:hAnsi="宋体" w:eastAsia="宋体" w:cs="宋体"/>
                <w:b/>
                <w:bCs/>
                <w:color w:val="000000"/>
                <w:sz w:val="24"/>
              </w:rPr>
            </w:pPr>
            <w:r>
              <w:rPr>
                <w:rFonts w:hint="eastAsia" w:ascii="宋体" w:hAnsi="宋体" w:cs="宋体"/>
                <w:b/>
                <w:bCs/>
                <w:color w:val="000000"/>
                <w:kern w:val="0"/>
                <w:sz w:val="24"/>
                <w:lang w:bidi="ar"/>
              </w:rPr>
              <w:t>采购</w:t>
            </w:r>
            <w:r>
              <w:rPr>
                <w:rFonts w:hint="eastAsia" w:ascii="宋体" w:hAnsi="宋体" w:eastAsia="宋体" w:cs="宋体"/>
                <w:b/>
                <w:bCs/>
                <w:color w:val="000000"/>
                <w:kern w:val="0"/>
                <w:sz w:val="24"/>
                <w:lang w:bidi="ar"/>
              </w:rPr>
              <w:t>品名</w:t>
            </w:r>
          </w:p>
        </w:tc>
        <w:tc>
          <w:tcPr>
            <w:tcW w:w="1778" w:type="dxa"/>
            <w:tcBorders>
              <w:top w:val="single" w:color="000000" w:sz="4" w:space="0"/>
              <w:left w:val="single" w:color="000000" w:sz="4" w:space="0"/>
              <w:bottom w:val="single" w:color="000000" w:sz="4" w:space="0"/>
              <w:right w:val="single" w:color="000000" w:sz="4" w:space="0"/>
            </w:tcBorders>
            <w:vAlign w:val="center"/>
          </w:tcPr>
          <w:p w14:paraId="3959C806">
            <w:pPr>
              <w:widowControl/>
              <w:spacing w:line="500" w:lineRule="exact"/>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单位</w:t>
            </w:r>
          </w:p>
        </w:tc>
        <w:tc>
          <w:tcPr>
            <w:tcW w:w="1516" w:type="dxa"/>
            <w:tcBorders>
              <w:top w:val="single" w:color="000000" w:sz="4" w:space="0"/>
              <w:left w:val="single" w:color="000000" w:sz="4" w:space="0"/>
              <w:bottom w:val="single" w:color="000000" w:sz="4" w:space="0"/>
              <w:right w:val="single" w:color="000000" w:sz="4" w:space="0"/>
            </w:tcBorders>
            <w:vAlign w:val="center"/>
          </w:tcPr>
          <w:p w14:paraId="15A0BADE">
            <w:pPr>
              <w:widowControl/>
              <w:spacing w:line="500" w:lineRule="exact"/>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数量</w:t>
            </w:r>
          </w:p>
        </w:tc>
        <w:tc>
          <w:tcPr>
            <w:tcW w:w="1516" w:type="dxa"/>
            <w:tcBorders>
              <w:top w:val="single" w:color="000000" w:sz="4" w:space="0"/>
              <w:left w:val="single" w:color="000000" w:sz="4" w:space="0"/>
              <w:bottom w:val="single" w:color="000000" w:sz="4" w:space="0"/>
              <w:right w:val="single" w:color="000000" w:sz="4" w:space="0"/>
            </w:tcBorders>
            <w:vAlign w:val="center"/>
          </w:tcPr>
          <w:p w14:paraId="7E4FD650">
            <w:pPr>
              <w:widowControl/>
              <w:spacing w:line="500" w:lineRule="exact"/>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单价</w:t>
            </w:r>
            <w:r>
              <w:rPr>
                <w:rFonts w:hint="eastAsia" w:ascii="宋体" w:hAnsi="宋体" w:cs="宋体"/>
                <w:b/>
                <w:bCs/>
                <w:color w:val="000000"/>
                <w:kern w:val="0"/>
                <w:sz w:val="24"/>
                <w:lang w:bidi="ar"/>
              </w:rPr>
              <w:t>（元）</w:t>
            </w:r>
          </w:p>
        </w:tc>
        <w:tc>
          <w:tcPr>
            <w:tcW w:w="1516" w:type="dxa"/>
            <w:tcBorders>
              <w:top w:val="single" w:color="000000" w:sz="4" w:space="0"/>
              <w:left w:val="single" w:color="000000" w:sz="4" w:space="0"/>
              <w:bottom w:val="single" w:color="000000" w:sz="4" w:space="0"/>
              <w:right w:val="single" w:color="000000" w:sz="4" w:space="0"/>
            </w:tcBorders>
            <w:vAlign w:val="center"/>
          </w:tcPr>
          <w:p w14:paraId="694A950B">
            <w:pPr>
              <w:widowControl/>
              <w:spacing w:line="500" w:lineRule="exact"/>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金额</w:t>
            </w:r>
          </w:p>
        </w:tc>
      </w:tr>
      <w:tr w14:paraId="3211B1FF">
        <w:tblPrEx>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vAlign w:val="center"/>
          </w:tcPr>
          <w:p w14:paraId="308DCA77">
            <w:pPr>
              <w:widowControl/>
              <w:spacing w:line="500" w:lineRule="exact"/>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w:t>
            </w:r>
          </w:p>
        </w:tc>
        <w:tc>
          <w:tcPr>
            <w:tcW w:w="1788" w:type="dxa"/>
            <w:tcBorders>
              <w:top w:val="single" w:color="000000" w:sz="4" w:space="0"/>
              <w:left w:val="single" w:color="000000" w:sz="4" w:space="0"/>
              <w:bottom w:val="single" w:color="000000" w:sz="4" w:space="0"/>
              <w:right w:val="single" w:color="000000" w:sz="4" w:space="0"/>
            </w:tcBorders>
            <w:vAlign w:val="center"/>
          </w:tcPr>
          <w:p w14:paraId="0E2B65BF">
            <w:pPr>
              <w:widowControl/>
              <w:spacing w:line="500" w:lineRule="exact"/>
              <w:jc w:val="center"/>
              <w:textAlignment w:val="center"/>
              <w:rPr>
                <w:rFonts w:hint="eastAsia" w:ascii="宋体" w:hAnsi="宋体" w:eastAsia="宋体" w:cs="宋体"/>
                <w:color w:val="000000"/>
                <w:sz w:val="24"/>
              </w:rPr>
            </w:pPr>
          </w:p>
        </w:tc>
        <w:tc>
          <w:tcPr>
            <w:tcW w:w="1778" w:type="dxa"/>
            <w:tcBorders>
              <w:top w:val="single" w:color="000000" w:sz="4" w:space="0"/>
              <w:left w:val="single" w:color="000000" w:sz="4" w:space="0"/>
              <w:bottom w:val="single" w:color="000000" w:sz="4" w:space="0"/>
              <w:right w:val="single" w:color="000000" w:sz="4" w:space="0"/>
            </w:tcBorders>
            <w:vAlign w:val="center"/>
          </w:tcPr>
          <w:p w14:paraId="7C1800D5">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231B2923">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13E4D554">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368BE7BD">
            <w:pPr>
              <w:widowControl/>
              <w:spacing w:line="500" w:lineRule="exact"/>
              <w:jc w:val="center"/>
              <w:textAlignment w:val="center"/>
              <w:rPr>
                <w:rFonts w:hint="eastAsia" w:ascii="宋体" w:hAnsi="宋体" w:eastAsia="宋体" w:cs="宋体"/>
                <w:color w:val="000000"/>
                <w:sz w:val="24"/>
              </w:rPr>
            </w:pPr>
          </w:p>
        </w:tc>
      </w:tr>
      <w:tr w14:paraId="00B19676">
        <w:tblPrEx>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vAlign w:val="center"/>
          </w:tcPr>
          <w:p w14:paraId="044D8720">
            <w:pPr>
              <w:widowControl/>
              <w:spacing w:line="500" w:lineRule="exact"/>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2</w:t>
            </w:r>
          </w:p>
        </w:tc>
        <w:tc>
          <w:tcPr>
            <w:tcW w:w="1788" w:type="dxa"/>
            <w:tcBorders>
              <w:top w:val="single" w:color="000000" w:sz="4" w:space="0"/>
              <w:left w:val="single" w:color="000000" w:sz="4" w:space="0"/>
              <w:bottom w:val="single" w:color="000000" w:sz="4" w:space="0"/>
              <w:right w:val="single" w:color="000000" w:sz="4" w:space="0"/>
            </w:tcBorders>
            <w:vAlign w:val="center"/>
          </w:tcPr>
          <w:p w14:paraId="247864F5">
            <w:pPr>
              <w:widowControl/>
              <w:spacing w:line="500" w:lineRule="exact"/>
              <w:jc w:val="center"/>
              <w:textAlignment w:val="center"/>
              <w:rPr>
                <w:rFonts w:hint="eastAsia" w:ascii="宋体" w:hAnsi="宋体" w:eastAsia="宋体" w:cs="宋体"/>
                <w:color w:val="000000"/>
                <w:sz w:val="24"/>
              </w:rPr>
            </w:pPr>
          </w:p>
        </w:tc>
        <w:tc>
          <w:tcPr>
            <w:tcW w:w="1778" w:type="dxa"/>
            <w:tcBorders>
              <w:top w:val="single" w:color="000000" w:sz="4" w:space="0"/>
              <w:left w:val="single" w:color="000000" w:sz="4" w:space="0"/>
              <w:bottom w:val="single" w:color="000000" w:sz="4" w:space="0"/>
              <w:right w:val="single" w:color="000000" w:sz="4" w:space="0"/>
            </w:tcBorders>
            <w:vAlign w:val="center"/>
          </w:tcPr>
          <w:p w14:paraId="3F70873D">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3B10F7B8">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027441B8">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49FC04B2">
            <w:pPr>
              <w:widowControl/>
              <w:spacing w:line="500" w:lineRule="exact"/>
              <w:jc w:val="center"/>
              <w:textAlignment w:val="center"/>
              <w:rPr>
                <w:rFonts w:hint="eastAsia" w:ascii="宋体" w:hAnsi="宋体" w:eastAsia="宋体" w:cs="宋体"/>
                <w:color w:val="000000"/>
                <w:sz w:val="24"/>
              </w:rPr>
            </w:pPr>
          </w:p>
        </w:tc>
      </w:tr>
      <w:tr w14:paraId="46FEB792">
        <w:tblPrEx>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vAlign w:val="center"/>
          </w:tcPr>
          <w:p w14:paraId="11911FF3">
            <w:pPr>
              <w:widowControl/>
              <w:spacing w:line="500" w:lineRule="exact"/>
              <w:jc w:val="center"/>
              <w:textAlignment w:val="center"/>
              <w:rPr>
                <w:rFonts w:hint="eastAsia" w:ascii="宋体" w:hAnsi="宋体" w:eastAsia="宋体" w:cs="宋体"/>
                <w:color w:val="000000"/>
                <w:kern w:val="0"/>
                <w:sz w:val="24"/>
                <w:lang w:bidi="ar"/>
              </w:rPr>
            </w:pPr>
            <w:r>
              <w:rPr>
                <w:rFonts w:hint="eastAsia" w:ascii="宋体" w:hAnsi="宋体" w:cs="宋体"/>
                <w:color w:val="000000"/>
                <w:kern w:val="0"/>
                <w:sz w:val="24"/>
                <w:lang w:bidi="ar"/>
              </w:rPr>
              <w:t>...</w:t>
            </w:r>
          </w:p>
        </w:tc>
        <w:tc>
          <w:tcPr>
            <w:tcW w:w="1788" w:type="dxa"/>
            <w:tcBorders>
              <w:top w:val="single" w:color="000000" w:sz="4" w:space="0"/>
              <w:left w:val="single" w:color="000000" w:sz="4" w:space="0"/>
              <w:bottom w:val="single" w:color="000000" w:sz="4" w:space="0"/>
              <w:right w:val="single" w:color="000000" w:sz="4" w:space="0"/>
            </w:tcBorders>
            <w:vAlign w:val="center"/>
          </w:tcPr>
          <w:p w14:paraId="06EEB823">
            <w:pPr>
              <w:widowControl/>
              <w:spacing w:line="500" w:lineRule="exact"/>
              <w:jc w:val="center"/>
              <w:textAlignment w:val="center"/>
              <w:rPr>
                <w:rFonts w:hint="eastAsia" w:ascii="宋体" w:hAnsi="宋体" w:eastAsia="宋体" w:cs="宋体"/>
                <w:color w:val="000000"/>
                <w:sz w:val="24"/>
              </w:rPr>
            </w:pPr>
          </w:p>
        </w:tc>
        <w:tc>
          <w:tcPr>
            <w:tcW w:w="1778" w:type="dxa"/>
            <w:tcBorders>
              <w:top w:val="single" w:color="000000" w:sz="4" w:space="0"/>
              <w:left w:val="single" w:color="000000" w:sz="4" w:space="0"/>
              <w:bottom w:val="single" w:color="000000" w:sz="4" w:space="0"/>
              <w:right w:val="single" w:color="000000" w:sz="4" w:space="0"/>
            </w:tcBorders>
            <w:vAlign w:val="center"/>
          </w:tcPr>
          <w:p w14:paraId="594106B1">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565052B8">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51986839">
            <w:pPr>
              <w:widowControl/>
              <w:spacing w:line="500" w:lineRule="exact"/>
              <w:jc w:val="center"/>
              <w:textAlignment w:val="center"/>
              <w:rPr>
                <w:rFonts w:hint="eastAsia" w:ascii="宋体" w:hAnsi="宋体" w:eastAsia="宋体" w:cs="宋体"/>
                <w:color w:val="000000"/>
                <w:sz w:val="24"/>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531C0D32">
            <w:pPr>
              <w:widowControl/>
              <w:spacing w:line="500" w:lineRule="exact"/>
              <w:jc w:val="center"/>
              <w:textAlignment w:val="center"/>
              <w:rPr>
                <w:rFonts w:hint="eastAsia" w:ascii="宋体" w:hAnsi="宋体" w:eastAsia="宋体" w:cs="宋体"/>
                <w:color w:val="000000"/>
                <w:sz w:val="24"/>
              </w:rPr>
            </w:pPr>
          </w:p>
        </w:tc>
      </w:tr>
      <w:tr w14:paraId="0399C60B">
        <w:tblPrEx>
          <w:tblCellMar>
            <w:top w:w="0" w:type="dxa"/>
            <w:left w:w="108" w:type="dxa"/>
            <w:bottom w:w="0" w:type="dxa"/>
            <w:right w:w="108" w:type="dxa"/>
          </w:tblCellMar>
        </w:tblPrEx>
        <w:trPr>
          <w:trHeight w:val="482" w:hRule="atLeast"/>
        </w:trPr>
        <w:tc>
          <w:tcPr>
            <w:tcW w:w="982" w:type="dxa"/>
            <w:tcBorders>
              <w:top w:val="single" w:color="000000" w:sz="4" w:space="0"/>
              <w:left w:val="single" w:color="000000" w:sz="4" w:space="0"/>
              <w:bottom w:val="single" w:color="000000" w:sz="4" w:space="0"/>
              <w:right w:val="single" w:color="000000" w:sz="4" w:space="0"/>
            </w:tcBorders>
            <w:vAlign w:val="center"/>
          </w:tcPr>
          <w:p w14:paraId="49C022D3">
            <w:pPr>
              <w:widowControl/>
              <w:spacing w:line="500" w:lineRule="exact"/>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合计</w:t>
            </w:r>
          </w:p>
        </w:tc>
        <w:tc>
          <w:tcPr>
            <w:tcW w:w="6598" w:type="dxa"/>
            <w:gridSpan w:val="4"/>
            <w:tcBorders>
              <w:top w:val="single" w:color="000000" w:sz="4" w:space="0"/>
              <w:left w:val="single" w:color="000000" w:sz="4" w:space="0"/>
              <w:bottom w:val="single" w:color="000000" w:sz="4" w:space="0"/>
              <w:right w:val="single" w:color="000000" w:sz="4" w:space="0"/>
            </w:tcBorders>
            <w:vAlign w:val="center"/>
          </w:tcPr>
          <w:p w14:paraId="35A515D9">
            <w:pPr>
              <w:widowControl/>
              <w:spacing w:line="500" w:lineRule="exact"/>
              <w:jc w:val="center"/>
              <w:textAlignment w:val="center"/>
              <w:rPr>
                <w:rFonts w:hint="eastAsia" w:ascii="宋体" w:hAnsi="宋体" w:eastAsia="宋体" w:cs="宋体"/>
                <w:b/>
                <w:bCs/>
                <w:color w:val="000000"/>
                <w:sz w:val="28"/>
                <w:szCs w:val="28"/>
              </w:rPr>
            </w:pPr>
          </w:p>
        </w:tc>
        <w:tc>
          <w:tcPr>
            <w:tcW w:w="1516" w:type="dxa"/>
            <w:tcBorders>
              <w:top w:val="single" w:color="000000" w:sz="4" w:space="0"/>
              <w:left w:val="single" w:color="000000" w:sz="4" w:space="0"/>
              <w:bottom w:val="single" w:color="000000" w:sz="4" w:space="0"/>
              <w:right w:val="single" w:color="000000" w:sz="4" w:space="0"/>
            </w:tcBorders>
            <w:vAlign w:val="center"/>
          </w:tcPr>
          <w:p w14:paraId="4859955A">
            <w:pPr>
              <w:widowControl/>
              <w:spacing w:line="500" w:lineRule="exact"/>
              <w:jc w:val="center"/>
              <w:textAlignment w:val="center"/>
              <w:rPr>
                <w:rFonts w:hint="eastAsia" w:ascii="宋体" w:hAnsi="宋体" w:eastAsia="宋体" w:cs="宋体"/>
                <w:b/>
                <w:bCs/>
                <w:color w:val="000000"/>
                <w:sz w:val="28"/>
                <w:szCs w:val="28"/>
              </w:rPr>
            </w:pPr>
          </w:p>
        </w:tc>
      </w:tr>
      <w:tr w14:paraId="3110A142">
        <w:tblPrEx>
          <w:tblCellMar>
            <w:top w:w="0" w:type="dxa"/>
            <w:left w:w="108" w:type="dxa"/>
            <w:bottom w:w="0" w:type="dxa"/>
            <w:right w:w="108" w:type="dxa"/>
          </w:tblCellMar>
        </w:tblPrEx>
        <w:trPr>
          <w:trHeight w:val="509" w:hRule="atLeast"/>
        </w:trPr>
        <w:tc>
          <w:tcPr>
            <w:tcW w:w="9096" w:type="dxa"/>
            <w:gridSpan w:val="6"/>
            <w:tcBorders>
              <w:top w:val="single" w:color="000000" w:sz="4" w:space="0"/>
              <w:left w:val="single" w:color="000000" w:sz="4" w:space="0"/>
              <w:bottom w:val="single" w:color="000000" w:sz="4" w:space="0"/>
              <w:right w:val="single" w:color="000000" w:sz="4" w:space="0"/>
            </w:tcBorders>
            <w:vAlign w:val="center"/>
          </w:tcPr>
          <w:p w14:paraId="3CC14612">
            <w:pPr>
              <w:widowControl/>
              <w:spacing w:line="500" w:lineRule="exact"/>
              <w:jc w:val="left"/>
              <w:textAlignment w:val="center"/>
              <w:rPr>
                <w:rFonts w:hint="eastAsia" w:ascii="宋体" w:hAnsi="宋体" w:eastAsia="宋体" w:cs="宋体"/>
                <w:b/>
                <w:bCs/>
                <w:color w:val="000000"/>
                <w:kern w:val="0"/>
                <w:sz w:val="28"/>
                <w:szCs w:val="28"/>
                <w:lang w:bidi="ar"/>
              </w:rPr>
            </w:pPr>
            <w:r>
              <w:rPr>
                <w:rFonts w:hint="eastAsia" w:ascii="宋体" w:hAnsi="宋体" w:cs="宋体"/>
                <w:color w:val="000000"/>
                <w:kern w:val="0"/>
                <w:sz w:val="24"/>
                <w:lang w:bidi="ar"/>
              </w:rPr>
              <w:t>备注：</w:t>
            </w:r>
          </w:p>
        </w:tc>
      </w:tr>
    </w:tbl>
    <w:p w14:paraId="139C3B59">
      <w:pPr>
        <w:rPr>
          <w:lang w:val="zh-CN"/>
        </w:rPr>
      </w:pPr>
    </w:p>
    <w:p w14:paraId="6E8BEA5D">
      <w:pPr>
        <w:spacing w:line="560" w:lineRule="exact"/>
        <w:ind w:firstLine="482" w:firstLineChars="200"/>
        <w:rPr>
          <w:rFonts w:hint="eastAsia" w:ascii="黑体" w:hAnsi="黑体" w:eastAsia="黑体" w:cs="黑体"/>
          <w:b/>
          <w:bCs/>
          <w:sz w:val="24"/>
        </w:rPr>
      </w:pPr>
      <w:bookmarkStart w:id="15" w:name="_Toc14984"/>
      <w:bookmarkStart w:id="16" w:name="_Toc10340"/>
      <w:bookmarkStart w:id="17" w:name="_Toc22618"/>
      <w:bookmarkStart w:id="18" w:name="_Toc23571"/>
      <w:bookmarkStart w:id="19" w:name="_Toc1814"/>
      <w:r>
        <w:rPr>
          <w:rFonts w:hint="eastAsia" w:ascii="黑体" w:hAnsi="黑体" w:eastAsia="黑体" w:cs="黑体"/>
          <w:b/>
          <w:bCs/>
          <w:sz w:val="24"/>
        </w:rPr>
        <w:t>三、付款方式和发票开具方式</w:t>
      </w:r>
      <w:bookmarkEnd w:id="15"/>
      <w:bookmarkEnd w:id="16"/>
      <w:bookmarkEnd w:id="17"/>
      <w:bookmarkEnd w:id="18"/>
      <w:bookmarkEnd w:id="19"/>
    </w:p>
    <w:p w14:paraId="09AE67D0">
      <w:pPr>
        <w:spacing w:line="560" w:lineRule="exact"/>
        <w:ind w:firstLine="480" w:firstLineChars="200"/>
        <w:rPr>
          <w:rFonts w:hint="eastAsia" w:ascii="宋体" w:hAnsi="宋体" w:cs="宋体"/>
          <w:sz w:val="24"/>
        </w:rPr>
      </w:pPr>
      <w:bookmarkStart w:id="20" w:name="_Toc2846"/>
      <w:bookmarkStart w:id="21" w:name="_Toc10909"/>
      <w:bookmarkStart w:id="22" w:name="_Toc32071"/>
      <w:bookmarkStart w:id="23" w:name="_Toc7370"/>
      <w:bookmarkStart w:id="24" w:name="_Toc19304"/>
      <w:r>
        <w:rPr>
          <w:rFonts w:hint="eastAsia" w:ascii="宋体" w:hAnsi="宋体" w:cs="宋体"/>
          <w:sz w:val="24"/>
        </w:rPr>
        <w:t>1.合同签订后，乙方按甲方财务规定一次性开具合同全额发票。</w:t>
      </w:r>
    </w:p>
    <w:p w14:paraId="035A611E">
      <w:pPr>
        <w:spacing w:line="500" w:lineRule="exact"/>
        <w:ind w:firstLine="480" w:firstLineChars="200"/>
        <w:rPr>
          <w:rFonts w:hint="eastAsia" w:ascii="宋体" w:hAnsi="宋体" w:cs="宋体"/>
          <w:sz w:val="24"/>
        </w:rPr>
      </w:pPr>
      <w:r>
        <w:rPr>
          <w:rFonts w:hint="eastAsia" w:ascii="宋体" w:hAnsi="宋体" w:cs="宋体"/>
          <w:sz w:val="24"/>
        </w:rPr>
        <w:t>2.乙方将合同约定的全部货物送到甲方指定地点，经甲方验收合格且收到乙方开具的合格发票后，甲方在30个工作日内向乙方转账支付全部货款。</w:t>
      </w:r>
    </w:p>
    <w:p w14:paraId="6C89ED6F">
      <w:pPr>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备注：合同总价为结算上限，当合同约定数量多于甲方实际购买数量时，乙方应根据实际购买量计算货款，供货合同的最终结算金额按实际购买量乘以合同单价进行计算，金额经双方确认无误后进行结算。</w:t>
      </w:r>
    </w:p>
    <w:p w14:paraId="5B8C7DAD">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3.乙方收款信息如下：</w:t>
      </w:r>
    </w:p>
    <w:p w14:paraId="6EE1A394">
      <w:pPr>
        <w:spacing w:line="500" w:lineRule="exact"/>
        <w:ind w:firstLine="480" w:firstLineChars="200"/>
        <w:rPr>
          <w:rFonts w:hint="eastAsia" w:ascii="宋体" w:hAnsi="宋体" w:cs="宋体"/>
          <w:sz w:val="24"/>
        </w:rPr>
      </w:pPr>
      <w:r>
        <w:rPr>
          <w:rFonts w:hint="eastAsia" w:ascii="宋体" w:hAnsi="宋体" w:cs="宋体"/>
          <w:sz w:val="24"/>
        </w:rPr>
        <w:t>名称：</w:t>
      </w:r>
    </w:p>
    <w:p w14:paraId="5BD76EDF">
      <w:pPr>
        <w:spacing w:line="500" w:lineRule="exact"/>
        <w:ind w:firstLine="480" w:firstLineChars="200"/>
        <w:rPr>
          <w:rFonts w:hint="eastAsia" w:ascii="宋体" w:hAnsi="宋体" w:cs="宋体"/>
          <w:sz w:val="24"/>
        </w:rPr>
      </w:pPr>
      <w:r>
        <w:rPr>
          <w:rFonts w:hint="eastAsia" w:ascii="宋体" w:hAnsi="宋体" w:cs="宋体"/>
          <w:sz w:val="24"/>
        </w:rPr>
        <w:t>开户行：</w:t>
      </w:r>
    </w:p>
    <w:p w14:paraId="59C541F5">
      <w:pPr>
        <w:spacing w:line="500" w:lineRule="exact"/>
        <w:ind w:firstLine="480" w:firstLineChars="200"/>
        <w:rPr>
          <w:rFonts w:hint="eastAsia" w:ascii="宋体" w:hAnsi="宋体" w:cs="宋体"/>
          <w:sz w:val="24"/>
        </w:rPr>
      </w:pPr>
      <w:r>
        <w:rPr>
          <w:rFonts w:hint="eastAsia" w:ascii="宋体" w:hAnsi="宋体" w:cs="宋体"/>
          <w:sz w:val="24"/>
        </w:rPr>
        <w:t>帐号：</w:t>
      </w:r>
    </w:p>
    <w:p w14:paraId="2C5E7162">
      <w:pPr>
        <w:spacing w:line="480" w:lineRule="exact"/>
        <w:ind w:firstLine="482" w:firstLineChars="200"/>
        <w:rPr>
          <w:rFonts w:hint="eastAsia" w:ascii="宋体" w:hAnsi="宋体" w:cs="宋体"/>
          <w:b/>
          <w:bCs/>
          <w:sz w:val="24"/>
        </w:rPr>
      </w:pPr>
      <w:r>
        <w:rPr>
          <w:rFonts w:hint="eastAsia" w:ascii="黑体" w:hAnsi="黑体" w:eastAsia="黑体" w:cs="黑体"/>
          <w:b/>
          <w:bCs/>
          <w:sz w:val="24"/>
        </w:rPr>
        <w:t>四、</w:t>
      </w:r>
      <w:r>
        <w:rPr>
          <w:rFonts w:hint="eastAsia" w:ascii="宋体" w:hAnsi="宋体" w:cs="宋体"/>
          <w:b/>
          <w:bCs/>
          <w:sz w:val="24"/>
        </w:rPr>
        <w:t>履约保证金</w:t>
      </w:r>
    </w:p>
    <w:p w14:paraId="11AC5E34">
      <w:pPr>
        <w:spacing w:line="480" w:lineRule="exact"/>
        <w:ind w:firstLine="480" w:firstLineChars="200"/>
        <w:rPr>
          <w:rFonts w:hint="eastAsia" w:ascii="宋体" w:hAnsi="宋体" w:cs="宋体"/>
          <w:sz w:val="24"/>
        </w:rPr>
      </w:pPr>
      <w:r>
        <w:rPr>
          <w:rFonts w:hint="eastAsia" w:ascii="宋体" w:hAnsi="宋体" w:cs="宋体"/>
          <w:sz w:val="24"/>
        </w:rPr>
        <w:t>1 乙方在签订合同后10个日历日内须向甲方交纳合同总金额5%的履约保证金。</w:t>
      </w:r>
    </w:p>
    <w:p w14:paraId="5438A4BD">
      <w:pPr>
        <w:spacing w:line="480" w:lineRule="exact"/>
        <w:ind w:firstLine="480" w:firstLineChars="200"/>
        <w:rPr>
          <w:rFonts w:hint="eastAsia" w:ascii="宋体" w:hAnsi="宋体" w:cs="宋体"/>
          <w:sz w:val="24"/>
        </w:rPr>
      </w:pPr>
      <w:r>
        <w:rPr>
          <w:rFonts w:hint="eastAsia" w:ascii="宋体" w:hAnsi="宋体" w:cs="宋体"/>
          <w:sz w:val="24"/>
        </w:rPr>
        <w:t>2 乙方无正当理由不与甲方订立合同，在签订合同时向甲方提出附加条件，或者不按照谈判文件要求提交履约保证金的，取消其成交资格，投标保证金（若有）不予退还。</w:t>
      </w:r>
    </w:p>
    <w:p w14:paraId="2A1BCEAD">
      <w:pPr>
        <w:spacing w:line="480" w:lineRule="exact"/>
        <w:ind w:firstLine="480" w:firstLineChars="200"/>
        <w:rPr>
          <w:rFonts w:hint="eastAsia" w:ascii="宋体" w:hAnsi="宋体" w:cs="宋体"/>
          <w:sz w:val="24"/>
        </w:rPr>
      </w:pPr>
      <w:r>
        <w:rPr>
          <w:rFonts w:hint="eastAsia" w:ascii="宋体" w:hAnsi="宋体" w:cs="宋体"/>
          <w:sz w:val="24"/>
        </w:rPr>
        <w:t>3 项目验收合格且无违约情形，采购人30个工作日内无息退还。</w:t>
      </w:r>
    </w:p>
    <w:p w14:paraId="758D3001">
      <w:pPr>
        <w:spacing w:line="480" w:lineRule="exact"/>
        <w:ind w:firstLine="480" w:firstLineChars="200"/>
        <w:rPr>
          <w:rFonts w:hint="eastAsia" w:ascii="宋体" w:hAnsi="宋体" w:eastAsia="宋体" w:cs="宋体"/>
          <w:sz w:val="24"/>
        </w:rPr>
      </w:pPr>
      <w:r>
        <w:rPr>
          <w:rFonts w:hint="eastAsia" w:ascii="宋体" w:hAnsi="宋体" w:cs="宋体"/>
          <w:sz w:val="24"/>
        </w:rPr>
        <w:t>注：</w:t>
      </w:r>
      <w:r>
        <w:fldChar w:fldCharType="begin"/>
      </w:r>
      <w:r>
        <w:instrText xml:space="preserve"> HYPERLINK "https://wenku.baidu.com/view/39cab9dff9d6195f312b3169a45177232e60e451.html" \t "https://cn.bing.com/_blank" </w:instrText>
      </w:r>
      <w:r>
        <w:fldChar w:fldCharType="separate"/>
      </w:r>
      <w:r>
        <w:rPr>
          <w:rFonts w:hint="eastAsia" w:ascii="宋体" w:hAnsi="宋体" w:cs="宋体"/>
          <w:sz w:val="24"/>
        </w:rPr>
        <w:t>履约保证金可采用银行保函、现金转账等形式。</w:t>
      </w:r>
      <w:r>
        <w:rPr>
          <w:rFonts w:hint="eastAsia" w:ascii="宋体" w:hAnsi="宋体" w:cs="宋体"/>
          <w:sz w:val="24"/>
        </w:rPr>
        <w:fldChar w:fldCharType="end"/>
      </w:r>
    </w:p>
    <w:p w14:paraId="0DC6B39F">
      <w:pPr>
        <w:tabs>
          <w:tab w:val="left" w:pos="7622"/>
        </w:tabs>
        <w:spacing w:line="560" w:lineRule="exact"/>
        <w:ind w:firstLine="482" w:firstLineChars="200"/>
        <w:rPr>
          <w:rFonts w:hint="eastAsia" w:ascii="黑体" w:hAnsi="黑体" w:eastAsia="黑体" w:cs="黑体"/>
          <w:b/>
          <w:bCs/>
          <w:sz w:val="24"/>
        </w:rPr>
      </w:pPr>
      <w:r>
        <w:rPr>
          <w:rFonts w:hint="eastAsia" w:ascii="黑体" w:hAnsi="黑体" w:eastAsia="黑体" w:cs="黑体"/>
          <w:b/>
          <w:bCs/>
          <w:sz w:val="24"/>
        </w:rPr>
        <w:t>五、货物交付期限、地点和方式</w:t>
      </w:r>
      <w:bookmarkEnd w:id="20"/>
      <w:bookmarkEnd w:id="21"/>
      <w:bookmarkEnd w:id="22"/>
      <w:bookmarkEnd w:id="23"/>
      <w:bookmarkEnd w:id="24"/>
      <w:r>
        <w:rPr>
          <w:rFonts w:hint="eastAsia" w:ascii="黑体" w:hAnsi="黑体" w:eastAsia="黑体" w:cs="黑体"/>
          <w:b/>
          <w:bCs/>
          <w:color w:val="000000" w:themeColor="text1"/>
          <w:sz w:val="24"/>
          <w14:textFill>
            <w14:solidFill>
              <w14:schemeClr w14:val="tx1"/>
            </w14:solidFill>
          </w14:textFill>
        </w:rPr>
        <w:t>、风险承担</w:t>
      </w:r>
    </w:p>
    <w:p w14:paraId="0CDC1B2A">
      <w:pPr>
        <w:spacing w:line="560" w:lineRule="exact"/>
        <w:ind w:firstLine="480" w:firstLineChars="200"/>
        <w:rPr>
          <w:rFonts w:hint="eastAsia" w:ascii="宋体" w:hAnsi="宋体" w:eastAsia="宋体" w:cs="宋体"/>
          <w:sz w:val="24"/>
        </w:rPr>
      </w:pPr>
      <w:r>
        <w:rPr>
          <w:rFonts w:hint="eastAsia" w:ascii="宋体" w:hAnsi="宋体" w:cs="宋体"/>
          <w:color w:val="000000" w:themeColor="text1"/>
          <w:sz w:val="24"/>
          <w14:textFill>
            <w14:solidFill>
              <w14:schemeClr w14:val="tx1"/>
            </w14:solidFill>
          </w14:textFill>
        </w:rPr>
        <w:t>1.乙方应在本采购合同签订后</w:t>
      </w:r>
      <w:r>
        <w:rPr>
          <w:rFonts w:hint="eastAsia" w:ascii="宋体" w:hAnsi="宋体" w:eastAsia="宋体" w:cs="宋体"/>
          <w:sz w:val="24"/>
        </w:rPr>
        <w:t>60</w:t>
      </w:r>
      <w:r>
        <w:rPr>
          <w:rFonts w:hint="eastAsia" w:ascii="宋体" w:hAnsi="宋体" w:cs="宋体"/>
          <w:sz w:val="24"/>
        </w:rPr>
        <w:t>个</w:t>
      </w:r>
      <w:r>
        <w:rPr>
          <w:rFonts w:hint="eastAsia" w:ascii="宋体" w:hAnsi="宋体" w:cs="宋体"/>
          <w:color w:val="000000" w:themeColor="text1"/>
          <w:sz w:val="24"/>
          <w14:textFill>
            <w14:solidFill>
              <w14:schemeClr w14:val="tx1"/>
            </w14:solidFill>
          </w14:textFill>
        </w:rPr>
        <w:t>日历日</w:t>
      </w:r>
      <w:r>
        <w:rPr>
          <w:rFonts w:hint="eastAsia" w:ascii="宋体" w:hAnsi="宋体" w:eastAsia="宋体" w:cs="宋体"/>
          <w:sz w:val="24"/>
        </w:rPr>
        <w:t>内</w:t>
      </w:r>
      <w:r>
        <w:rPr>
          <w:rFonts w:hint="eastAsia" w:ascii="宋体" w:hAnsi="宋体" w:cs="宋体"/>
          <w:sz w:val="24"/>
        </w:rPr>
        <w:t>将货物送到甲方指定地点，</w:t>
      </w:r>
      <w:r>
        <w:rPr>
          <w:rFonts w:hint="eastAsia" w:ascii="宋体" w:hAnsi="宋体" w:eastAsia="宋体" w:cs="宋体"/>
          <w:sz w:val="24"/>
        </w:rPr>
        <w:t>完成供货。</w:t>
      </w:r>
    </w:p>
    <w:p w14:paraId="42647730">
      <w:pPr>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sz w:val="24"/>
          <w:szCs w:val="21"/>
        </w:rPr>
        <w:t>2.乙方将最终成品货物运送至甲方指定地点，货物的运输、装卸、人工、包装等一切费用由乙方全额承担。</w:t>
      </w:r>
    </w:p>
    <w:p w14:paraId="6193438B">
      <w:pPr>
        <w:spacing w:line="500" w:lineRule="exact"/>
        <w:ind w:firstLine="480" w:firstLineChars="200"/>
        <w:rPr>
          <w:rFonts w:hint="eastAsia" w:ascii="宋体" w:hAnsi="宋体" w:cs="宋体"/>
          <w:sz w:val="24"/>
        </w:rPr>
      </w:pPr>
      <w:r>
        <w:rPr>
          <w:rFonts w:hint="eastAsia" w:ascii="宋体" w:hAnsi="宋体" w:cs="宋体"/>
          <w:color w:val="000000" w:themeColor="text1"/>
          <w:sz w:val="24"/>
          <w14:textFill>
            <w14:solidFill>
              <w14:schemeClr w14:val="tx1"/>
            </w14:solidFill>
          </w14:textFill>
        </w:rPr>
        <w:t>3.货物的风险自货物到达甲方指定地点且验货完成时转移，在此之前，货物发生的</w:t>
      </w:r>
      <w:r>
        <w:rPr>
          <w:rFonts w:hint="eastAsia" w:ascii="宋体" w:hAnsi="宋体" w:cs="宋体"/>
          <w:sz w:val="24"/>
        </w:rPr>
        <w:t>损毁、灭失等风险由乙方全部承担。</w:t>
      </w:r>
    </w:p>
    <w:p w14:paraId="66B14192">
      <w:pPr>
        <w:spacing w:line="500" w:lineRule="exact"/>
        <w:ind w:firstLine="480" w:firstLineChars="200"/>
      </w:pPr>
      <w:r>
        <w:rPr>
          <w:rFonts w:hint="eastAsia" w:ascii="宋体" w:hAnsi="宋体" w:cs="宋体"/>
          <w:sz w:val="24"/>
        </w:rPr>
        <w:t>4.货物交付后由甲方进行验收，经甲方验收合格的视为交付完成。经甲方验收不合格的，乙方应当根据甲方的要求采取修理、调整、更换、重做或采取其他补正措施，直至全部货物经甲方验收合格为止，因此造成逾期交付的乙方应承担相应责任。</w:t>
      </w:r>
    </w:p>
    <w:p w14:paraId="46353F56">
      <w:pPr>
        <w:spacing w:line="560" w:lineRule="exact"/>
        <w:ind w:firstLine="482" w:firstLineChars="200"/>
        <w:rPr>
          <w:rFonts w:hint="eastAsia" w:ascii="黑体" w:hAnsi="黑体" w:eastAsia="黑体" w:cs="黑体"/>
          <w:b/>
          <w:bCs/>
          <w:sz w:val="24"/>
        </w:rPr>
      </w:pPr>
      <w:bookmarkStart w:id="25" w:name="_Toc27250"/>
      <w:bookmarkStart w:id="26" w:name="_Toc23398"/>
      <w:bookmarkStart w:id="27" w:name="_Toc7580"/>
      <w:bookmarkStart w:id="28" w:name="_Toc19554"/>
      <w:bookmarkStart w:id="29" w:name="_Toc21423"/>
      <w:r>
        <w:rPr>
          <w:rFonts w:hint="eastAsia" w:ascii="黑体" w:hAnsi="黑体" w:eastAsia="黑体" w:cs="黑体"/>
          <w:b/>
          <w:bCs/>
          <w:sz w:val="24"/>
        </w:rPr>
        <w:t>六、违约责任</w:t>
      </w:r>
      <w:bookmarkEnd w:id="25"/>
      <w:bookmarkEnd w:id="26"/>
      <w:bookmarkEnd w:id="27"/>
      <w:bookmarkEnd w:id="28"/>
      <w:bookmarkEnd w:id="29"/>
    </w:p>
    <w:p w14:paraId="02522D8D">
      <w:pPr>
        <w:spacing w:line="560" w:lineRule="exact"/>
        <w:ind w:firstLine="480" w:firstLineChars="200"/>
        <w:rPr>
          <w:rFonts w:hint="eastAsia" w:ascii="宋体" w:hAnsi="宋体" w:cs="宋体"/>
          <w:sz w:val="24"/>
        </w:rPr>
      </w:pPr>
      <w:r>
        <w:rPr>
          <w:rFonts w:hint="eastAsia" w:ascii="宋体" w:hAnsi="宋体" w:cs="宋体"/>
          <w:sz w:val="24"/>
        </w:rPr>
        <w:t>1.除不可抗力外，如果乙方没有按照本合同约定的期限、地点和方式交付货物，那么甲方可要求乙方支付违约金，违约金按每迟延交付货物一日的应交付而未交付货物价格的0.5</w:t>
      </w:r>
      <w:r>
        <w:rPr>
          <w:rFonts w:hint="eastAsia" w:ascii="Arial" w:hAnsi="Arial" w:cs="Arial"/>
          <w:sz w:val="24"/>
        </w:rPr>
        <w:t>%</w:t>
      </w:r>
      <w:r>
        <w:rPr>
          <w:rFonts w:hint="eastAsia" w:ascii="宋体" w:hAnsi="宋体" w:cs="宋体"/>
          <w:sz w:val="24"/>
        </w:rPr>
        <w:t xml:space="preserve">算，迟延交付货物达15日的，甲方有权在要求乙方支付违约金的同时，书面通知乙方解除本合同，已缴纳的履约保证金不予退还； </w:t>
      </w:r>
    </w:p>
    <w:p w14:paraId="601F3CE8">
      <w:pPr>
        <w:spacing w:line="560" w:lineRule="exact"/>
        <w:ind w:firstLine="480" w:firstLineChars="200"/>
        <w:rPr>
          <w:rFonts w:hint="eastAsia" w:ascii="宋体" w:hAnsi="宋体" w:eastAsia="宋体" w:cs="宋体"/>
          <w:sz w:val="24"/>
        </w:rPr>
      </w:pPr>
      <w:r>
        <w:rPr>
          <w:rFonts w:hint="eastAsia" w:ascii="宋体" w:hAnsi="宋体" w:cs="宋体"/>
          <w:sz w:val="24"/>
        </w:rPr>
        <w:t>2.除不可抗力外，如果甲方没有按照本合同约定的付款方式付款，那么乙方可要求甲方支付违约金，违约金按每迟延付款一日的应付而未付款的0.5</w:t>
      </w:r>
      <w:r>
        <w:rPr>
          <w:rFonts w:hint="eastAsia" w:ascii="Arial" w:hAnsi="Arial" w:cs="Arial"/>
          <w:sz w:val="24"/>
        </w:rPr>
        <w:t>%</w:t>
      </w:r>
      <w:r>
        <w:rPr>
          <w:rFonts w:hint="eastAsia" w:ascii="宋体" w:hAnsi="宋体" w:cs="宋体"/>
          <w:sz w:val="24"/>
        </w:rPr>
        <w:t>计算；</w:t>
      </w:r>
    </w:p>
    <w:p w14:paraId="7ED2DFE2">
      <w:pPr>
        <w:spacing w:line="560" w:lineRule="exact"/>
        <w:ind w:firstLine="480" w:firstLineChars="200"/>
        <w:rPr>
          <w:rFonts w:hint="eastAsia" w:ascii="宋体" w:hAnsi="宋体" w:cs="宋体"/>
          <w:sz w:val="24"/>
        </w:rPr>
      </w:pPr>
      <w:r>
        <w:rPr>
          <w:rFonts w:hint="eastAsia" w:ascii="宋体" w:hAnsi="宋体" w:cs="宋体"/>
          <w:sz w:val="24"/>
        </w:rPr>
        <w:t>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02CD405C">
      <w:pPr>
        <w:spacing w:line="560" w:lineRule="exact"/>
        <w:ind w:firstLine="480" w:firstLineChars="200"/>
        <w:rPr>
          <w:rFonts w:hint="eastAsia" w:ascii="宋体" w:hAnsi="宋体" w:cs="宋体"/>
          <w:sz w:val="24"/>
        </w:rPr>
      </w:pPr>
      <w:r>
        <w:rPr>
          <w:rFonts w:hint="eastAsia" w:ascii="宋体" w:hAnsi="宋体" w:cs="宋体"/>
          <w:sz w:val="24"/>
        </w:rPr>
        <w:t>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B690F30">
      <w:pPr>
        <w:spacing w:line="560" w:lineRule="exact"/>
        <w:ind w:firstLine="480" w:firstLineChars="200"/>
        <w:rPr>
          <w:rFonts w:hint="eastAsia" w:ascii="宋体" w:hAnsi="宋体" w:eastAsia="宋体" w:cs="宋体"/>
          <w:sz w:val="24"/>
        </w:rPr>
      </w:pPr>
      <w:r>
        <w:rPr>
          <w:rFonts w:hint="eastAsia" w:ascii="宋体" w:hAnsi="宋体" w:cs="宋体"/>
          <w:sz w:val="24"/>
        </w:rPr>
        <w:t>5.除前述约定外，除不可抗力外，任何一方未能履行本合同约定的义务，对方当事人均有权要求继续履行、采取补救措施或者赔偿损失等，且对方当事人行使的任何权利救济方式均不视</w:t>
      </w:r>
      <w:r>
        <w:rPr>
          <w:rFonts w:hint="eastAsia" w:ascii="宋体" w:hAnsi="宋体" w:eastAsia="宋体" w:cs="宋体"/>
          <w:sz w:val="24"/>
        </w:rPr>
        <w:t>为其放弃了其他法定或者约定的权利救济方式；</w:t>
      </w:r>
    </w:p>
    <w:p w14:paraId="7CDC20E6">
      <w:pPr>
        <w:spacing w:line="560" w:lineRule="exact"/>
        <w:ind w:firstLine="480" w:firstLineChars="200"/>
        <w:rPr>
          <w:rFonts w:hint="eastAsia" w:ascii="宋体" w:hAnsi="宋体" w:cs="宋体"/>
          <w:sz w:val="24"/>
          <w:szCs w:val="21"/>
        </w:rPr>
      </w:pPr>
      <w:r>
        <w:rPr>
          <w:rFonts w:hint="eastAsia" w:ascii="宋体" w:hAnsi="宋体" w:eastAsia="宋体" w:cs="宋体"/>
          <w:sz w:val="24"/>
        </w:rPr>
        <w:t>6.</w:t>
      </w:r>
      <w:r>
        <w:rPr>
          <w:rFonts w:hint="eastAsia" w:ascii="宋体" w:hAnsi="宋体" w:cs="宋体"/>
          <w:sz w:val="24"/>
          <w:szCs w:val="21"/>
        </w:rPr>
        <w:t>货物质保期为验收合格后3年，产品实行“三包”（含不合体、质量问题的免费包换），有任何质量问题或者尺码不合适问题，乙方应在接到甲方通知后15个工作日内负责修复、调换、重新制作，并承担由此产生的包装、运输等一切费用，否则，视为乙方违约，甲方有权扣除相应货款或要求乙方赔偿相应损失。乙方未按约定提供维护服务的，甲方有权自行维护或委托第三方维护，因此产生的一切费用由乙方承担。</w:t>
      </w:r>
    </w:p>
    <w:p w14:paraId="79DAAF62">
      <w:pPr>
        <w:spacing w:line="560" w:lineRule="exact"/>
        <w:ind w:firstLine="480" w:firstLineChars="200"/>
        <w:rPr>
          <w:rFonts w:hint="eastAsia" w:ascii="宋体" w:hAnsi="宋体" w:cs="宋体"/>
          <w:sz w:val="24"/>
          <w:szCs w:val="21"/>
        </w:rPr>
      </w:pPr>
      <w:bookmarkStart w:id="30" w:name="_Toc15583"/>
      <w:bookmarkStart w:id="31" w:name="_Toc26424"/>
      <w:bookmarkStart w:id="32" w:name="_Toc31257"/>
      <w:bookmarkStart w:id="33" w:name="_Toc16021"/>
      <w:bookmarkStart w:id="34" w:name="_Toc28375"/>
      <w:r>
        <w:rPr>
          <w:rFonts w:hint="eastAsia" w:ascii="宋体" w:hAnsi="宋体" w:cs="宋体"/>
          <w:sz w:val="24"/>
          <w:szCs w:val="21"/>
        </w:rPr>
        <w:t>7</w:t>
      </w:r>
      <w:r>
        <w:rPr>
          <w:rFonts w:ascii="宋体" w:hAnsi="宋体" w:cs="宋体"/>
          <w:sz w:val="24"/>
          <w:szCs w:val="21"/>
        </w:rPr>
        <w:t>.本合同约定采购货物严禁分包或转包。所称分包，是指将本项目的部分工作交由他人完成但不退出该部分合同关系的行为。所称转包，是指将本项目转给他人或者将本项目全部肢解以后以分包的名义分别转给他人的行为。乙方将本项目分包或转包的，均视同拒绝履行本合同义务，甲方有权单方解除或终止合同，要求乙方退还已支付款项，且不予退还乙方的履约保证金，以及由此遭受的全部损失（包括但不限于重新采购差价、延误损失等）向乙方追偿。</w:t>
      </w:r>
    </w:p>
    <w:p w14:paraId="7F131CBF">
      <w:pPr>
        <w:spacing w:line="560" w:lineRule="exact"/>
        <w:ind w:firstLine="482" w:firstLineChars="200"/>
        <w:rPr>
          <w:rFonts w:hint="eastAsia" w:ascii="黑体" w:hAnsi="黑体" w:eastAsia="黑体" w:cs="黑体"/>
          <w:b/>
          <w:bCs/>
          <w:sz w:val="24"/>
        </w:rPr>
      </w:pPr>
      <w:r>
        <w:rPr>
          <w:rFonts w:hint="eastAsia" w:ascii="黑体" w:hAnsi="黑体" w:eastAsia="黑体" w:cs="黑体"/>
          <w:b/>
          <w:bCs/>
          <w:sz w:val="24"/>
        </w:rPr>
        <w:t>七、合同争议的解决</w:t>
      </w:r>
      <w:bookmarkEnd w:id="30"/>
      <w:bookmarkEnd w:id="31"/>
      <w:bookmarkEnd w:id="32"/>
      <w:bookmarkEnd w:id="33"/>
      <w:bookmarkEnd w:id="34"/>
    </w:p>
    <w:p w14:paraId="7E003DC9">
      <w:pPr>
        <w:spacing w:line="560" w:lineRule="exact"/>
        <w:ind w:firstLine="480"/>
        <w:rPr>
          <w:rFonts w:hint="eastAsia" w:ascii="宋体" w:hAnsi="宋体" w:cs="宋体"/>
          <w:sz w:val="24"/>
        </w:rPr>
      </w:pPr>
      <w:bookmarkStart w:id="35" w:name="_Toc15322"/>
      <w:bookmarkStart w:id="36" w:name="_Toc10056"/>
      <w:bookmarkStart w:id="37" w:name="_Toc11173"/>
      <w:bookmarkStart w:id="38" w:name="_Toc11867"/>
      <w:bookmarkStart w:id="39" w:name="_Toc7245"/>
      <w:r>
        <w:rPr>
          <w:rFonts w:hint="eastAsia" w:ascii="宋体" w:hAnsi="宋体" w:cs="宋体"/>
          <w:sz w:val="24"/>
        </w:rPr>
        <w:t>本合同履行过程中发生的任何争议，双方当事人均可通过和解或者调解解决；不愿和解、调解或者和解、调解不成的，可向</w:t>
      </w:r>
      <w:r>
        <w:rPr>
          <w:rFonts w:hint="eastAsia" w:ascii="宋体" w:hAnsi="宋体" w:cs="宋体"/>
          <w:sz w:val="24"/>
          <w:u w:val="single"/>
        </w:rPr>
        <w:t xml:space="preserve">  甲方所在地  </w:t>
      </w:r>
      <w:r>
        <w:rPr>
          <w:rFonts w:hint="eastAsia" w:ascii="宋体" w:hAnsi="宋体" w:cs="宋体"/>
          <w:sz w:val="24"/>
        </w:rPr>
        <w:t>人民法院起诉。</w:t>
      </w:r>
    </w:p>
    <w:p w14:paraId="56D7079D">
      <w:pPr>
        <w:spacing w:line="560" w:lineRule="exact"/>
        <w:ind w:firstLine="482" w:firstLineChars="200"/>
        <w:rPr>
          <w:rFonts w:hint="eastAsia" w:ascii="黑体" w:hAnsi="黑体" w:eastAsia="黑体" w:cs="黑体"/>
          <w:b/>
          <w:bCs/>
          <w:sz w:val="24"/>
        </w:rPr>
      </w:pPr>
      <w:r>
        <w:rPr>
          <w:rFonts w:hint="eastAsia" w:ascii="黑体" w:hAnsi="黑体" w:eastAsia="黑体" w:cs="黑体"/>
          <w:b/>
          <w:bCs/>
          <w:sz w:val="24"/>
        </w:rPr>
        <w:t>八、合同生效</w:t>
      </w:r>
      <w:bookmarkEnd w:id="35"/>
      <w:bookmarkEnd w:id="36"/>
      <w:bookmarkEnd w:id="37"/>
      <w:bookmarkEnd w:id="38"/>
      <w:bookmarkEnd w:id="39"/>
    </w:p>
    <w:p w14:paraId="245AED3D">
      <w:pPr>
        <w:spacing w:line="560" w:lineRule="exact"/>
        <w:ind w:firstLine="480"/>
        <w:rPr>
          <w:rFonts w:hint="eastAsia" w:ascii="宋体" w:hAnsi="宋体" w:cs="宋体"/>
          <w:sz w:val="24"/>
        </w:rPr>
      </w:pPr>
      <w:r>
        <w:rPr>
          <w:rFonts w:hint="eastAsia" w:ascii="宋体" w:hAnsi="宋体" w:cs="宋体"/>
          <w:sz w:val="24"/>
        </w:rPr>
        <w:t>本合同自双方当事人盖章、签字时生效，一式捌份，双方各执肆份，具有同等法律效力。</w:t>
      </w:r>
    </w:p>
    <w:p w14:paraId="2473BCA3">
      <w:pPr>
        <w:spacing w:line="560" w:lineRule="exact"/>
        <w:ind w:firstLine="480"/>
        <w:rPr>
          <w:rFonts w:hint="eastAsia" w:ascii="宋体" w:hAnsi="宋体" w:cs="宋体"/>
          <w:sz w:val="24"/>
          <w:lang w:val="zh-CN"/>
        </w:rPr>
      </w:pPr>
      <w:r>
        <w:rPr>
          <w:rFonts w:hint="eastAsia" w:ascii="黑体" w:hAnsi="黑体" w:eastAsia="黑体" w:cs="黑体"/>
          <w:b/>
          <w:bCs/>
          <w:sz w:val="24"/>
          <w:lang w:val="zh-CN"/>
        </w:rPr>
        <w:t>九、其他约定</w:t>
      </w:r>
    </w:p>
    <w:p w14:paraId="23BAC872">
      <w:pPr>
        <w:spacing w:line="560" w:lineRule="exact"/>
        <w:ind w:firstLine="480"/>
        <w:rPr>
          <w:rFonts w:hint="eastAsia" w:ascii="宋体" w:hAnsi="宋体" w:cs="宋体"/>
          <w:sz w:val="24"/>
          <w:lang w:val="zh-CN"/>
        </w:rPr>
      </w:pPr>
      <w:r>
        <w:rPr>
          <w:rFonts w:hint="eastAsia" w:ascii="宋体" w:hAnsi="宋体" w:cs="宋体"/>
          <w:sz w:val="24"/>
          <w:lang w:val="zh-CN"/>
        </w:rPr>
        <w:t>乙方提交的响应文件（含澄清、承诺、补正文件及样品检测报告）是本合同不可分割的组成部分，与本合同具有同等法律效力。乙方在响应文件中作出的所有承诺（包括但不限于技术参数响应、售后服务方案、工期/交货期承诺、优惠条件及未偏离声明等），均视为乙方对甲方的合同要约，对乙方具有法律约束力。</w:t>
      </w:r>
    </w:p>
    <w:p w14:paraId="323EBDB9">
      <w:pPr>
        <w:spacing w:line="560" w:lineRule="exact"/>
        <w:ind w:firstLine="480"/>
        <w:rPr>
          <w:rFonts w:hint="eastAsia" w:ascii="宋体" w:hAnsi="宋体" w:cs="宋体"/>
          <w:sz w:val="24"/>
          <w:lang w:val="zh-CN"/>
        </w:rPr>
      </w:pPr>
      <w:r>
        <w:rPr>
          <w:rFonts w:hint="eastAsia" w:ascii="宋体" w:hAnsi="宋体" w:cs="宋体"/>
          <w:sz w:val="24"/>
          <w:lang w:val="zh-CN"/>
        </w:rPr>
        <w:t>本合同未尽事宜，由双方协商解决，可签订补充协议，补充协议与本合同具</w:t>
      </w:r>
    </w:p>
    <w:p w14:paraId="532B9659">
      <w:pPr>
        <w:spacing w:line="560" w:lineRule="exact"/>
      </w:pPr>
      <w:r>
        <w:rPr>
          <w:rFonts w:hint="eastAsia" w:ascii="宋体" w:hAnsi="宋体" w:cs="宋体"/>
          <w:sz w:val="24"/>
          <w:lang w:val="zh-CN"/>
        </w:rPr>
        <w:t>有同等法律效力。</w:t>
      </w:r>
    </w:p>
    <w:tbl>
      <w:tblPr>
        <w:tblStyle w:val="6"/>
        <w:tblpPr w:leftFromText="180" w:rightFromText="180" w:vertAnchor="text" w:horzAnchor="page" w:tblpX="1796" w:tblpY="66"/>
        <w:tblOverlap w:val="never"/>
        <w:tblW w:w="85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50"/>
        <w:gridCol w:w="4170"/>
        <w:gridCol w:w="46"/>
      </w:tblGrid>
      <w:tr w14:paraId="30D94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4350" w:type="dxa"/>
          </w:tcPr>
          <w:p w14:paraId="4A55CBC8">
            <w:pPr>
              <w:spacing w:line="560" w:lineRule="exact"/>
              <w:rPr>
                <w:rFonts w:hint="eastAsia" w:ascii="宋体" w:hAnsi="宋体" w:cs="宋体"/>
                <w:sz w:val="24"/>
                <w:lang w:val="zh-CN"/>
              </w:rPr>
            </w:pPr>
            <w:r>
              <w:rPr>
                <w:rFonts w:hint="eastAsia" w:ascii="宋体" w:hAnsi="宋体" w:cs="宋体"/>
                <w:sz w:val="24"/>
                <w:lang w:val="zh-CN"/>
              </w:rPr>
              <w:t>甲方：</w:t>
            </w:r>
            <w:r>
              <w:rPr>
                <w:rFonts w:hint="eastAsia" w:ascii="宋体" w:hAnsi="宋体" w:eastAsia="宋体" w:cs="宋体"/>
                <w:sz w:val="24"/>
                <w:lang w:val="zh-CN" w:bidi="ar"/>
              </w:rPr>
              <w:t>陕西省高速公路路政执法总队</w:t>
            </w:r>
          </w:p>
        </w:tc>
        <w:tc>
          <w:tcPr>
            <w:tcW w:w="4216" w:type="dxa"/>
            <w:gridSpan w:val="2"/>
          </w:tcPr>
          <w:p w14:paraId="65E745B5">
            <w:pPr>
              <w:spacing w:line="560" w:lineRule="exact"/>
              <w:rPr>
                <w:rFonts w:hint="eastAsia" w:ascii="宋体" w:hAnsi="宋体" w:cs="宋体"/>
                <w:sz w:val="24"/>
              </w:rPr>
            </w:pPr>
            <w:r>
              <w:rPr>
                <w:rFonts w:hint="eastAsia" w:ascii="宋体" w:hAnsi="宋体" w:cs="宋体"/>
                <w:sz w:val="24"/>
                <w:lang w:val="zh-CN"/>
              </w:rPr>
              <w:t>乙方：</w:t>
            </w:r>
          </w:p>
        </w:tc>
      </w:tr>
      <w:tr w14:paraId="7386A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4350" w:type="dxa"/>
          </w:tcPr>
          <w:p w14:paraId="6A68E0C8">
            <w:pPr>
              <w:spacing w:line="560" w:lineRule="exact"/>
              <w:jc w:val="left"/>
              <w:rPr>
                <w:rFonts w:hint="eastAsia" w:asciiTheme="minorEastAsia" w:hAnsiTheme="minorEastAsia" w:cstheme="minorEastAsia"/>
                <w:sz w:val="24"/>
                <w:lang w:val="zh-CN"/>
              </w:rPr>
            </w:pPr>
            <w:r>
              <w:rPr>
                <w:rFonts w:hint="eastAsia" w:asciiTheme="minorEastAsia" w:hAnsiTheme="minorEastAsia" w:cstheme="minorEastAsia"/>
                <w:sz w:val="24"/>
                <w:lang w:val="zh-CN"/>
              </w:rPr>
              <w:t>统一社会信用代码：</w:t>
            </w:r>
          </w:p>
          <w:p w14:paraId="0FEF18E7">
            <w:pPr>
              <w:tabs>
                <w:tab w:val="left" w:pos="420"/>
              </w:tabs>
              <w:spacing w:line="560" w:lineRule="exact"/>
              <w:jc w:val="left"/>
              <w:rPr>
                <w:rFonts w:hint="eastAsia" w:asciiTheme="minorEastAsia" w:hAnsiTheme="minorEastAsia" w:cstheme="minorEastAsia"/>
                <w:sz w:val="24"/>
                <w:lang w:val="zh-CN"/>
              </w:rPr>
            </w:pPr>
            <w:r>
              <w:rPr>
                <w:rFonts w:hint="eastAsia" w:asciiTheme="minorEastAsia" w:hAnsiTheme="minorEastAsia" w:cstheme="minorEastAsia"/>
                <w:sz w:val="24"/>
                <w:lang w:val="zh-CN"/>
              </w:rPr>
              <w:t>126100005706759662</w:t>
            </w:r>
          </w:p>
        </w:tc>
        <w:tc>
          <w:tcPr>
            <w:tcW w:w="4216" w:type="dxa"/>
            <w:gridSpan w:val="2"/>
          </w:tcPr>
          <w:p w14:paraId="011528BF">
            <w:pPr>
              <w:spacing w:line="560" w:lineRule="exact"/>
              <w:jc w:val="left"/>
              <w:rPr>
                <w:rFonts w:hint="eastAsia" w:ascii="宋体" w:hAnsi="宋体" w:cs="宋体"/>
                <w:sz w:val="24"/>
                <w:lang w:val="zh-CN"/>
              </w:rPr>
            </w:pPr>
            <w:r>
              <w:rPr>
                <w:rFonts w:hint="eastAsia" w:asciiTheme="minorEastAsia" w:hAnsiTheme="minorEastAsia" w:cstheme="minorEastAsia"/>
                <w:sz w:val="24"/>
                <w:lang w:val="zh-CN"/>
              </w:rPr>
              <w:t>统一社会信用代码：</w:t>
            </w:r>
          </w:p>
        </w:tc>
      </w:tr>
      <w:tr w14:paraId="1433F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4350" w:type="dxa"/>
          </w:tcPr>
          <w:p w14:paraId="2D0EA01F">
            <w:pPr>
              <w:spacing w:line="560" w:lineRule="exact"/>
              <w:rPr>
                <w:rFonts w:hint="eastAsia" w:ascii="宋体" w:hAnsi="宋体" w:cs="宋体"/>
                <w:sz w:val="24"/>
                <w:lang w:val="zh-CN"/>
              </w:rPr>
            </w:pPr>
            <w:r>
              <w:rPr>
                <w:rFonts w:hint="eastAsia" w:ascii="宋体" w:hAnsi="宋体" w:cs="宋体"/>
                <w:sz w:val="24"/>
                <w:lang w:val="zh-CN"/>
              </w:rPr>
              <w:t>住所：西安市友谊西路</w:t>
            </w:r>
            <w:r>
              <w:rPr>
                <w:rFonts w:hint="eastAsia" w:ascii="宋体" w:hAnsi="宋体" w:cs="宋体"/>
                <w:sz w:val="24"/>
              </w:rPr>
              <w:t>352号</w:t>
            </w:r>
          </w:p>
        </w:tc>
        <w:tc>
          <w:tcPr>
            <w:tcW w:w="4216" w:type="dxa"/>
            <w:gridSpan w:val="2"/>
          </w:tcPr>
          <w:p w14:paraId="74813D72">
            <w:pPr>
              <w:spacing w:line="560" w:lineRule="exact"/>
              <w:rPr>
                <w:rFonts w:hint="eastAsia" w:ascii="宋体" w:hAnsi="宋体" w:cs="宋体"/>
                <w:sz w:val="24"/>
                <w:lang w:val="zh-CN"/>
              </w:rPr>
            </w:pPr>
            <w:r>
              <w:rPr>
                <w:rFonts w:hint="eastAsia" w:ascii="宋体" w:hAnsi="宋体" w:cs="宋体"/>
                <w:sz w:val="24"/>
                <w:lang w:val="zh-CN"/>
              </w:rPr>
              <w:t>住所：</w:t>
            </w:r>
          </w:p>
        </w:tc>
      </w:tr>
      <w:tr w14:paraId="37F09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4350" w:type="dxa"/>
          </w:tcPr>
          <w:p w14:paraId="3B1A39A7">
            <w:pPr>
              <w:spacing w:line="560" w:lineRule="exact"/>
              <w:rPr>
                <w:rFonts w:hint="eastAsia" w:ascii="宋体" w:hAnsi="宋体" w:cs="宋体"/>
                <w:sz w:val="24"/>
                <w:lang w:val="zh-CN"/>
              </w:rPr>
            </w:pPr>
            <w:r>
              <w:rPr>
                <w:rFonts w:hint="eastAsia" w:ascii="宋体" w:hAnsi="宋体" w:cs="宋体"/>
                <w:sz w:val="24"/>
                <w:lang w:val="zh-CN"/>
              </w:rPr>
              <w:t>法定代表人或授权代表（签字）：</w:t>
            </w:r>
          </w:p>
        </w:tc>
        <w:tc>
          <w:tcPr>
            <w:tcW w:w="4216" w:type="dxa"/>
            <w:gridSpan w:val="2"/>
          </w:tcPr>
          <w:p w14:paraId="22B4D820">
            <w:pPr>
              <w:spacing w:line="560" w:lineRule="exact"/>
              <w:rPr>
                <w:rFonts w:hint="eastAsia" w:ascii="宋体" w:hAnsi="宋体" w:cs="宋体"/>
                <w:sz w:val="24"/>
                <w:lang w:val="zh-CN"/>
              </w:rPr>
            </w:pPr>
            <w:r>
              <w:rPr>
                <w:rFonts w:hint="eastAsia" w:ascii="宋体" w:hAnsi="宋体" w:cs="宋体"/>
                <w:sz w:val="24"/>
                <w:lang w:val="zh-CN"/>
              </w:rPr>
              <w:t>法定代表人或授权代表（签字）：</w:t>
            </w:r>
          </w:p>
        </w:tc>
      </w:tr>
      <w:tr w14:paraId="2BC51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4350" w:type="dxa"/>
          </w:tcPr>
          <w:p w14:paraId="32B21FF7">
            <w:pPr>
              <w:spacing w:line="560" w:lineRule="exact"/>
              <w:rPr>
                <w:rFonts w:hint="eastAsia" w:ascii="宋体" w:hAnsi="宋体" w:cs="宋体"/>
                <w:sz w:val="24"/>
                <w:lang w:val="zh-CN"/>
              </w:rPr>
            </w:pPr>
            <w:r>
              <w:rPr>
                <w:rFonts w:hint="eastAsia" w:ascii="宋体" w:hAnsi="宋体" w:cs="宋体"/>
                <w:sz w:val="24"/>
                <w:lang w:val="zh-CN"/>
              </w:rPr>
              <w:t>联系人：</w:t>
            </w:r>
          </w:p>
        </w:tc>
        <w:tc>
          <w:tcPr>
            <w:tcW w:w="4216" w:type="dxa"/>
            <w:gridSpan w:val="2"/>
          </w:tcPr>
          <w:p w14:paraId="479913EE">
            <w:pPr>
              <w:spacing w:line="560" w:lineRule="exact"/>
              <w:rPr>
                <w:rFonts w:hint="eastAsia" w:ascii="宋体" w:hAnsi="宋体" w:cs="宋体"/>
                <w:sz w:val="24"/>
                <w:lang w:val="zh-CN"/>
              </w:rPr>
            </w:pPr>
            <w:r>
              <w:rPr>
                <w:rFonts w:hint="eastAsia" w:ascii="宋体" w:hAnsi="宋体" w:cs="宋体"/>
                <w:sz w:val="24"/>
                <w:lang w:val="zh-CN"/>
              </w:rPr>
              <w:t>联系人：</w:t>
            </w:r>
          </w:p>
        </w:tc>
      </w:tr>
      <w:tr w14:paraId="11F3D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6" w:type="dxa"/>
        </w:trPr>
        <w:tc>
          <w:tcPr>
            <w:tcW w:w="4350" w:type="dxa"/>
          </w:tcPr>
          <w:p w14:paraId="11B14AB8">
            <w:pPr>
              <w:spacing w:line="560" w:lineRule="exact"/>
              <w:rPr>
                <w:rFonts w:hint="eastAsia" w:ascii="宋体" w:hAnsi="宋体" w:cs="宋体"/>
                <w:sz w:val="24"/>
                <w:lang w:val="zh-CN"/>
              </w:rPr>
            </w:pPr>
            <w:r>
              <w:rPr>
                <w:rFonts w:hint="eastAsia" w:ascii="宋体" w:hAnsi="宋体" w:cs="宋体"/>
                <w:sz w:val="24"/>
              </w:rPr>
              <w:t xml:space="preserve">签订时间：     年    月    日 </w:t>
            </w:r>
          </w:p>
        </w:tc>
        <w:tc>
          <w:tcPr>
            <w:tcW w:w="4170" w:type="dxa"/>
          </w:tcPr>
          <w:p w14:paraId="12FC11FB">
            <w:pPr>
              <w:spacing w:line="560" w:lineRule="exact"/>
              <w:rPr>
                <w:rFonts w:hint="eastAsia" w:ascii="宋体" w:hAnsi="宋体" w:cs="宋体"/>
                <w:sz w:val="24"/>
                <w:lang w:val="zh-CN"/>
              </w:rPr>
            </w:pPr>
            <w:r>
              <w:rPr>
                <w:rFonts w:hint="eastAsia" w:ascii="宋体" w:hAnsi="宋体" w:cs="宋体"/>
                <w:sz w:val="24"/>
              </w:rPr>
              <w:t xml:space="preserve">签订时间：     年    月    日 </w:t>
            </w:r>
          </w:p>
        </w:tc>
      </w:tr>
    </w:tbl>
    <w:p w14:paraId="1142AF33">
      <w:pPr>
        <w:pStyle w:val="8"/>
        <w:rPr>
          <w:rFonts w:hint="default"/>
        </w:rPr>
      </w:pPr>
    </w:p>
    <w:p w14:paraId="67EE754B">
      <w:pPr>
        <w:pStyle w:val="8"/>
        <w:rPr>
          <w:rFonts w:hint="default"/>
        </w:rPr>
      </w:pPr>
    </w:p>
    <w:p w14:paraId="511794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3号楷体_GB2312">
    <w:altName w:val="宋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28"/>
        <w:szCs w:val="28"/>
      </w:rPr>
      <w:id w:val="216630923"/>
      <w:docPartObj>
        <w:docPartGallery w:val="autotext"/>
      </w:docPartObj>
    </w:sdtPr>
    <w:sdtEndPr>
      <w:rPr>
        <w:rFonts w:ascii="仿宋" w:hAnsi="仿宋" w:eastAsia="仿宋"/>
        <w:sz w:val="28"/>
        <w:szCs w:val="28"/>
      </w:rPr>
    </w:sdtEndPr>
    <w:sdtContent>
      <w:p w14:paraId="48B3442A">
        <w:pPr>
          <w:pStyle w:val="4"/>
          <w:jc w:val="center"/>
          <w:rPr>
            <w:rFonts w:hint="eastAsia"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2</w:t>
        </w:r>
        <w:r>
          <w:rPr>
            <w:rFonts w:ascii="仿宋" w:hAnsi="仿宋" w:eastAsia="仿宋"/>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A39B7C"/>
    <w:multiLevelType w:val="multilevel"/>
    <w:tmpl w:val="D8A39B7C"/>
    <w:lvl w:ilvl="0" w:tentative="0">
      <w:start w:val="1"/>
      <w:numFmt w:val="decimal"/>
      <w:lvlText w:val="%1."/>
      <w:lvlJc w:val="left"/>
      <w:pPr>
        <w:ind w:left="432" w:hanging="432"/>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BE2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numPr>
        <w:ilvl w:val="1"/>
        <w:numId w:val="1"/>
      </w:numPr>
      <w:tabs>
        <w:tab w:val="left" w:pos="420"/>
      </w:tabs>
      <w:spacing w:line="360" w:lineRule="auto"/>
      <w:outlineLvl w:val="1"/>
    </w:pPr>
    <w:rPr>
      <w:rFonts w:ascii="Cambria" w:hAnsi="Cambria" w:eastAsia="3号楷体_GB2312"/>
      <w:b/>
      <w:bCs/>
      <w:sz w:val="30"/>
      <w:szCs w:val="32"/>
    </w:rPr>
  </w:style>
  <w:style w:type="paragraph" w:styleId="3">
    <w:name w:val="heading 4"/>
    <w:basedOn w:val="1"/>
    <w:next w:val="1"/>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2026-08-12T07:37:49Z</dcterms:created>
  <dc:creator>longwillp1-2</dc:creator>
  <cp:lastModifiedBy>longwillp1-2</cp:lastModifiedBy>
  <dcterms:modified xsi:type="dcterms:W3CDTF">2026-08-12T07:38:39Z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eyJoZGlkIjoiYjcyMTY4Y2IxMzRmM2QxMzk3ZGY3MzUwNzY3MmUxNzYiLCJ1c2VySWQiOiI1MTE0MjY4NjcifQ==</vt:lpwstr>
  </property>
  <property fmtid="{D5CDD505-2E9C-101B-9397-08002B2CF9AE}" pid="4" name="ICV">
    <vt:lpwstr>B5E58159EEEF47C0BBDD0CE7613F5D44_12</vt:lpwstr>
  </property>
</Properties>
</file>