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410E2">
      <w:pPr>
        <w:shd w:val="clear" w:color="auto"/>
        <w:spacing w:line="360" w:lineRule="auto"/>
        <w:jc w:val="center"/>
        <w:outlineLvl w:val="0"/>
        <w:rPr>
          <w:rFonts w:eastAsia="仿宋"/>
          <w:color w:val="auto"/>
          <w:sz w:val="52"/>
          <w:szCs w:val="52"/>
          <w:highlight w:val="none"/>
        </w:rPr>
      </w:pPr>
      <w:bookmarkStart w:id="0" w:name="_Hlk87218400"/>
      <w:r>
        <w:rPr>
          <w:rStyle w:val="10"/>
          <w:rFonts w:ascii="Times New Roman" w:eastAsia="仿宋"/>
          <w:b/>
          <w:bCs w:val="0"/>
          <w:color w:val="auto"/>
          <w:sz w:val="32"/>
          <w:szCs w:val="32"/>
          <w:highlight w:val="none"/>
        </w:rPr>
        <w:t>拟签订的合同</w:t>
      </w:r>
      <w:bookmarkStart w:id="1" w:name="_Hlt487972895"/>
      <w:bookmarkEnd w:id="1"/>
      <w:bookmarkStart w:id="2" w:name="_Toc487900382"/>
      <w:bookmarkStart w:id="3" w:name="_Toc216513788"/>
      <w:r>
        <w:rPr>
          <w:rStyle w:val="10"/>
          <w:rFonts w:ascii="Times New Roman" w:eastAsia="仿宋"/>
          <w:b/>
          <w:bCs w:val="0"/>
          <w:color w:val="auto"/>
          <w:sz w:val="32"/>
          <w:szCs w:val="32"/>
          <w:highlight w:val="none"/>
        </w:rPr>
        <w:t>文本</w:t>
      </w:r>
      <w:bookmarkEnd w:id="2"/>
      <w:bookmarkEnd w:id="3"/>
    </w:p>
    <w:p w14:paraId="45150EB3">
      <w:pPr>
        <w:shd w:val="clear"/>
        <w:rPr>
          <w:rFonts w:hint="eastAsia" w:ascii="仿宋" w:hAnsi="仿宋" w:eastAsia="仿宋"/>
          <w:b/>
          <w:bCs/>
          <w:color w:val="auto"/>
          <w:sz w:val="44"/>
          <w:highlight w:val="none"/>
        </w:rPr>
      </w:pPr>
    </w:p>
    <w:p w14:paraId="1DB0D0D0">
      <w:pPr>
        <w:shd w:val="clear"/>
        <w:spacing w:line="1200" w:lineRule="exact"/>
        <w:jc w:val="center"/>
        <w:rPr>
          <w:rFonts w:hint="eastAsia" w:ascii="黑体" w:hAnsi="黑体" w:eastAsia="黑体"/>
          <w:b/>
          <w:bCs/>
          <w:color w:val="auto"/>
          <w:sz w:val="52"/>
          <w:highlight w:val="none"/>
        </w:rPr>
      </w:pPr>
      <w:r>
        <w:rPr>
          <w:rFonts w:hint="eastAsia" w:ascii="黑体" w:hAnsi="黑体" w:eastAsia="黑体"/>
          <w:b/>
          <w:bCs/>
          <w:color w:val="auto"/>
          <w:sz w:val="52"/>
          <w:highlight w:val="none"/>
        </w:rPr>
        <w:t>西安市医疗废物集中处置</w:t>
      </w:r>
    </w:p>
    <w:p w14:paraId="5A0FE5D9">
      <w:pPr>
        <w:shd w:val="clear"/>
        <w:spacing w:line="1200" w:lineRule="exact"/>
        <w:jc w:val="center"/>
        <w:rPr>
          <w:rFonts w:hint="eastAsia" w:ascii="仿宋" w:hAnsi="仿宋" w:eastAsia="仿宋"/>
          <w:b/>
          <w:bCs/>
          <w:color w:val="auto"/>
          <w:sz w:val="52"/>
          <w:highlight w:val="none"/>
        </w:rPr>
      </w:pPr>
      <w:r>
        <w:rPr>
          <w:rFonts w:hint="eastAsia" w:ascii="黑体" w:hAnsi="黑体" w:eastAsia="黑体"/>
          <w:b/>
          <w:bCs/>
          <w:color w:val="auto"/>
          <w:sz w:val="52"/>
          <w:highlight w:val="none"/>
        </w:rPr>
        <w:t>委 托 合 同</w:t>
      </w:r>
    </w:p>
    <w:p w14:paraId="28959CE9">
      <w:pPr>
        <w:shd w:val="clear"/>
        <w:jc w:val="center"/>
        <w:rPr>
          <w:rFonts w:hint="eastAsia" w:ascii="仿宋" w:hAnsi="仿宋" w:eastAsia="仿宋"/>
          <w:color w:val="auto"/>
          <w:sz w:val="32"/>
          <w:highlight w:val="none"/>
        </w:rPr>
      </w:pPr>
      <w:r>
        <w:rPr>
          <w:rFonts w:hint="eastAsia" w:ascii="仿宋" w:hAnsi="仿宋" w:eastAsia="仿宋"/>
          <w:color w:val="auto"/>
          <w:sz w:val="32"/>
          <w:highlight w:val="none"/>
        </w:rPr>
        <w:t>(一级以上（含一级）医院专用)</w:t>
      </w:r>
    </w:p>
    <w:p w14:paraId="63CA295E">
      <w:pPr>
        <w:shd w:val="clear"/>
        <w:spacing w:line="1020" w:lineRule="exact"/>
        <w:jc w:val="center"/>
        <w:rPr>
          <w:rFonts w:hint="eastAsia" w:ascii="仿宋" w:hAnsi="仿宋" w:eastAsia="仿宋"/>
          <w:b/>
          <w:bCs/>
          <w:color w:val="auto"/>
          <w:sz w:val="52"/>
          <w:highlight w:val="none"/>
        </w:rPr>
      </w:pPr>
    </w:p>
    <w:p w14:paraId="7374F31B">
      <w:pPr>
        <w:shd w:val="clear"/>
        <w:jc w:val="center"/>
        <w:rPr>
          <w:rFonts w:hint="eastAsia" w:ascii="仿宋" w:hAnsi="仿宋" w:eastAsia="仿宋"/>
          <w:b/>
          <w:bCs/>
          <w:color w:val="auto"/>
          <w:sz w:val="52"/>
          <w:highlight w:val="none"/>
        </w:rPr>
      </w:pPr>
    </w:p>
    <w:p w14:paraId="6AE58F60">
      <w:pPr>
        <w:shd w:val="clear"/>
        <w:jc w:val="center"/>
        <w:rPr>
          <w:rFonts w:hint="eastAsia" w:ascii="仿宋" w:hAnsi="仿宋" w:eastAsia="仿宋"/>
          <w:b/>
          <w:bCs/>
          <w:color w:val="auto"/>
          <w:sz w:val="44"/>
          <w:highlight w:val="none"/>
        </w:rPr>
      </w:pPr>
    </w:p>
    <w:p w14:paraId="3A3D1111">
      <w:pPr>
        <w:shd w:val="clear"/>
        <w:rPr>
          <w:rFonts w:hint="eastAsia" w:ascii="仿宋" w:hAnsi="仿宋" w:eastAsia="仿宋"/>
          <w:color w:val="auto"/>
          <w:sz w:val="32"/>
          <w:highlight w:val="none"/>
        </w:rPr>
      </w:pPr>
    </w:p>
    <w:p w14:paraId="45511774">
      <w:pPr>
        <w:shd w:val="clear"/>
        <w:rPr>
          <w:rFonts w:hint="eastAsia" w:ascii="仿宋" w:hAnsi="仿宋" w:eastAsia="仿宋"/>
          <w:color w:val="auto"/>
          <w:sz w:val="32"/>
          <w:highlight w:val="none"/>
        </w:rPr>
      </w:pPr>
    </w:p>
    <w:p w14:paraId="3E8CE748">
      <w:pPr>
        <w:shd w:val="clear"/>
        <w:rPr>
          <w:rFonts w:hint="eastAsia" w:ascii="仿宋" w:hAnsi="仿宋" w:eastAsia="仿宋"/>
          <w:color w:val="auto"/>
          <w:sz w:val="32"/>
          <w:highlight w:val="none"/>
        </w:rPr>
      </w:pPr>
    </w:p>
    <w:p w14:paraId="78BB058D">
      <w:pPr>
        <w:shd w:val="clear"/>
        <w:rPr>
          <w:rFonts w:hint="eastAsia" w:ascii="仿宋" w:hAnsi="仿宋" w:eastAsia="仿宋"/>
          <w:color w:val="auto"/>
          <w:sz w:val="32"/>
          <w:highlight w:val="none"/>
        </w:rPr>
      </w:pPr>
    </w:p>
    <w:p w14:paraId="46957D0F">
      <w:pPr>
        <w:shd w:val="clear"/>
        <w:ind w:firstLine="280" w:firstLineChars="100"/>
        <w:rPr>
          <w:rFonts w:hint="eastAsia" w:ascii="仿宋" w:hAnsi="仿宋" w:eastAsia="仿宋"/>
          <w:color w:val="auto"/>
          <w:sz w:val="28"/>
          <w:highlight w:val="none"/>
        </w:rPr>
      </w:pPr>
    </w:p>
    <w:p w14:paraId="19D95F37">
      <w:pPr>
        <w:shd w:val="clear"/>
        <w:ind w:firstLine="280" w:firstLineChars="100"/>
        <w:rPr>
          <w:rFonts w:hint="eastAsia" w:ascii="仿宋" w:hAnsi="仿宋" w:eastAsia="仿宋"/>
          <w:color w:val="auto"/>
          <w:sz w:val="28"/>
          <w:highlight w:val="none"/>
        </w:rPr>
      </w:pPr>
    </w:p>
    <w:p w14:paraId="30E66F20">
      <w:pPr>
        <w:shd w:val="clear"/>
        <w:ind w:firstLine="1280" w:firstLineChars="400"/>
        <w:rPr>
          <w:rFonts w:hint="default" w:ascii="仿宋" w:hAnsi="仿宋" w:eastAsia="仿宋"/>
          <w:color w:val="auto"/>
          <w:sz w:val="32"/>
          <w:highlight w:val="none"/>
          <w:u w:val="single"/>
          <w:lang w:val="en-US" w:eastAsia="zh-CN"/>
        </w:rPr>
      </w:pPr>
      <w:r>
        <w:rPr>
          <w:rFonts w:hint="eastAsia" w:ascii="仿宋" w:hAnsi="仿宋" w:eastAsia="仿宋"/>
          <w:color w:val="auto"/>
          <w:sz w:val="32"/>
          <w:highlight w:val="none"/>
        </w:rPr>
        <w:t>甲方:</w:t>
      </w:r>
      <w:r>
        <w:rPr>
          <w:rFonts w:hint="eastAsia" w:ascii="仿宋" w:hAnsi="仿宋" w:eastAsia="仿宋"/>
          <w:color w:val="auto"/>
          <w:sz w:val="32"/>
          <w:highlight w:val="none"/>
          <w:u w:val="single"/>
        </w:rPr>
        <w:t xml:space="preserve">  </w:t>
      </w:r>
      <w:r>
        <w:rPr>
          <w:rFonts w:hint="eastAsia" w:ascii="仿宋" w:hAnsi="仿宋" w:eastAsia="仿宋"/>
          <w:color w:val="auto"/>
          <w:sz w:val="32"/>
          <w:highlight w:val="none"/>
          <w:u w:val="single"/>
          <w:lang w:val="en-US" w:eastAsia="zh-CN"/>
        </w:rPr>
        <w:t xml:space="preserve">    </w:t>
      </w:r>
      <w:r>
        <w:rPr>
          <w:rFonts w:hint="eastAsia" w:ascii="仿宋" w:hAnsi="仿宋" w:eastAsia="仿宋"/>
          <w:color w:val="auto"/>
          <w:sz w:val="32"/>
          <w:highlight w:val="none"/>
          <w:u w:val="single"/>
        </w:rPr>
        <w:t>西安市中心医院</w:t>
      </w:r>
      <w:r>
        <w:rPr>
          <w:rFonts w:hint="eastAsia" w:ascii="仿宋" w:hAnsi="仿宋" w:eastAsia="仿宋"/>
          <w:color w:val="auto"/>
          <w:sz w:val="32"/>
          <w:highlight w:val="none"/>
          <w:u w:val="single"/>
          <w:lang w:val="en-US" w:eastAsia="zh-CN"/>
        </w:rPr>
        <w:t xml:space="preserve">      </w:t>
      </w:r>
    </w:p>
    <w:p w14:paraId="7FA4EE55">
      <w:pPr>
        <w:shd w:val="clear"/>
        <w:ind w:firstLine="1280" w:firstLineChars="400"/>
        <w:rPr>
          <w:rFonts w:hint="eastAsia" w:ascii="仿宋" w:hAnsi="仿宋" w:eastAsia="仿宋"/>
          <w:color w:val="auto"/>
          <w:sz w:val="32"/>
          <w:highlight w:val="none"/>
          <w:lang w:eastAsia="zh-CN"/>
        </w:rPr>
      </w:pPr>
      <w:r>
        <w:rPr>
          <w:rFonts w:hint="eastAsia" w:ascii="仿宋" w:hAnsi="仿宋" w:eastAsia="仿宋"/>
          <w:color w:val="auto"/>
          <w:sz w:val="32"/>
          <w:highlight w:val="none"/>
        </w:rPr>
        <w:t>乙方:</w:t>
      </w:r>
      <w:r>
        <w:rPr>
          <w:rFonts w:hint="eastAsia" w:ascii="仿宋" w:hAnsi="仿宋" w:eastAsia="仿宋"/>
          <w:color w:val="auto"/>
          <w:sz w:val="32"/>
          <w:highlight w:val="none"/>
          <w:u w:val="single"/>
        </w:rPr>
        <w:t xml:space="preserve">  </w:t>
      </w:r>
      <w:r>
        <w:rPr>
          <w:rFonts w:hint="eastAsia" w:ascii="仿宋" w:hAnsi="仿宋" w:eastAsia="仿宋"/>
          <w:color w:val="auto"/>
          <w:sz w:val="32"/>
          <w:highlight w:val="none"/>
          <w:u w:val="single"/>
          <w:lang w:val="en-US" w:eastAsia="zh-CN"/>
        </w:rPr>
        <w:t xml:space="preserve">                        </w:t>
      </w:r>
      <w:r>
        <w:rPr>
          <w:rFonts w:hint="eastAsia" w:ascii="仿宋" w:hAnsi="仿宋" w:eastAsia="仿宋"/>
          <w:color w:val="auto"/>
          <w:sz w:val="32"/>
          <w:highlight w:val="none"/>
        </w:rPr>
        <w:t xml:space="preserve">   </w:t>
      </w:r>
    </w:p>
    <w:p w14:paraId="5E2E5458">
      <w:pPr>
        <w:shd w:val="clear"/>
        <w:ind w:firstLine="2240" w:firstLineChars="700"/>
        <w:rPr>
          <w:rFonts w:hint="eastAsia" w:ascii="仿宋" w:hAnsi="仿宋" w:eastAsia="仿宋"/>
          <w:color w:val="auto"/>
          <w:sz w:val="32"/>
          <w:highlight w:val="none"/>
        </w:rPr>
      </w:pPr>
      <w:r>
        <w:rPr>
          <w:rFonts w:hint="eastAsia" w:ascii="仿宋" w:hAnsi="仿宋" w:eastAsia="仿宋"/>
          <w:color w:val="auto"/>
          <w:sz w:val="32"/>
          <w:highlight w:val="none"/>
        </w:rPr>
        <w:t>(西安市医疗废物集中处置中心)</w:t>
      </w:r>
    </w:p>
    <w:p w14:paraId="6F81930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pPr>
    </w:p>
    <w:p w14:paraId="766FB4DC">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pPr>
    </w:p>
    <w:p w14:paraId="6E78522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2" w:firstLineChars="200"/>
        <w:textAlignment w:val="auto"/>
        <w:rPr>
          <w:rFonts w:hint="eastAsia"/>
          <w:b/>
          <w:color w:val="auto"/>
          <w:szCs w:val="21"/>
          <w:highlight w:val="none"/>
        </w:rPr>
        <w:sectPr>
          <w:headerReference r:id="rId3" w:type="default"/>
          <w:footerReference r:id="rId4" w:type="default"/>
          <w:footerReference r:id="rId5" w:type="even"/>
          <w:pgSz w:w="11906" w:h="16838"/>
          <w:pgMar w:top="1440" w:right="1800" w:bottom="1440" w:left="1800" w:header="284" w:footer="567" w:gutter="0"/>
          <w:cols w:space="720" w:num="1"/>
          <w:docGrid w:type="lines" w:linePitch="312" w:charSpace="0"/>
        </w:sectPr>
      </w:pPr>
    </w:p>
    <w:bookmarkEnd w:id="0"/>
    <w:p w14:paraId="4CCA786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963" w:firstLineChars="200"/>
        <w:jc w:val="center"/>
        <w:textAlignment w:val="auto"/>
        <w:rPr>
          <w:rFonts w:hint="eastAsia"/>
          <w:color w:val="auto"/>
          <w:szCs w:val="21"/>
          <w:highlight w:val="none"/>
        </w:rPr>
      </w:pPr>
      <w:r>
        <w:rPr>
          <w:rFonts w:hint="eastAsia" w:ascii="新宋体" w:hAnsi="新宋体" w:eastAsia="新宋体"/>
          <w:b/>
          <w:color w:val="auto"/>
          <w:spacing w:val="20"/>
          <w:sz w:val="44"/>
          <w:szCs w:val="44"/>
          <w:highlight w:val="none"/>
          <w14:shadow w14:blurRad="50800" w14:dist="38100" w14:dir="2700000" w14:sx="100000" w14:sy="100000" w14:kx="0" w14:ky="0" w14:algn="tl">
            <w14:srgbClr w14:val="000000">
              <w14:alpha w14:val="60000"/>
            </w14:srgbClr>
          </w14:shadow>
        </w:rPr>
        <w:t>医疗废物集中处置合同</w:t>
      </w:r>
    </w:p>
    <w:p w14:paraId="653690C5">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default" w:ascii="仿宋" w:hAnsi="仿宋" w:eastAsia="仿宋" w:cs="仿宋"/>
          <w:color w:val="auto"/>
          <w:sz w:val="30"/>
          <w:szCs w:val="30"/>
          <w:highlight w:val="none"/>
          <w:lang w:val="en-US"/>
        </w:rPr>
      </w:pPr>
      <w:r>
        <w:rPr>
          <w:rFonts w:hint="eastAsia" w:ascii="仿宋" w:hAnsi="仿宋" w:eastAsia="仿宋" w:cs="仿宋"/>
          <w:b/>
          <w:bCs/>
          <w:color w:val="auto"/>
          <w:sz w:val="30"/>
          <w:szCs w:val="30"/>
          <w:highlight w:val="none"/>
        </w:rPr>
        <w:t>甲  方：</w:t>
      </w:r>
      <w:r>
        <w:rPr>
          <w:rFonts w:hint="eastAsia" w:ascii="仿宋" w:hAnsi="仿宋" w:eastAsia="仿宋" w:cs="仿宋"/>
          <w:color w:val="auto"/>
          <w:sz w:val="30"/>
          <w:szCs w:val="30"/>
          <w:highlight w:val="none"/>
          <w:lang w:val="en-US" w:eastAsia="zh-CN"/>
        </w:rPr>
        <w:t>西安市中心医院</w:t>
      </w:r>
    </w:p>
    <w:p w14:paraId="15C58278">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住所地：</w:t>
      </w:r>
      <w:r>
        <w:rPr>
          <w:rFonts w:hint="eastAsia" w:ascii="仿宋" w:hAnsi="仿宋" w:eastAsia="仿宋" w:cs="仿宋"/>
          <w:color w:val="auto"/>
          <w:sz w:val="30"/>
          <w:szCs w:val="30"/>
          <w:highlight w:val="none"/>
        </w:rPr>
        <w:t>新城区西五路161号、糖坊街65号</w:t>
      </w:r>
    </w:p>
    <w:p w14:paraId="479D297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b/>
          <w:bCs/>
          <w:color w:val="auto"/>
          <w:sz w:val="30"/>
          <w:szCs w:val="30"/>
          <w:highlight w:val="none"/>
        </w:rPr>
        <w:t>乙  方：</w:t>
      </w:r>
    </w:p>
    <w:p w14:paraId="06A390BB">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i w:val="0"/>
          <w:iCs w:val="0"/>
          <w:caps w:val="0"/>
          <w:color w:val="auto"/>
          <w:spacing w:val="0"/>
          <w:sz w:val="30"/>
          <w:szCs w:val="30"/>
          <w:highlight w:val="none"/>
          <w:shd w:val="clear" w:fill="FFFFFF"/>
          <w:lang w:val="en-US" w:eastAsia="zh-CN"/>
        </w:rPr>
      </w:pPr>
      <w:r>
        <w:rPr>
          <w:rFonts w:hint="eastAsia" w:ascii="仿宋" w:hAnsi="仿宋" w:eastAsia="仿宋" w:cs="仿宋"/>
          <w:b/>
          <w:color w:val="auto"/>
          <w:sz w:val="30"/>
          <w:szCs w:val="30"/>
          <w:highlight w:val="none"/>
        </w:rPr>
        <w:t>住所地：</w:t>
      </w:r>
    </w:p>
    <w:p w14:paraId="7FC189F4">
      <w:pPr>
        <w:keepNext w:val="0"/>
        <w:keepLines w:val="0"/>
        <w:pageBreakBefore w:val="0"/>
        <w:widowControl w:val="0"/>
        <w:shd w:val="clear"/>
        <w:kinsoku/>
        <w:wordWrap/>
        <w:overflowPunct/>
        <w:topLinePunct w:val="0"/>
        <w:autoSpaceDE/>
        <w:autoSpaceDN/>
        <w:bidi w:val="0"/>
        <w:adjustRightInd/>
        <w:snapToGrid/>
        <w:spacing w:line="240" w:lineRule="auto"/>
        <w:ind w:right="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i w:val="0"/>
          <w:iCs w:val="0"/>
          <w:caps w:val="0"/>
          <w:color w:val="auto"/>
          <w:spacing w:val="0"/>
          <w:sz w:val="32"/>
          <w:szCs w:val="32"/>
          <w:highlight w:val="none"/>
          <w:shd w:val="clear" w:fill="FFFFFF"/>
          <w:lang w:val="en-US" w:eastAsia="zh-CN"/>
        </w:rPr>
        <w:t xml:space="preserve">   </w:t>
      </w:r>
      <w:r>
        <w:rPr>
          <w:rFonts w:hint="eastAsia" w:ascii="仿宋" w:hAnsi="仿宋" w:eastAsia="仿宋" w:cs="仿宋"/>
          <w:b/>
          <w:color w:val="auto"/>
          <w:sz w:val="32"/>
          <w:szCs w:val="32"/>
          <w:highlight w:val="none"/>
        </w:rPr>
        <w:t>一、鉴于：</w:t>
      </w:r>
    </w:p>
    <w:p w14:paraId="766A668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lef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甲方是一家在中国依法注册并合法存续的企业，有合法签订并履行本合同的资格，且具有《营业执照》、《医疗机构执业许可证》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等相关经营许可资质。</w:t>
      </w:r>
    </w:p>
    <w:p w14:paraId="218F199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乙方是一家在中国依法注册并合法存续的企业，有合法签订并履行本合同的资格，且具有“危险废物经营许可”的资格。</w:t>
      </w:r>
    </w:p>
    <w:p w14:paraId="6C4410D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为保障人民群众的身体健康，防止医疗废物污染事故的发生，根据《中华人民共和国固体废物污染环境防治法》、《医疗废物管理条例》（2011修订）等相关法律规定，</w:t>
      </w:r>
      <w:r>
        <w:rPr>
          <w:rFonts w:hint="eastAsia" w:ascii="仿宋" w:hAnsi="仿宋" w:eastAsia="仿宋" w:cs="仿宋"/>
          <w:color w:val="auto"/>
          <w:sz w:val="30"/>
          <w:szCs w:val="30"/>
          <w:highlight w:val="none"/>
          <w:lang w:val="en-US" w:eastAsia="zh-CN"/>
        </w:rPr>
        <w:t>为</w:t>
      </w:r>
      <w:r>
        <w:rPr>
          <w:rFonts w:hint="eastAsia" w:ascii="仿宋" w:hAnsi="仿宋" w:eastAsia="仿宋" w:cs="仿宋"/>
          <w:color w:val="auto"/>
          <w:sz w:val="30"/>
          <w:szCs w:val="30"/>
          <w:highlight w:val="none"/>
        </w:rPr>
        <w:t>实现医疗废物集中处置，甲方与乙方经共同协商，同意由西安市医疗废物集中处置中心——负责处置甲方产生的医疗废物。为明确双方的权利、义务和责任，签订如下合同：</w:t>
      </w:r>
    </w:p>
    <w:p w14:paraId="097775D4">
      <w:pPr>
        <w:keepNext w:val="0"/>
        <w:keepLines w:val="0"/>
        <w:pageBreakBefore w:val="0"/>
        <w:widowControl w:val="0"/>
        <w:shd w:val="clear"/>
        <w:kinsoku/>
        <w:wordWrap/>
        <w:overflowPunct/>
        <w:topLinePunct w:val="0"/>
        <w:autoSpaceDE/>
        <w:autoSpaceDN/>
        <w:bidi w:val="0"/>
        <w:adjustRightInd/>
        <w:snapToGrid/>
        <w:spacing w:line="240" w:lineRule="auto"/>
        <w:ind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二、委托处置的范围及地址：</w:t>
      </w:r>
    </w:p>
    <w:p w14:paraId="15259BC4">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甲方委托乙方处置的危险废物为： HW01 即甲方在医疗、预防、保健以及相关活动中产生的具有直接或者间接感染性、毒性及其他危害性废物</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是《医疗废物分类目录》中所规定的除化学性废物之外的各项医疗废物。</w:t>
      </w:r>
    </w:p>
    <w:p w14:paraId="66A1199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乙方负责在约定的医疗废物交接地点接收甲方产生的医疗废物，运送至乙方工厂进行无害化处置。</w:t>
      </w:r>
    </w:p>
    <w:p w14:paraId="0B1F6D6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三、甲方的权利义务：</w:t>
      </w:r>
    </w:p>
    <w:p w14:paraId="6ECC48A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指定</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负责衔接、配合乙方的收运及处置工作</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联系电话：</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w:t>
      </w:r>
    </w:p>
    <w:p w14:paraId="1F566CAD">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甲方应严格按照国家相关的法律法规将医疗废物进行分类、收集、转送、计量、包装、贮存，使用黄色专用包装袋密封，包装后再放置于专用周转桶中，并保证包装袋完整不破损。损伤性医疗废物必须使用“利器盒”包装；液体医疗废物必须使用专用“塑料桶”盛装，并单独存放。</w:t>
      </w:r>
    </w:p>
    <w:p w14:paraId="010FE71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甲方应按国家相关规范设立医疗废物暂存点，暂存点中不得存放除医疗废物外的其他废物，禁止存放其他危险废物，医疗废物周转桶必须集中放置在其医疗废物暂存点待运。</w:t>
      </w:r>
    </w:p>
    <w:p w14:paraId="08BB5AA8">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对于设立在一楼以上、地下室等不方便运送人员及运送工具、车辆出入的暂存点，甲方须安排人员配合转运工作。</w:t>
      </w:r>
    </w:p>
    <w:p w14:paraId="26CFC49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甲方须在盛装液体医疗废物的“塑料桶”明显位置上粘贴包含废物名称、主要成分、危险特性等内容的标签。</w:t>
      </w:r>
    </w:p>
    <w:p w14:paraId="4DE1546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甲方确保医疗废物中不混入其他危险废物。</w:t>
      </w:r>
    </w:p>
    <w:p w14:paraId="6AE9EAE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甲方的医疗废物负责人员应提前做好准备等待清运，并按照《医疗废物集中处置技术规范》填写和保存《危险废物转移联单》（医疗废物专用）、《医疗废物运送登记卡》，如当次无废物交接，也必须在联单、登记卡上如实记录。</w:t>
      </w:r>
    </w:p>
    <w:p w14:paraId="1ECD90D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根据国家相关的法律法规规定，甲方保证产生的医疗废物，不得擅自自行处置、丢弃、买卖或委托未取得经营许可的第三方处置。</w:t>
      </w:r>
    </w:p>
    <w:p w14:paraId="337BA68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甲方有义务将其内部有关交通、安全及管理规定告知乙方，保障乙方的医疗废物转运车辆在其院内的运输通道通畅和安全，并在其医疗废物贮存点附近无偿提供停车点位。</w:t>
      </w:r>
    </w:p>
    <w:p w14:paraId="339693F1">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甲方有处置需求时，须及时通知乙方，如因甲方未及时通知乙方，造成未及时收运和处置，甲方承担相应责任</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如由于乙方未能及时响应收运，对甲方产生的损失，由乙方承担相应责任。</w:t>
      </w:r>
    </w:p>
    <w:p w14:paraId="6CF4470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合同签订，甲方须向乙方提供有效期内的《营业执照》、《医疗机构执业许可证》副本</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法人身份证复印件》</w:t>
      </w:r>
      <w:r>
        <w:rPr>
          <w:rFonts w:hint="eastAsia" w:ascii="仿宋" w:hAnsi="仿宋" w:eastAsia="仿宋" w:cs="仿宋"/>
          <w:color w:val="auto"/>
          <w:sz w:val="30"/>
          <w:szCs w:val="30"/>
          <w:highlight w:val="none"/>
        </w:rPr>
        <w:t>或其他经营许可资质复印件，并对其有效性及真实性负责，供乙方存档。</w:t>
      </w:r>
    </w:p>
    <w:p w14:paraId="071CF491">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rPr>
        <w:t>指定专人负责乙方提供的专用包装容器的接收及管理工作。</w:t>
      </w:r>
    </w:p>
    <w:p w14:paraId="7AE0563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甲方应根据本合同条款按期</w:t>
      </w:r>
      <w:r>
        <w:rPr>
          <w:rFonts w:hint="eastAsia" w:ascii="仿宋" w:hAnsi="仿宋" w:eastAsia="仿宋" w:cs="仿宋"/>
          <w:color w:val="auto"/>
          <w:sz w:val="30"/>
          <w:szCs w:val="30"/>
          <w:highlight w:val="none"/>
          <w:lang w:val="en-US" w:eastAsia="zh-CN"/>
        </w:rPr>
        <w:t>足额</w:t>
      </w:r>
      <w:r>
        <w:rPr>
          <w:rFonts w:hint="eastAsia" w:ascii="仿宋" w:hAnsi="仿宋" w:eastAsia="仿宋" w:cs="仿宋"/>
          <w:color w:val="auto"/>
          <w:sz w:val="30"/>
          <w:szCs w:val="30"/>
          <w:highlight w:val="none"/>
        </w:rPr>
        <w:t>支付医疗废物处置费用。</w:t>
      </w:r>
    </w:p>
    <w:p w14:paraId="46BE736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甲方应在每月初及时向乙方如实提供上月住院病人实际占用床位日数及上月每天住院病人实际占用床位</w:t>
      </w:r>
      <w:r>
        <w:rPr>
          <w:rFonts w:hint="eastAsia" w:ascii="仿宋" w:hAnsi="仿宋" w:eastAsia="仿宋" w:cs="仿宋"/>
          <w:color w:val="auto"/>
          <w:sz w:val="30"/>
          <w:szCs w:val="30"/>
          <w:highlight w:val="none"/>
          <w:lang w:eastAsia="zh-CN"/>
        </w:rPr>
        <w:t>。</w:t>
      </w:r>
    </w:p>
    <w:p w14:paraId="76E94D8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出现经营地址变更、经营人变更、暂停营业、营业范围变更等要及时通知乙方，因医疗机构类别变更导致对应的收费标准类别变更从《医疗机构执业许可证》发证日期之日起变更对应的收费标准。</w:t>
      </w:r>
    </w:p>
    <w:p w14:paraId="430C7F9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四、乙方的权利义务：</w:t>
      </w:r>
    </w:p>
    <w:p w14:paraId="6B32998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乙方应向甲方提供其有效期内的《营业执照》、《危险废物经营许可证》复印件，并保证该材料正规有效，同时交由甲方存档。</w:t>
      </w:r>
    </w:p>
    <w:p w14:paraId="200698E4">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乙方负责及时按甲方实际需要，</w:t>
      </w:r>
      <w:r>
        <w:rPr>
          <w:rFonts w:hint="eastAsia" w:ascii="仿宋" w:hAnsi="仿宋" w:eastAsia="仿宋" w:cs="仿宋"/>
          <w:color w:val="auto"/>
          <w:sz w:val="30"/>
          <w:szCs w:val="30"/>
          <w:highlight w:val="none"/>
          <w:lang w:val="en-US" w:eastAsia="zh-CN"/>
        </w:rPr>
        <w:t>定量</w:t>
      </w:r>
      <w:r>
        <w:rPr>
          <w:rFonts w:hint="eastAsia" w:ascii="仿宋" w:hAnsi="仿宋" w:eastAsia="仿宋" w:cs="仿宋"/>
          <w:color w:val="auto"/>
          <w:sz w:val="30"/>
          <w:szCs w:val="30"/>
          <w:highlight w:val="none"/>
        </w:rPr>
        <w:t>向甲方提供专用包装袋、利器盒、周转箱，周转桶应存放在甲方的医疗废物暂存点，并仅用于存放医疗废物。甲方有责任妥善保管医疗废物周转桶，如有遗失或人为损坏，按照周转桶（240L）420元／个进行赔偿。</w:t>
      </w:r>
    </w:p>
    <w:p w14:paraId="62121C7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要求甲方更正。</w:t>
      </w:r>
    </w:p>
    <w:p w14:paraId="39E5B02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对于设立在一楼以上、地下室等不方便运送人员及运送工具、车辆出入的暂存点，乙方可要求甲方安排人员配合转运工作。</w:t>
      </w:r>
    </w:p>
    <w:p w14:paraId="45B58590">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乙方保证遵守甲方内部有关交通、安全及规章制度，如有违反，按甲方的管理规定处理。</w:t>
      </w:r>
    </w:p>
    <w:p w14:paraId="181FCE39">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乙方应做好医疗废物安全运输工作，使用专用车辆收运并防止运输途中出现医疗废物流失、扩散造成环境污染。</w:t>
      </w:r>
    </w:p>
    <w:p w14:paraId="7935ACC8">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乙方派专用医疗废物转运车在甲方指定的医疗废物暂存点清运，在装车、运输过程中杜绝跑、冒、滴、漏，对转运过程中的交通安全及环保安全负责。</w:t>
      </w:r>
    </w:p>
    <w:p w14:paraId="04B1AB8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根据《医疗废物管理条例》和《医疗废物集中处置技术规范》等相关要求对接收的医疗废物进行无害化处置</w:t>
      </w:r>
      <w:r>
        <w:rPr>
          <w:rFonts w:hint="eastAsia" w:ascii="仿宋" w:hAnsi="仿宋" w:eastAsia="仿宋" w:cs="仿宋"/>
          <w:color w:val="auto"/>
          <w:sz w:val="30"/>
          <w:szCs w:val="30"/>
          <w:highlight w:val="none"/>
          <w:lang w:eastAsia="zh-CN"/>
        </w:rPr>
        <w:t>，如乙方未按规范收运、处置甲方的医疗废物，造成二次污染的事实，乙方承担</w:t>
      </w:r>
      <w:r>
        <w:rPr>
          <w:rFonts w:hint="eastAsia" w:ascii="仿宋" w:hAnsi="仿宋" w:eastAsia="仿宋" w:cs="仿宋"/>
          <w:color w:val="auto"/>
          <w:sz w:val="30"/>
          <w:szCs w:val="30"/>
          <w:highlight w:val="none"/>
          <w:lang w:val="en-US" w:eastAsia="zh-CN"/>
        </w:rPr>
        <w:t>相应责任，若甲方因此遭到处罚或索赔的，有权向乙方追偿</w:t>
      </w:r>
      <w:r>
        <w:rPr>
          <w:rFonts w:hint="eastAsia" w:ascii="仿宋" w:hAnsi="仿宋" w:eastAsia="仿宋" w:cs="仿宋"/>
          <w:color w:val="auto"/>
          <w:sz w:val="30"/>
          <w:szCs w:val="30"/>
          <w:highlight w:val="none"/>
        </w:rPr>
        <w:t>。</w:t>
      </w:r>
    </w:p>
    <w:p w14:paraId="4DCEC68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乙方有义务接受甲方对处置医疗危险废物过程的监督，如乙方对医疗废物的处置不符合国家及生态环境部门的相关规定，甲方有权向卫健委、生态环境行政主管部门举报。</w:t>
      </w:r>
    </w:p>
    <w:p w14:paraId="1E427F5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对于甲方的收运需求，乙方承诺，接甲方通知后两个工作日内进行清运。客服电话：029-85572569。</w:t>
      </w:r>
    </w:p>
    <w:p w14:paraId="7654ABF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费用及结算方式：</w:t>
      </w:r>
    </w:p>
    <w:p w14:paraId="4C65252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结合甲方医疗废物收运和处置的实际情况，本着“污染付费、公平负担、平等自愿、协商一致”的原则，甲乙双方经协商确定合同期内：</w:t>
      </w:r>
    </w:p>
    <w:p w14:paraId="49E2608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（一）根据</w:t>
      </w:r>
      <w:r>
        <w:rPr>
          <w:rFonts w:hint="eastAsia" w:ascii="仿宋" w:hAnsi="仿宋" w:eastAsia="仿宋" w:cs="仿宋"/>
          <w:color w:val="auto"/>
          <w:sz w:val="30"/>
          <w:szCs w:val="30"/>
          <w:highlight w:val="none"/>
          <w:lang w:val="en-US" w:eastAsia="zh-CN"/>
        </w:rPr>
        <w:t>院方</w:t>
      </w:r>
      <w:r>
        <w:rPr>
          <w:rFonts w:hint="eastAsia" w:ascii="仿宋" w:hAnsi="仿宋" w:eastAsia="仿宋" w:cs="仿宋"/>
          <w:color w:val="auto"/>
          <w:sz w:val="30"/>
          <w:szCs w:val="30"/>
          <w:highlight w:val="none"/>
          <w:lang w:eastAsia="zh-CN"/>
        </w:rPr>
        <w:t>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年度甲方北大街及糖坊街</w:t>
      </w:r>
      <w:r>
        <w:rPr>
          <w:rFonts w:hint="eastAsia" w:ascii="仿宋" w:hAnsi="仿宋" w:eastAsia="仿宋" w:cs="仿宋"/>
          <w:color w:val="auto"/>
          <w:sz w:val="30"/>
          <w:szCs w:val="30"/>
          <w:highlight w:val="none"/>
          <w:lang w:val="en-US" w:eastAsia="zh-CN"/>
        </w:rPr>
        <w:t>院区</w:t>
      </w:r>
      <w:r>
        <w:rPr>
          <w:rFonts w:hint="eastAsia" w:ascii="仿宋" w:hAnsi="仿宋" w:eastAsia="仿宋" w:cs="仿宋"/>
          <w:color w:val="auto"/>
          <w:sz w:val="30"/>
          <w:szCs w:val="30"/>
          <w:highlight w:val="none"/>
          <w:lang w:eastAsia="zh-CN"/>
        </w:rPr>
        <w:t>实际使用床位数</w:t>
      </w:r>
      <w:r>
        <w:rPr>
          <w:rFonts w:hint="eastAsia" w:ascii="仿宋" w:hAnsi="仿宋" w:eastAsia="仿宋" w:cs="仿宋"/>
          <w:color w:val="auto"/>
          <w:sz w:val="30"/>
          <w:szCs w:val="30"/>
          <w:highlight w:val="none"/>
          <w:u w:val="single"/>
          <w:lang w:val="en-US" w:eastAsia="zh-CN"/>
        </w:rPr>
        <w:t xml:space="preserve"> 1084 </w:t>
      </w:r>
      <w:r>
        <w:rPr>
          <w:rFonts w:hint="eastAsia" w:ascii="仿宋" w:hAnsi="仿宋" w:eastAsia="仿宋" w:cs="仿宋"/>
          <w:color w:val="auto"/>
          <w:sz w:val="30"/>
          <w:szCs w:val="30"/>
          <w:highlight w:val="none"/>
          <w:lang w:eastAsia="zh-CN"/>
        </w:rPr>
        <w:t>张</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年度甲方全年预付乙方处置费总计</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元</w:t>
      </w:r>
      <w:r>
        <w:rPr>
          <w:rFonts w:hint="eastAsia" w:ascii="仿宋" w:hAnsi="仿宋" w:eastAsia="仿宋" w:cs="仿宋"/>
          <w:color w:val="auto"/>
          <w:sz w:val="30"/>
          <w:szCs w:val="30"/>
          <w:highlight w:val="none"/>
          <w:lang w:eastAsia="zh-CN"/>
        </w:rPr>
        <w:t>整）；平均每季度应支付处置费</w:t>
      </w:r>
      <w:r>
        <w:rPr>
          <w:rFonts w:hint="eastAsia" w:ascii="仿宋" w:hAnsi="仿宋" w:eastAsia="仿宋" w:cs="仿宋"/>
          <w:color w:val="auto"/>
          <w:sz w:val="30"/>
          <w:szCs w:val="30"/>
          <w:highlight w:val="none"/>
          <w:u w:val="none"/>
          <w:lang w:val="en-US"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元整</w:t>
      </w:r>
      <w:r>
        <w:rPr>
          <w:rFonts w:hint="eastAsia" w:ascii="仿宋" w:hAnsi="仿宋" w:eastAsia="仿宋" w:cs="仿宋"/>
          <w:color w:val="auto"/>
          <w:sz w:val="30"/>
          <w:szCs w:val="30"/>
          <w:highlight w:val="none"/>
          <w:lang w:eastAsia="zh-CN"/>
        </w:rPr>
        <w:t xml:space="preserve">）。    </w:t>
      </w:r>
    </w:p>
    <w:p w14:paraId="5B9D7C9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（二）双方商定于</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年第一季度，根据</w:t>
      </w:r>
      <w:r>
        <w:rPr>
          <w:rFonts w:hint="eastAsia" w:ascii="仿宋" w:hAnsi="仿宋" w:eastAsia="仿宋" w:cs="仿宋"/>
          <w:color w:val="auto"/>
          <w:sz w:val="30"/>
          <w:szCs w:val="30"/>
          <w:highlight w:val="none"/>
          <w:lang w:val="en-US" w:eastAsia="zh-CN"/>
        </w:rPr>
        <w:t>西安</w:t>
      </w:r>
      <w:r>
        <w:rPr>
          <w:rFonts w:hint="eastAsia" w:ascii="仿宋" w:hAnsi="仿宋" w:eastAsia="仿宋" w:cs="仿宋"/>
          <w:color w:val="auto"/>
          <w:sz w:val="30"/>
          <w:szCs w:val="30"/>
          <w:highlight w:val="none"/>
          <w:lang w:eastAsia="zh-CN"/>
        </w:rPr>
        <w:t>市卫生健康委员会提供的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年度甲方实际使用正式床位总数，按市物价局</w:t>
      </w:r>
      <w:r>
        <w:rPr>
          <w:rFonts w:hint="eastAsia" w:ascii="仿宋" w:hAnsi="仿宋" w:eastAsia="仿宋" w:cs="仿宋"/>
          <w:color w:val="auto"/>
          <w:sz w:val="30"/>
          <w:szCs w:val="30"/>
          <w:highlight w:val="none"/>
          <w:lang w:val="en-US" w:eastAsia="zh-CN"/>
        </w:rPr>
        <w:t>部门</w:t>
      </w:r>
      <w:r>
        <w:rPr>
          <w:rFonts w:hint="eastAsia" w:ascii="仿宋" w:hAnsi="仿宋" w:eastAsia="仿宋" w:cs="仿宋"/>
          <w:color w:val="auto"/>
          <w:sz w:val="30"/>
          <w:szCs w:val="30"/>
          <w:highlight w:val="none"/>
          <w:lang w:eastAsia="zh-CN"/>
        </w:rPr>
        <w:t>定的收费标准，对</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年度全年处置费进行</w:t>
      </w:r>
      <w:r>
        <w:rPr>
          <w:rFonts w:hint="eastAsia" w:ascii="仿宋" w:hAnsi="仿宋" w:eastAsia="仿宋" w:cs="仿宋"/>
          <w:color w:val="auto"/>
          <w:sz w:val="30"/>
          <w:szCs w:val="30"/>
          <w:highlight w:val="none"/>
          <w:lang w:val="en-US" w:eastAsia="zh-CN"/>
        </w:rPr>
        <w:t>据实</w:t>
      </w:r>
      <w:r>
        <w:rPr>
          <w:rFonts w:hint="eastAsia" w:ascii="仿宋" w:hAnsi="仿宋" w:eastAsia="仿宋" w:cs="仿宋"/>
          <w:color w:val="auto"/>
          <w:sz w:val="30"/>
          <w:szCs w:val="30"/>
          <w:highlight w:val="none"/>
          <w:lang w:eastAsia="zh-CN"/>
        </w:rPr>
        <w:t>结算。</w:t>
      </w:r>
    </w:p>
    <w:p w14:paraId="12265B03">
      <w:pPr>
        <w:keepNext w:val="0"/>
        <w:keepLines w:val="0"/>
        <w:pageBreakBefore w:val="0"/>
        <w:widowControl w:val="0"/>
        <w:numPr>
          <w:ilvl w:val="0"/>
          <w:numId w:val="0"/>
        </w:numPr>
        <w:shd w:val="clear"/>
        <w:tabs>
          <w:tab w:val="left" w:pos="513"/>
        </w:tabs>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0"/>
          <w:szCs w:val="30"/>
          <w:highlight w:val="none"/>
          <w:lang w:val="en-US" w:eastAsia="zh-CN"/>
        </w:rPr>
        <w:t>注：依照本合同第五条第(二)款约定，乙方应补收</w:t>
      </w:r>
      <w:r>
        <w:rPr>
          <w:rFonts w:hint="eastAsia" w:ascii="仿宋" w:hAnsi="仿宋" w:eastAsia="仿宋" w:cs="仿宋"/>
          <w:color w:val="auto"/>
          <w:sz w:val="30"/>
          <w:szCs w:val="30"/>
          <w:highlight w:val="none"/>
          <w:u w:val="none"/>
          <w:lang w:val="en-US" w:eastAsia="zh-CN"/>
        </w:rPr>
        <w:t>上</w:t>
      </w:r>
      <w:r>
        <w:rPr>
          <w:rFonts w:hint="eastAsia" w:ascii="仿宋" w:hAnsi="仿宋" w:eastAsia="仿宋" w:cs="仿宋"/>
          <w:color w:val="auto"/>
          <w:sz w:val="30"/>
          <w:szCs w:val="30"/>
          <w:highlight w:val="none"/>
          <w:lang w:val="en-US" w:eastAsia="zh-CN"/>
        </w:rPr>
        <w:t>年度医疗废物处置费人民币（大写：人民币</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highlight w:val="none"/>
          <w:lang w:val="en-US" w:eastAsia="zh-CN"/>
        </w:rPr>
        <w:t>整，小写：¥</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highlight w:val="none"/>
          <w:lang w:val="en-US" w:eastAsia="zh-CN"/>
        </w:rPr>
        <w:t xml:space="preserve">元整）。  </w:t>
      </w:r>
      <w:r>
        <w:rPr>
          <w:rFonts w:hint="eastAsia" w:ascii="仿宋" w:hAnsi="仿宋" w:eastAsia="仿宋" w:cs="仿宋"/>
          <w:color w:val="auto"/>
          <w:sz w:val="32"/>
          <w:szCs w:val="32"/>
          <w:highlight w:val="none"/>
          <w:lang w:eastAsia="zh-CN"/>
        </w:rPr>
        <w:t xml:space="preserve"> </w:t>
      </w:r>
    </w:p>
    <w:p w14:paraId="0E75AA6D">
      <w:pPr>
        <w:keepNext w:val="0"/>
        <w:keepLines w:val="0"/>
        <w:pageBreakBefore w:val="0"/>
        <w:widowControl w:val="0"/>
        <w:numPr>
          <w:ilvl w:val="0"/>
          <w:numId w:val="1"/>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收费方式：甲、乙双方商定：每季度结算一次，每次支付合同总价的25%，共结算4次。若乙方未在甲方付款前提供等额合规发票的，甲方有权拒付合同款项，且无需承担任何责任，乙方不得以此为由拒绝履行任意合同义务。</w:t>
      </w:r>
    </w:p>
    <w:p w14:paraId="441C849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（四）乙方收款账户如下：</w:t>
      </w:r>
      <w:bookmarkStart w:id="4" w:name="_GoBack"/>
      <w:bookmarkEnd w:id="4"/>
    </w:p>
    <w:p w14:paraId="2FA90B9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账户名：</w:t>
      </w:r>
    </w:p>
    <w:p w14:paraId="63EB77C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开户行：</w:t>
      </w:r>
    </w:p>
    <w:p w14:paraId="1D75B5D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  号：</w:t>
      </w:r>
    </w:p>
    <w:p w14:paraId="6D6013D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（五）甲方开票信息</w:t>
      </w:r>
    </w:p>
    <w:p w14:paraId="78C9C27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公司名称：西安市中心医院</w:t>
      </w:r>
    </w:p>
    <w:p w14:paraId="3187799B">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统一社会信用代码：12610100437202916K</w:t>
      </w:r>
    </w:p>
    <w:p w14:paraId="3667B78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经营场所：医院</w:t>
      </w:r>
    </w:p>
    <w:p w14:paraId="1EC249C9">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电话：029-62812592</w:t>
      </w:r>
    </w:p>
    <w:p w14:paraId="7CC8141C">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开户行：交通银行西安北大街支行</w:t>
      </w:r>
    </w:p>
    <w:p w14:paraId="0004581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color w:val="auto"/>
          <w:sz w:val="30"/>
          <w:szCs w:val="30"/>
          <w:highlight w:val="none"/>
          <w:lang w:val="en-US" w:eastAsia="zh-CN"/>
        </w:rPr>
        <w:t>账号：611301093010141004021</w:t>
      </w:r>
    </w:p>
    <w:p w14:paraId="5B387838">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其它约定</w:t>
      </w:r>
    </w:p>
    <w:p w14:paraId="0B80974F">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1.国家有关医疗废物的法律、法规、规范性文件若发生变更修订，甲乙双方应根据变更后的要求对本合同进行修订。</w:t>
      </w:r>
    </w:p>
    <w:p w14:paraId="554F735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2.西安市医疗废物处置收费标准发生变更时，甲乙双方应执行新的物价收费标准，甲、乙双方应重新签订《医疗废物集中处置合同》，本合同自行终止。</w:t>
      </w:r>
    </w:p>
    <w:p w14:paraId="7C7455B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3.甲方对床位使用率、费用有异议，应当在接到乙方通知后7日内以书面方式提出。</w:t>
      </w:r>
    </w:p>
    <w:p w14:paraId="1BB5AACD">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4.如果乙方违反有关法规以及未及时到甲方收运医疗废物，无理拒收医疗废物，在运送处置医疗废物过程中出现医疗废物流失、扩散，则由生态环境部门责令整改及依法处罚。</w:t>
      </w:r>
    </w:p>
    <w:p w14:paraId="512FBBB7">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七、争议的解决：</w:t>
      </w:r>
    </w:p>
    <w:p w14:paraId="739D1C8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1.本合同执行过程中未尽之事宜，应经双方共同协商，签署补充协议，补充协议和本合同具有同等法律效力。</w:t>
      </w:r>
    </w:p>
    <w:p w14:paraId="0A898B03">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2.双方在合同履行过程中产生争议应友好协商，如协商不成，报请卫健委、生态环境行政主管部门进行协调，协调不成，可以向甲方所在地人民法院提起诉讼。    </w:t>
      </w:r>
    </w:p>
    <w:p w14:paraId="7B5168DD">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八、合同生效日及有效期：</w:t>
      </w:r>
    </w:p>
    <w:p w14:paraId="7C73B66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1.本合同一式</w:t>
      </w:r>
      <w:r>
        <w:rPr>
          <w:rFonts w:hint="eastAsia" w:ascii="仿宋" w:hAnsi="仿宋" w:eastAsia="仿宋" w:cs="仿宋"/>
          <w:color w:val="auto"/>
          <w:sz w:val="30"/>
          <w:szCs w:val="30"/>
          <w:highlight w:val="none"/>
          <w:u w:val="single"/>
          <w:lang w:val="en-US" w:eastAsia="zh-CN"/>
        </w:rPr>
        <w:t xml:space="preserve"> 6 </w:t>
      </w:r>
      <w:r>
        <w:rPr>
          <w:rFonts w:hint="eastAsia" w:ascii="仿宋" w:hAnsi="仿宋" w:eastAsia="仿宋" w:cs="仿宋"/>
          <w:color w:val="auto"/>
          <w:sz w:val="30"/>
          <w:szCs w:val="30"/>
          <w:highlight w:val="none"/>
          <w:lang w:val="en-US" w:eastAsia="zh-CN"/>
        </w:rPr>
        <w:t>份，甲方执</w:t>
      </w:r>
      <w:r>
        <w:rPr>
          <w:rFonts w:hint="eastAsia" w:ascii="仿宋" w:hAnsi="仿宋" w:eastAsia="仿宋" w:cs="仿宋"/>
          <w:color w:val="auto"/>
          <w:sz w:val="30"/>
          <w:szCs w:val="30"/>
          <w:highlight w:val="none"/>
          <w:u w:val="single"/>
          <w:lang w:val="en-US" w:eastAsia="zh-CN"/>
        </w:rPr>
        <w:t xml:space="preserve"> 4 </w:t>
      </w:r>
      <w:r>
        <w:rPr>
          <w:rFonts w:hint="eastAsia" w:ascii="仿宋" w:hAnsi="仿宋" w:eastAsia="仿宋" w:cs="仿宋"/>
          <w:color w:val="auto"/>
          <w:sz w:val="30"/>
          <w:szCs w:val="30"/>
          <w:highlight w:val="none"/>
          <w:lang w:val="en-US" w:eastAsia="zh-CN"/>
        </w:rPr>
        <w:t>份，乙方</w:t>
      </w:r>
      <w:r>
        <w:rPr>
          <w:rFonts w:hint="eastAsia" w:ascii="仿宋" w:hAnsi="仿宋" w:eastAsia="仿宋" w:cs="仿宋"/>
          <w:color w:val="auto"/>
          <w:sz w:val="30"/>
          <w:szCs w:val="30"/>
          <w:highlight w:val="none"/>
          <w:u w:val="none"/>
          <w:lang w:val="en-US" w:eastAsia="zh-CN"/>
        </w:rPr>
        <w:t>执</w:t>
      </w:r>
      <w:r>
        <w:rPr>
          <w:rFonts w:hint="eastAsia" w:ascii="仿宋" w:hAnsi="仿宋" w:eastAsia="仿宋" w:cs="仿宋"/>
          <w:color w:val="auto"/>
          <w:sz w:val="30"/>
          <w:szCs w:val="30"/>
          <w:highlight w:val="none"/>
          <w:u w:val="single"/>
          <w:lang w:val="en-US" w:eastAsia="zh-CN"/>
        </w:rPr>
        <w:t xml:space="preserve"> 2 </w:t>
      </w:r>
      <w:r>
        <w:rPr>
          <w:rFonts w:hint="eastAsia" w:ascii="仿宋" w:hAnsi="仿宋" w:eastAsia="仿宋" w:cs="仿宋"/>
          <w:color w:val="auto"/>
          <w:sz w:val="30"/>
          <w:szCs w:val="30"/>
          <w:highlight w:val="none"/>
          <w:lang w:val="en-US" w:eastAsia="zh-CN"/>
        </w:rPr>
        <w:t>份，每份具有同等法律效力；经双方法定代表人或授权代表签字并加盖印章生效。</w:t>
      </w:r>
    </w:p>
    <w:p w14:paraId="32166B8C">
      <w:pPr>
        <w:keepNext w:val="0"/>
        <w:keepLines w:val="0"/>
        <w:pageBreakBefore w:val="0"/>
        <w:widowControl w:val="0"/>
        <w:shd w:val="clear"/>
        <w:kinsoku/>
        <w:wordWrap/>
        <w:overflowPunct/>
        <w:topLinePunct w:val="0"/>
        <w:autoSpaceDE/>
        <w:autoSpaceDN/>
        <w:bidi w:val="0"/>
        <w:adjustRightInd/>
        <w:snapToGrid/>
        <w:ind w:firstLine="600" w:firstLineChars="200"/>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2.</w:t>
      </w:r>
      <w:r>
        <w:rPr>
          <w:rFonts w:hint="eastAsia" w:ascii="仿宋" w:hAnsi="仿宋" w:eastAsia="仿宋"/>
          <w:b w:val="0"/>
          <w:bCs/>
          <w:color w:val="auto"/>
          <w:sz w:val="30"/>
          <w:szCs w:val="30"/>
          <w:highlight w:val="none"/>
        </w:rPr>
        <w:t>合同有效期：</w:t>
      </w:r>
    </w:p>
    <w:p w14:paraId="2531C72E">
      <w:pPr>
        <w:keepNext w:val="0"/>
        <w:keepLines w:val="0"/>
        <w:pageBreakBefore w:val="0"/>
        <w:widowControl w:val="0"/>
        <w:shd w:val="clear"/>
        <w:kinsoku/>
        <w:wordWrap/>
        <w:overflowPunct/>
        <w:topLinePunct w:val="0"/>
        <w:autoSpaceDE/>
        <w:autoSpaceDN/>
        <w:bidi w:val="0"/>
        <w:adjustRightInd/>
        <w:snapToGrid/>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 xml:space="preserve">自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r>
        <w:rPr>
          <w:rFonts w:hint="eastAsia" w:ascii="仿宋" w:hAnsi="仿宋" w:eastAsia="仿宋"/>
          <w:b w:val="0"/>
          <w:bCs/>
          <w:color w:val="auto"/>
          <w:sz w:val="30"/>
          <w:szCs w:val="30"/>
          <w:highlight w:val="none"/>
          <w:lang w:val="en-US" w:eastAsia="zh-CN"/>
        </w:rPr>
        <w:t>起</w:t>
      </w:r>
      <w:r>
        <w:rPr>
          <w:rFonts w:hint="eastAsia" w:ascii="仿宋" w:hAnsi="仿宋" w:eastAsia="仿宋"/>
          <w:b w:val="0"/>
          <w:bCs/>
          <w:color w:val="auto"/>
          <w:sz w:val="30"/>
          <w:szCs w:val="30"/>
          <w:highlight w:val="none"/>
        </w:rPr>
        <w:t>至</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p>
    <w:p w14:paraId="66251E5C">
      <w:pPr>
        <w:keepNext w:val="0"/>
        <w:keepLines w:val="0"/>
        <w:pageBreakBefore w:val="0"/>
        <w:widowControl w:val="0"/>
        <w:shd w:val="clear"/>
        <w:kinsoku/>
        <w:wordWrap/>
        <w:overflowPunct/>
        <w:topLinePunct w:val="0"/>
        <w:autoSpaceDE/>
        <w:autoSpaceDN/>
        <w:bidi w:val="0"/>
        <w:adjustRightInd/>
        <w:snapToGrid/>
        <w:textAlignment w:val="auto"/>
        <w:rPr>
          <w:rFonts w:hint="default" w:ascii="仿宋" w:hAnsi="仿宋" w:eastAsia="仿宋"/>
          <w:b w:val="0"/>
          <w:bCs/>
          <w:color w:val="auto"/>
          <w:sz w:val="30"/>
          <w:szCs w:val="30"/>
          <w:highlight w:val="none"/>
          <w:lang w:val="en-US" w:eastAsia="zh-CN"/>
        </w:rPr>
      </w:pPr>
      <w:r>
        <w:rPr>
          <w:rFonts w:hint="eastAsia" w:ascii="仿宋" w:hAnsi="仿宋" w:eastAsia="仿宋"/>
          <w:b w:val="0"/>
          <w:bCs/>
          <w:color w:val="auto"/>
          <w:sz w:val="30"/>
          <w:szCs w:val="30"/>
          <w:highlight w:val="none"/>
          <w:lang w:val="en-US" w:eastAsia="zh-CN"/>
        </w:rPr>
        <w:t>(以下无正文)</w:t>
      </w:r>
    </w:p>
    <w:p w14:paraId="6D487AF6">
      <w:pPr>
        <w:keepNext w:val="0"/>
        <w:keepLines w:val="0"/>
        <w:pageBreakBefore w:val="0"/>
        <w:shd w:val="clear"/>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p>
    <w:p w14:paraId="486D3F39">
      <w:pPr>
        <w:keepNext w:val="0"/>
        <w:keepLines w:val="0"/>
        <w:pageBreakBefore w:val="0"/>
        <w:shd w:val="clear"/>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r>
        <w:rPr>
          <w:rFonts w:hint="eastAsia" w:ascii="仿宋" w:hAnsi="仿宋" w:eastAsia="仿宋" w:cs="仿宋"/>
          <w:color w:val="auto"/>
          <w:kern w:val="24"/>
          <w:sz w:val="30"/>
          <w:szCs w:val="30"/>
          <w:highlight w:val="none"/>
          <w:lang w:eastAsia="zh-CN"/>
        </w:rPr>
        <w:t>（</w:t>
      </w:r>
      <w:r>
        <w:rPr>
          <w:rFonts w:hint="eastAsia" w:ascii="仿宋" w:hAnsi="仿宋" w:eastAsia="仿宋" w:cs="仿宋"/>
          <w:color w:val="auto"/>
          <w:kern w:val="24"/>
          <w:sz w:val="30"/>
          <w:szCs w:val="30"/>
          <w:highlight w:val="none"/>
          <w:lang w:val="en-US" w:eastAsia="zh-CN"/>
        </w:rPr>
        <w:t>以下是医废合同（编号：     ）的签署页</w:t>
      </w:r>
      <w:r>
        <w:rPr>
          <w:rFonts w:hint="eastAsia" w:ascii="仿宋" w:hAnsi="仿宋" w:eastAsia="仿宋" w:cs="仿宋"/>
          <w:color w:val="auto"/>
          <w:kern w:val="24"/>
          <w:sz w:val="30"/>
          <w:szCs w:val="30"/>
          <w:highlight w:val="none"/>
          <w:lang w:eastAsia="zh-CN"/>
        </w:rPr>
        <w:t>）</w:t>
      </w:r>
    </w:p>
    <w:p w14:paraId="10069EC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default" w:ascii="仿宋" w:hAnsi="仿宋" w:eastAsia="仿宋" w:cs="仿宋"/>
          <w:color w:val="auto"/>
          <w:kern w:val="24"/>
          <w:sz w:val="30"/>
          <w:szCs w:val="30"/>
          <w:highlight w:val="none"/>
          <w:lang w:val="en-US"/>
        </w:rPr>
      </w:pPr>
      <w:r>
        <w:rPr>
          <w:rFonts w:hint="eastAsia" w:ascii="仿宋" w:hAnsi="仿宋" w:eastAsia="仿宋" w:cs="仿宋"/>
          <w:color w:val="auto"/>
          <w:kern w:val="24"/>
          <w:sz w:val="30"/>
          <w:szCs w:val="30"/>
          <w:highlight w:val="none"/>
        </w:rPr>
        <w:t>甲方（章）：</w:t>
      </w:r>
      <w:r>
        <w:rPr>
          <w:rFonts w:hint="eastAsia" w:ascii="仿宋" w:hAnsi="仿宋" w:eastAsia="仿宋" w:cs="仿宋"/>
          <w:color w:val="auto"/>
          <w:sz w:val="30"/>
          <w:szCs w:val="30"/>
          <w:highlight w:val="none"/>
          <w:lang w:val="en-US" w:eastAsia="zh-CN"/>
        </w:rPr>
        <w:t>西安市中心医院</w:t>
      </w:r>
    </w:p>
    <w:p w14:paraId="0CCD3DCC">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法定代表人或授权代表：                   </w:t>
      </w:r>
      <w:r>
        <w:rPr>
          <w:rFonts w:hint="eastAsia" w:ascii="仿宋" w:hAnsi="仿宋" w:eastAsia="仿宋" w:cs="仿宋"/>
          <w:color w:val="auto"/>
          <w:kern w:val="24"/>
          <w:sz w:val="30"/>
          <w:szCs w:val="30"/>
          <w:highlight w:val="none"/>
          <w:lang w:val="en-US" w:eastAsia="zh-CN"/>
        </w:rPr>
        <w:t xml:space="preserve"> </w:t>
      </w:r>
    </w:p>
    <w:p w14:paraId="78FBBE74">
      <w:pPr>
        <w:keepNext w:val="0"/>
        <w:keepLines w:val="0"/>
        <w:pageBreakBefore w:val="0"/>
        <w:widowControl w:val="0"/>
        <w:shd w:val="clear"/>
        <w:tabs>
          <w:tab w:val="left" w:pos="4840"/>
          <w:tab w:val="left" w:pos="5040"/>
          <w:tab w:val="left" w:pos="5250"/>
        </w:tabs>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签订时间：                 </w:t>
      </w:r>
      <w:r>
        <w:rPr>
          <w:rFonts w:hint="eastAsia" w:ascii="仿宋" w:hAnsi="仿宋" w:eastAsia="仿宋" w:cs="仿宋"/>
          <w:color w:val="auto"/>
          <w:kern w:val="24"/>
          <w:sz w:val="30"/>
          <w:szCs w:val="30"/>
          <w:highlight w:val="none"/>
        </w:rPr>
        <w:tab/>
      </w:r>
      <w:r>
        <w:rPr>
          <w:rFonts w:hint="eastAsia" w:ascii="仿宋" w:hAnsi="仿宋" w:eastAsia="仿宋" w:cs="仿宋"/>
          <w:color w:val="auto"/>
          <w:kern w:val="24"/>
          <w:sz w:val="30"/>
          <w:szCs w:val="30"/>
          <w:highlight w:val="none"/>
        </w:rPr>
        <w:t xml:space="preserve">          </w:t>
      </w:r>
    </w:p>
    <w:p w14:paraId="315CF9FD">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电    话：</w:t>
      </w:r>
      <w:r>
        <w:rPr>
          <w:rFonts w:hint="eastAsia" w:ascii="仿宋" w:hAnsi="仿宋" w:eastAsia="仿宋" w:cs="仿宋"/>
          <w:color w:val="auto"/>
          <w:kern w:val="24"/>
          <w:sz w:val="30"/>
          <w:szCs w:val="30"/>
          <w:highlight w:val="none"/>
          <w:lang w:val="en-US" w:eastAsia="zh-CN"/>
        </w:rPr>
        <w:t>029-62812592</w:t>
      </w:r>
      <w:r>
        <w:rPr>
          <w:rFonts w:hint="eastAsia" w:ascii="仿宋" w:hAnsi="仿宋" w:eastAsia="仿宋" w:cs="仿宋"/>
          <w:color w:val="auto"/>
          <w:kern w:val="24"/>
          <w:sz w:val="30"/>
          <w:szCs w:val="30"/>
          <w:highlight w:val="none"/>
        </w:rPr>
        <w:t xml:space="preserve"> </w:t>
      </w:r>
    </w:p>
    <w:p w14:paraId="11EC9AAA">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24"/>
          <w:sz w:val="30"/>
          <w:szCs w:val="30"/>
          <w:highlight w:val="none"/>
        </w:rPr>
        <w:t>地    址：新城区西五路161号、糖坊街65号</w:t>
      </w:r>
    </w:p>
    <w:p w14:paraId="6E7B824F">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1F456E03">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01C3CFB7">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kern w:val="24"/>
          <w:sz w:val="30"/>
          <w:szCs w:val="30"/>
          <w:highlight w:val="none"/>
        </w:rPr>
        <w:t>乙方（章）：</w:t>
      </w:r>
    </w:p>
    <w:p w14:paraId="2175113E">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法定代表人或授权代表：</w:t>
      </w:r>
    </w:p>
    <w:p w14:paraId="76784E16">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 xml:space="preserve">签订时间： </w:t>
      </w:r>
    </w:p>
    <w:p w14:paraId="0AFD75F6">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电    话：</w:t>
      </w:r>
    </w:p>
    <w:p w14:paraId="091338E1">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jc w:val="left"/>
        <w:textAlignment w:val="auto"/>
        <w:rPr>
          <w:rFonts w:hint="eastAsia"/>
          <w:color w:val="auto"/>
          <w:sz w:val="32"/>
          <w:szCs w:val="32"/>
          <w:highlight w:val="none"/>
        </w:rPr>
      </w:pPr>
      <w:r>
        <w:rPr>
          <w:rFonts w:hint="eastAsia" w:ascii="仿宋" w:hAnsi="仿宋" w:eastAsia="仿宋" w:cs="仿宋"/>
          <w:color w:val="auto"/>
          <w:kern w:val="24"/>
          <w:sz w:val="30"/>
          <w:szCs w:val="30"/>
          <w:highlight w:val="none"/>
        </w:rPr>
        <w:t>地    址：</w:t>
      </w:r>
    </w:p>
    <w:p w14:paraId="1BA218C9">
      <w:pPr>
        <w:pStyle w:val="11"/>
        <w:shd w:val="clear"/>
        <w:rPr>
          <w:rFonts w:hint="eastAsia"/>
          <w:color w:val="auto"/>
          <w:highlight w:val="none"/>
          <w:lang w:val="en-US" w:eastAsia="zh-Hans"/>
        </w:rPr>
      </w:pPr>
    </w:p>
    <w:p w14:paraId="608E0D9A">
      <w:pPr>
        <w:pStyle w:val="11"/>
        <w:shd w:val="clear"/>
        <w:rPr>
          <w:rFonts w:hint="eastAsia"/>
          <w:color w:val="auto"/>
          <w:highlight w:val="none"/>
          <w:lang w:val="en-US" w:eastAsia="zh-Hans"/>
        </w:rPr>
      </w:pPr>
    </w:p>
    <w:p w14:paraId="7C2D9670">
      <w:pPr>
        <w:shd w:val="clear"/>
        <w:rPr>
          <w:rFonts w:hint="eastAsia"/>
          <w:color w:val="auto"/>
          <w:highlight w:val="none"/>
        </w:rPr>
      </w:pPr>
    </w:p>
    <w:p w14:paraId="3ABF1E01"/>
    <w:sectPr>
      <w:headerReference r:id="rId6" w:type="default"/>
      <w:footerReference r:id="rId7" w:type="default"/>
      <w:pgSz w:w="11906" w:h="16838"/>
      <w:pgMar w:top="1440" w:right="1800" w:bottom="1440" w:left="1800" w:header="284"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90FC1">
    <w:pPr>
      <w:pStyle w:val="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BDE68">
    <w:pPr>
      <w:pStyle w:val="5"/>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69F8C932">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ABA2D">
    <w:pPr>
      <w:pStyle w:val="5"/>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10D5C">
    <w:pPr>
      <w:pStyle w:val="6"/>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CB312">
    <w:pPr>
      <w:pStyle w:val="6"/>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A5000"/>
    <w:multiLevelType w:val="singleLevel"/>
    <w:tmpl w:val="FFFA500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691CCD"/>
    <w:rsid w:val="66AE3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0"/>
    <w:qFormat/>
    <w:uiPriority w:val="0"/>
    <w:pPr>
      <w:keepNext/>
      <w:keepLines/>
      <w:autoSpaceDE w:val="0"/>
      <w:autoSpaceDN w:val="0"/>
      <w:adjustRightInd w:val="0"/>
      <w:spacing w:before="240" w:after="120" w:line="300" w:lineRule="auto"/>
      <w:jc w:val="center"/>
      <w:outlineLvl w:val="0"/>
    </w:pPr>
    <w:rPr>
      <w:rFonts w:ascii="宋体" w:hAnsi="Times New Roman"/>
      <w:bCs w:val="0"/>
      <w:kern w:val="44"/>
      <w:szCs w:val="20"/>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标题 1 字符"/>
    <w:link w:val="2"/>
    <w:qFormat/>
    <w:uiPriority w:val="0"/>
    <w:rPr>
      <w:rFonts w:ascii="宋体" w:hAnsi="Times New Roman"/>
      <w:kern w:val="44"/>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3391</Words>
  <Characters>3538</Characters>
  <Lines>0</Lines>
  <Paragraphs>0</Paragraphs>
  <TotalTime>0</TotalTime>
  <ScaleCrop>false</ScaleCrop>
  <LinksUpToDate>false</LinksUpToDate>
  <CharactersWithSpaces>3776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2026-05-07T09:39:00Z</dcterms:created>
  <dc:creator>Administrator</dc:creator>
  <cp:lastModifiedBy>Administrator</cp:lastModifiedBy>
  <dcterms:modified xsi:type="dcterms:W3CDTF">2026-05-09T07:59:36Z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eyJoZGlkIjoiN2M0NTdjYmM1YjY4OGU5YTNhODc4MDEyNDYzOWU1MWQiLCJ1c2VySWQiOiIzNzA0MjM3MzgifQ==</vt:lpwstr>
  </property>
  <property fmtid="{D5CDD505-2E9C-101B-9397-08002B2CF9AE}" pid="4" name="ICV">
    <vt:lpwstr>B82C87060ABF4EA085F383398022004F_12</vt:lpwstr>
  </property>
</Properties>
</file>