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F64D6">
      <w:pPr>
        <w:pStyle w:val="7"/>
        <w:jc w:val="center"/>
        <w:outlineLvl w:val="1"/>
        <w:rPr>
          <w:rFonts w:ascii="方正仿宋_GB2312" w:hAnsi="方正仿宋_GB2312" w:eastAsia="方正仿宋_GB2312" w:cs="方正仿宋_GB2312"/>
        </w:rPr>
      </w:pPr>
      <w:r>
        <w:rPr>
          <w:rFonts w:ascii="方正仿宋_GB2312" w:hAnsi="方正仿宋_GB2312" w:eastAsia="方正仿宋_GB2312" w:cs="方正仿宋_GB2312"/>
          <w:b/>
          <w:sz w:val="36"/>
        </w:rPr>
        <w:t>拟签订采购合同文本</w:t>
      </w:r>
    </w:p>
    <w:p w14:paraId="30D5B530">
      <w:pPr>
        <w:pStyle w:val="7"/>
        <w:rPr>
          <w:rFonts w:ascii="方正仿宋_GB2312" w:hAnsi="方正仿宋_GB2312" w:eastAsia="方正仿宋_GB2312" w:cs="方正仿宋_GB2312"/>
        </w:rPr>
      </w:pPr>
      <w:r>
        <w:rPr>
          <w:rFonts w:ascii="方正仿宋_GB2312" w:hAnsi="方正仿宋_GB2312" w:eastAsia="方正仿宋_GB2312" w:cs="方正仿宋_GB2312"/>
        </w:rPr>
        <w:t>合同编号：</w:t>
      </w:r>
      <w:r>
        <w:rPr>
          <w:rFonts w:hint="eastAsia" w:ascii="方正仿宋_GB2312" w:hAnsi="方正仿宋_GB2312" w:eastAsia="方正仿宋_GB2312" w:cs="方正仿宋_GB2312"/>
          <w:lang w:val="en-US" w:eastAsia="zh-Hans" w:bidi="ar-SA"/>
        </w:rPr>
        <w:t>CT-ZB00-076-2026.1B1</w:t>
      </w:r>
    </w:p>
    <w:p w14:paraId="361800D6">
      <w:pPr>
        <w:spacing w:line="252" w:lineRule="auto"/>
        <w:rPr>
          <w:rFonts w:hint="eastAsia" w:ascii="方正仿宋_GB2312" w:hAnsi="方正仿宋_GB2312" w:eastAsia="方正仿宋_GB2312" w:cs="方正仿宋_GB2312"/>
          <w:color w:val="auto"/>
          <w:sz w:val="20"/>
          <w:szCs w:val="20"/>
          <w:lang w:eastAsia="zh-CN"/>
        </w:rPr>
      </w:pPr>
    </w:p>
    <w:p w14:paraId="426063F6">
      <w:pPr>
        <w:spacing w:line="252" w:lineRule="auto"/>
        <w:rPr>
          <w:rFonts w:hint="eastAsia" w:ascii="方正仿宋_GB2312" w:hAnsi="方正仿宋_GB2312" w:eastAsia="方正仿宋_GB2312" w:cs="方正仿宋_GB2312"/>
          <w:color w:val="auto"/>
          <w:sz w:val="20"/>
          <w:szCs w:val="20"/>
          <w:lang w:eastAsia="zh-CN"/>
        </w:rPr>
      </w:pPr>
    </w:p>
    <w:p w14:paraId="65CF952B">
      <w:pPr>
        <w:spacing w:line="252" w:lineRule="auto"/>
        <w:rPr>
          <w:rFonts w:hint="eastAsia" w:ascii="方正仿宋_GB2312" w:hAnsi="方正仿宋_GB2312" w:eastAsia="方正仿宋_GB2312" w:cs="方正仿宋_GB2312"/>
          <w:color w:val="auto"/>
          <w:sz w:val="20"/>
          <w:szCs w:val="20"/>
          <w:lang w:eastAsia="zh-CN"/>
        </w:rPr>
      </w:pPr>
      <w:bookmarkStart w:id="0" w:name="_Toc19515384"/>
    </w:p>
    <w:p w14:paraId="20D630E2">
      <w:pPr>
        <w:spacing w:line="252" w:lineRule="auto"/>
        <w:rPr>
          <w:rFonts w:hint="eastAsia" w:ascii="方正仿宋_GB2312" w:hAnsi="方正仿宋_GB2312" w:eastAsia="方正仿宋_GB2312" w:cs="方正仿宋_GB2312"/>
          <w:color w:val="auto"/>
          <w:sz w:val="20"/>
          <w:szCs w:val="20"/>
          <w:lang w:eastAsia="zh-CN"/>
        </w:rPr>
      </w:pPr>
    </w:p>
    <w:p w14:paraId="24C3E148">
      <w:pPr>
        <w:spacing w:line="252" w:lineRule="auto"/>
        <w:rPr>
          <w:rFonts w:hint="eastAsia" w:ascii="方正仿宋_GB2312" w:hAnsi="方正仿宋_GB2312" w:eastAsia="方正仿宋_GB2312" w:cs="方正仿宋_GB2312"/>
          <w:color w:val="auto"/>
          <w:sz w:val="20"/>
          <w:szCs w:val="20"/>
          <w:lang w:eastAsia="zh-CN"/>
        </w:rPr>
      </w:pPr>
    </w:p>
    <w:p w14:paraId="5EB6D3DF">
      <w:pPr>
        <w:spacing w:line="252" w:lineRule="auto"/>
        <w:jc w:val="both"/>
        <w:rPr>
          <w:rFonts w:hint="eastAsia" w:ascii="方正仿宋_GB2312" w:hAnsi="方正仿宋_GB2312" w:eastAsia="方正仿宋_GB2312" w:cs="方正仿宋_GB2312"/>
          <w:color w:val="auto"/>
          <w:sz w:val="20"/>
          <w:szCs w:val="20"/>
          <w:lang w:eastAsia="zh-CN"/>
        </w:rPr>
      </w:pPr>
    </w:p>
    <w:p w14:paraId="63593132">
      <w:pPr>
        <w:spacing w:line="252" w:lineRule="auto"/>
        <w:jc w:val="both"/>
        <w:rPr>
          <w:rFonts w:hint="eastAsia" w:ascii="方正仿宋_GB2312" w:hAnsi="方正仿宋_GB2312" w:eastAsia="方正仿宋_GB2312" w:cs="方正仿宋_GB2312"/>
          <w:color w:val="auto"/>
          <w:sz w:val="20"/>
          <w:szCs w:val="20"/>
          <w:lang w:eastAsia="zh-CN"/>
        </w:rPr>
      </w:pPr>
    </w:p>
    <w:p w14:paraId="60AF2449">
      <w:pPr>
        <w:pStyle w:val="2"/>
        <w:ind w:firstLine="506" w:firstLineChars="100"/>
        <w:jc w:val="center"/>
        <w:rPr>
          <w:rFonts w:hint="eastAsia" w:ascii="方正仿宋_GB2312" w:hAnsi="方正仿宋_GB2312" w:eastAsia="方正仿宋_GB2312" w:cs="方正仿宋_GB2312"/>
          <w:b/>
          <w:bCs/>
          <w:color w:val="auto"/>
          <w:spacing w:val="12"/>
          <w:sz w:val="48"/>
          <w:szCs w:val="48"/>
          <w:lang w:eastAsia="zh-CN"/>
        </w:rPr>
      </w:pPr>
      <w:r>
        <w:rPr>
          <w:rFonts w:hint="eastAsia" w:ascii="方正仿宋_GB2312" w:hAnsi="方正仿宋_GB2312" w:eastAsia="方正仿宋_GB2312" w:cs="方正仿宋_GB2312"/>
          <w:b/>
          <w:bCs/>
          <w:color w:val="auto"/>
          <w:spacing w:val="12"/>
          <w:sz w:val="48"/>
          <w:szCs w:val="48"/>
          <w:lang w:eastAsia="zh-CN"/>
        </w:rPr>
        <w:t>院本部食堂排烟净化器改造项目</w:t>
      </w:r>
    </w:p>
    <w:p w14:paraId="6EDACEED">
      <w:pPr>
        <w:pStyle w:val="2"/>
        <w:ind w:firstLine="506" w:firstLineChars="100"/>
        <w:jc w:val="center"/>
        <w:rPr>
          <w:rFonts w:hint="eastAsia" w:ascii="方正仿宋_GB2312" w:hAnsi="方正仿宋_GB2312" w:eastAsia="方正仿宋_GB2312" w:cs="方正仿宋_GB2312"/>
          <w:b/>
          <w:bCs/>
          <w:color w:val="auto"/>
          <w:spacing w:val="12"/>
          <w:sz w:val="48"/>
          <w:szCs w:val="48"/>
          <w:lang w:eastAsia="zh-CN"/>
        </w:rPr>
      </w:pPr>
      <w:r>
        <w:rPr>
          <w:rFonts w:hint="eastAsia" w:ascii="方正仿宋_GB2312" w:hAnsi="方正仿宋_GB2312" w:eastAsia="方正仿宋_GB2312" w:cs="方正仿宋_GB2312"/>
          <w:b/>
          <w:bCs/>
          <w:snapToGrid w:val="0"/>
          <w:color w:val="auto"/>
          <w:spacing w:val="12"/>
          <w:sz w:val="48"/>
          <w:szCs w:val="48"/>
          <w:lang w:val="en-US" w:eastAsia="zh-CN" w:bidi="ar-SA"/>
        </w:rPr>
        <w:t>(二次)</w:t>
      </w:r>
      <w:bookmarkStart w:id="9" w:name="_GoBack"/>
      <w:bookmarkEnd w:id="9"/>
      <w:r>
        <w:rPr>
          <w:rFonts w:hint="eastAsia" w:ascii="方正仿宋_GB2312" w:hAnsi="方正仿宋_GB2312" w:eastAsia="方正仿宋_GB2312" w:cs="方正仿宋_GB2312"/>
          <w:b/>
          <w:bCs/>
          <w:color w:val="auto"/>
          <w:spacing w:val="12"/>
          <w:sz w:val="48"/>
          <w:szCs w:val="48"/>
          <w:lang w:eastAsia="zh-CN"/>
        </w:rPr>
        <w:t>合同书</w:t>
      </w:r>
    </w:p>
    <w:p w14:paraId="7EE7DD99">
      <w:pPr>
        <w:spacing w:line="360" w:lineRule="auto"/>
        <w:ind w:firstLine="960" w:firstLineChars="200"/>
        <w:rPr>
          <w:rFonts w:hint="eastAsia" w:ascii="方正仿宋_GB2312" w:hAnsi="方正仿宋_GB2312" w:eastAsia="方正仿宋_GB2312" w:cs="方正仿宋_GB2312"/>
          <w:color w:val="auto"/>
          <w:sz w:val="48"/>
          <w:szCs w:val="48"/>
          <w:lang w:eastAsia="zh-CN"/>
        </w:rPr>
      </w:pPr>
    </w:p>
    <w:p w14:paraId="34856A08">
      <w:pPr>
        <w:pStyle w:val="2"/>
        <w:ind w:firstLine="400" w:firstLineChars="200"/>
        <w:rPr>
          <w:rFonts w:hint="eastAsia" w:ascii="方正仿宋_GB2312" w:hAnsi="方正仿宋_GB2312" w:eastAsia="方正仿宋_GB2312" w:cs="方正仿宋_GB2312"/>
          <w:color w:val="auto"/>
          <w:sz w:val="20"/>
          <w:szCs w:val="20"/>
          <w:lang w:eastAsia="zh-CN"/>
        </w:rPr>
      </w:pPr>
    </w:p>
    <w:p w14:paraId="5F0EFD32">
      <w:pPr>
        <w:spacing w:line="360" w:lineRule="auto"/>
        <w:rPr>
          <w:rFonts w:hint="eastAsia" w:ascii="方正仿宋_GB2312" w:hAnsi="方正仿宋_GB2312" w:eastAsia="方正仿宋_GB2312" w:cs="方正仿宋_GB2312"/>
          <w:color w:val="auto"/>
          <w:sz w:val="20"/>
          <w:szCs w:val="20"/>
          <w:lang w:eastAsia="zh-CN"/>
        </w:rPr>
      </w:pPr>
    </w:p>
    <w:p w14:paraId="2FD53626">
      <w:pPr>
        <w:spacing w:line="360" w:lineRule="auto"/>
        <w:ind w:firstLine="420" w:firstLineChars="200"/>
        <w:rPr>
          <w:rFonts w:hint="eastAsia" w:ascii="方正仿宋_GB2312" w:hAnsi="方正仿宋_GB2312" w:eastAsia="方正仿宋_GB2312" w:cs="方正仿宋_GB2312"/>
          <w:color w:val="auto"/>
          <w:lang w:eastAsia="zh-CN"/>
        </w:rPr>
      </w:pPr>
    </w:p>
    <w:p w14:paraId="5CBC9ECB">
      <w:pPr>
        <w:pStyle w:val="2"/>
        <w:ind w:firstLine="636" w:firstLineChars="300"/>
        <w:rPr>
          <w:rFonts w:hint="eastAsia" w:ascii="方正仿宋_GB2312" w:hAnsi="方正仿宋_GB2312" w:eastAsia="方正仿宋_GB2312" w:cs="方正仿宋_GB2312"/>
          <w:color w:val="auto"/>
          <w:spacing w:val="1"/>
          <w:u w:val="single"/>
          <w:lang w:eastAsia="zh-CN"/>
        </w:rPr>
      </w:pPr>
      <w:r>
        <w:rPr>
          <w:rFonts w:hint="eastAsia" w:ascii="方正仿宋_GB2312" w:hAnsi="方正仿宋_GB2312" w:eastAsia="方正仿宋_GB2312" w:cs="方正仿宋_GB2312"/>
          <w:color w:val="auto"/>
          <w:spacing w:val="1"/>
          <w:lang w:eastAsia="zh-CN"/>
        </w:rPr>
        <w:t>项  目  名  称：</w:t>
      </w:r>
      <w:r>
        <w:rPr>
          <w:rFonts w:hint="eastAsia" w:ascii="方正仿宋_GB2312" w:hAnsi="方正仿宋_GB2312" w:eastAsia="方正仿宋_GB2312" w:cs="方正仿宋_GB2312"/>
          <w:color w:val="auto"/>
          <w:spacing w:val="1"/>
          <w:u w:val="single"/>
          <w:lang w:eastAsia="zh-CN"/>
        </w:rPr>
        <w:t xml:space="preserve">                               </w:t>
      </w:r>
    </w:p>
    <w:p w14:paraId="39413A84">
      <w:pPr>
        <w:pStyle w:val="2"/>
        <w:ind w:firstLine="424" w:firstLineChars="200"/>
        <w:rPr>
          <w:rFonts w:hint="eastAsia" w:ascii="方正仿宋_GB2312" w:hAnsi="方正仿宋_GB2312" w:eastAsia="方正仿宋_GB2312" w:cs="方正仿宋_GB2312"/>
          <w:color w:val="auto"/>
          <w:spacing w:val="1"/>
          <w:lang w:eastAsia="zh-CN"/>
        </w:rPr>
      </w:pPr>
    </w:p>
    <w:p w14:paraId="5CB5C395">
      <w:pPr>
        <w:pStyle w:val="2"/>
        <w:ind w:firstLine="636" w:firstLineChars="300"/>
        <w:rPr>
          <w:rFonts w:hint="eastAsia" w:ascii="方正仿宋_GB2312" w:hAnsi="方正仿宋_GB2312" w:eastAsia="方正仿宋_GB2312" w:cs="方正仿宋_GB2312"/>
          <w:color w:val="auto"/>
          <w:spacing w:val="1"/>
          <w:lang w:eastAsia="zh-CN"/>
        </w:rPr>
      </w:pPr>
      <w:r>
        <w:rPr>
          <w:rFonts w:hint="eastAsia" w:ascii="方正仿宋_GB2312" w:hAnsi="方正仿宋_GB2312" w:eastAsia="方正仿宋_GB2312" w:cs="方正仿宋_GB2312"/>
          <w:color w:val="auto"/>
          <w:spacing w:val="1"/>
          <w:lang w:eastAsia="zh-CN"/>
        </w:rPr>
        <w:t>委托方（采购人） ：</w:t>
      </w:r>
      <w:r>
        <w:rPr>
          <w:rFonts w:hint="eastAsia" w:ascii="方正仿宋_GB2312" w:hAnsi="方正仿宋_GB2312" w:eastAsia="方正仿宋_GB2312" w:cs="方正仿宋_GB2312"/>
          <w:color w:val="auto"/>
          <w:spacing w:val="1"/>
          <w:u w:val="single"/>
          <w:lang w:eastAsia="zh-CN"/>
        </w:rPr>
        <w:t xml:space="preserve">                            </w:t>
      </w:r>
    </w:p>
    <w:p w14:paraId="58CA7E0C">
      <w:pPr>
        <w:pStyle w:val="2"/>
        <w:ind w:firstLine="424" w:firstLineChars="200"/>
        <w:rPr>
          <w:rFonts w:hint="eastAsia" w:ascii="方正仿宋_GB2312" w:hAnsi="方正仿宋_GB2312" w:eastAsia="方正仿宋_GB2312" w:cs="方正仿宋_GB2312"/>
          <w:color w:val="auto"/>
          <w:spacing w:val="1"/>
          <w:lang w:eastAsia="zh-CN"/>
        </w:rPr>
      </w:pPr>
    </w:p>
    <w:p w14:paraId="66BE2501">
      <w:pPr>
        <w:pStyle w:val="2"/>
        <w:ind w:firstLine="636" w:firstLineChars="300"/>
        <w:rPr>
          <w:rFonts w:hint="eastAsia" w:ascii="方正仿宋_GB2312" w:hAnsi="方正仿宋_GB2312" w:eastAsia="方正仿宋_GB2312" w:cs="方正仿宋_GB2312"/>
          <w:color w:val="auto"/>
          <w:spacing w:val="1"/>
          <w:lang w:eastAsia="zh-CN"/>
        </w:rPr>
      </w:pPr>
      <w:r>
        <w:rPr>
          <w:rFonts w:hint="eastAsia" w:ascii="方正仿宋_GB2312" w:hAnsi="方正仿宋_GB2312" w:eastAsia="方正仿宋_GB2312" w:cs="方正仿宋_GB2312"/>
          <w:color w:val="auto"/>
          <w:spacing w:val="1"/>
          <w:lang w:eastAsia="zh-CN"/>
        </w:rPr>
        <w:t>受托方（供应商） ：</w:t>
      </w:r>
      <w:r>
        <w:rPr>
          <w:rFonts w:hint="eastAsia" w:ascii="方正仿宋_GB2312" w:hAnsi="方正仿宋_GB2312" w:eastAsia="方正仿宋_GB2312" w:cs="方正仿宋_GB2312"/>
          <w:color w:val="auto"/>
          <w:spacing w:val="1"/>
          <w:u w:val="single"/>
          <w:lang w:eastAsia="zh-CN"/>
        </w:rPr>
        <w:t xml:space="preserve">                            </w:t>
      </w:r>
      <w:r>
        <w:rPr>
          <w:rFonts w:hint="eastAsia" w:ascii="方正仿宋_GB2312" w:hAnsi="方正仿宋_GB2312" w:eastAsia="方正仿宋_GB2312" w:cs="方正仿宋_GB2312"/>
          <w:color w:val="auto"/>
          <w:spacing w:val="1"/>
          <w:lang w:eastAsia="zh-CN"/>
        </w:rPr>
        <w:t xml:space="preserve"> </w:t>
      </w:r>
    </w:p>
    <w:p w14:paraId="022B296F">
      <w:pPr>
        <w:spacing w:line="360" w:lineRule="auto"/>
        <w:ind w:firstLine="424" w:firstLineChars="200"/>
        <w:rPr>
          <w:rFonts w:hint="eastAsia" w:ascii="方正仿宋_GB2312" w:hAnsi="方正仿宋_GB2312" w:eastAsia="方正仿宋_GB2312" w:cs="方正仿宋_GB2312"/>
          <w:color w:val="auto"/>
          <w:spacing w:val="1"/>
          <w:lang w:eastAsia="zh-CN"/>
        </w:rPr>
      </w:pPr>
      <w:r>
        <w:rPr>
          <w:rFonts w:hint="eastAsia" w:ascii="方正仿宋_GB2312" w:hAnsi="方正仿宋_GB2312" w:eastAsia="方正仿宋_GB2312" w:cs="方正仿宋_GB2312"/>
          <w:color w:val="auto"/>
          <w:spacing w:val="1"/>
          <w:lang w:eastAsia="zh-CN"/>
        </w:rPr>
        <w:t xml:space="preserve"> </w:t>
      </w:r>
    </w:p>
    <w:p w14:paraId="1AD3491F">
      <w:pPr>
        <w:pStyle w:val="2"/>
        <w:ind w:firstLine="636" w:firstLineChars="300"/>
        <w:rPr>
          <w:rFonts w:hint="eastAsia" w:ascii="方正仿宋_GB2312" w:hAnsi="方正仿宋_GB2312" w:eastAsia="方正仿宋_GB2312" w:cs="方正仿宋_GB2312"/>
          <w:color w:val="auto"/>
          <w:spacing w:val="1"/>
          <w:u w:val="single"/>
          <w:lang w:eastAsia="zh-CN"/>
        </w:rPr>
      </w:pPr>
      <w:r>
        <w:rPr>
          <w:rFonts w:hint="eastAsia" w:ascii="方正仿宋_GB2312" w:hAnsi="方正仿宋_GB2312" w:eastAsia="方正仿宋_GB2312" w:cs="方正仿宋_GB2312"/>
          <w:color w:val="auto"/>
          <w:spacing w:val="1"/>
          <w:lang w:eastAsia="zh-CN"/>
        </w:rPr>
        <w:t>签  订  日  期 ：</w:t>
      </w:r>
      <w:r>
        <w:rPr>
          <w:rFonts w:hint="eastAsia" w:ascii="方正仿宋_GB2312" w:hAnsi="方正仿宋_GB2312" w:eastAsia="方正仿宋_GB2312" w:cs="方正仿宋_GB2312"/>
          <w:color w:val="auto"/>
          <w:spacing w:val="1"/>
          <w:u w:val="single"/>
          <w:lang w:eastAsia="zh-CN"/>
        </w:rPr>
        <w:t xml:space="preserve">                             </w:t>
      </w:r>
    </w:p>
    <w:p w14:paraId="69B89503">
      <w:pPr>
        <w:spacing w:line="360" w:lineRule="auto"/>
        <w:ind w:firstLine="424" w:firstLineChars="200"/>
        <w:rPr>
          <w:rFonts w:hint="eastAsia" w:ascii="方正仿宋_GB2312" w:hAnsi="方正仿宋_GB2312" w:eastAsia="方正仿宋_GB2312" w:cs="方正仿宋_GB2312"/>
          <w:color w:val="auto"/>
          <w:spacing w:val="1"/>
          <w:lang w:eastAsia="zh-CN"/>
        </w:rPr>
      </w:pPr>
    </w:p>
    <w:p w14:paraId="5C8E36F4">
      <w:pPr>
        <w:pStyle w:val="2"/>
        <w:ind w:firstLine="636" w:firstLineChars="300"/>
        <w:rPr>
          <w:rFonts w:hint="eastAsia" w:ascii="方正仿宋_GB2312" w:hAnsi="方正仿宋_GB2312" w:eastAsia="方正仿宋_GB2312" w:cs="方正仿宋_GB2312"/>
          <w:color w:val="auto"/>
          <w:spacing w:val="1"/>
          <w:u w:val="single"/>
          <w:lang w:eastAsia="zh-CN"/>
        </w:rPr>
      </w:pPr>
      <w:r>
        <w:rPr>
          <w:rFonts w:hint="eastAsia" w:ascii="方正仿宋_GB2312" w:hAnsi="方正仿宋_GB2312" w:eastAsia="方正仿宋_GB2312" w:cs="方正仿宋_GB2312"/>
          <w:color w:val="auto"/>
          <w:spacing w:val="1"/>
          <w:lang w:eastAsia="zh-CN"/>
        </w:rPr>
        <w:t>签  订  地  点 ：</w:t>
      </w:r>
      <w:r>
        <w:rPr>
          <w:rFonts w:hint="eastAsia" w:ascii="方正仿宋_GB2312" w:hAnsi="方正仿宋_GB2312" w:eastAsia="方正仿宋_GB2312" w:cs="方正仿宋_GB2312"/>
          <w:color w:val="auto"/>
          <w:spacing w:val="1"/>
          <w:u w:val="single"/>
          <w:lang w:eastAsia="zh-CN"/>
        </w:rPr>
        <w:t xml:space="preserve">                             </w:t>
      </w:r>
    </w:p>
    <w:p w14:paraId="2B201989">
      <w:pPr>
        <w:spacing w:line="360" w:lineRule="auto"/>
        <w:ind w:firstLine="402" w:firstLineChars="200"/>
        <w:rPr>
          <w:rFonts w:hint="eastAsia" w:ascii="方正仿宋_GB2312" w:hAnsi="方正仿宋_GB2312" w:eastAsia="方正仿宋_GB2312" w:cs="方正仿宋_GB2312"/>
          <w:b/>
          <w:bCs/>
          <w:color w:val="auto"/>
          <w:sz w:val="20"/>
          <w:szCs w:val="20"/>
          <w:lang w:eastAsia="zh-CN"/>
        </w:rPr>
        <w:sectPr>
          <w:footerReference r:id="rId5" w:type="first"/>
          <w:footerReference r:id="rId3" w:type="default"/>
          <w:footerReference r:id="rId4" w:type="even"/>
          <w:pgSz w:w="12070" w:h="16950"/>
          <w:pgMar w:top="1440" w:right="1803" w:bottom="1440" w:left="1803" w:header="0" w:footer="898" w:gutter="0"/>
          <w:cols w:space="720" w:num="1"/>
          <w:formProt w:val="0"/>
          <w:docGrid w:linePitch="312" w:charSpace="0"/>
        </w:sectPr>
      </w:pPr>
    </w:p>
    <w:bookmarkEnd w:id="0"/>
    <w:p w14:paraId="237D572B">
      <w:pPr>
        <w:tabs>
          <w:tab w:val="left" w:pos="735"/>
        </w:tabs>
        <w:spacing w:before="312" w:beforeLines="100" w:line="360" w:lineRule="auto"/>
        <w:rPr>
          <w:rFonts w:hint="eastAsia" w:ascii="方正仿宋_GB2312" w:hAnsi="方正仿宋_GB2312" w:eastAsia="方正仿宋_GB2312" w:cs="方正仿宋_GB2312"/>
          <w:b/>
          <w:bCs/>
          <w:sz w:val="20"/>
          <w:szCs w:val="20"/>
          <w:lang w:val="zh-CN" w:eastAsia="zh-CN"/>
        </w:rPr>
      </w:pPr>
      <w:r>
        <w:rPr>
          <w:rFonts w:hint="eastAsia" w:ascii="方正仿宋_GB2312" w:hAnsi="方正仿宋_GB2312" w:eastAsia="方正仿宋_GB2312" w:cs="方正仿宋_GB2312"/>
          <w:b/>
          <w:bCs/>
          <w:sz w:val="20"/>
          <w:szCs w:val="20"/>
          <w:lang w:val="zh-CN" w:eastAsia="zh-CN"/>
        </w:rPr>
        <w:t>采购人：</w:t>
      </w:r>
      <w:r>
        <w:rPr>
          <w:rFonts w:hint="eastAsia" w:ascii="方正仿宋_GB2312" w:hAnsi="方正仿宋_GB2312" w:eastAsia="方正仿宋_GB2312" w:cs="方正仿宋_GB2312"/>
          <w:bCs/>
          <w:sz w:val="20"/>
          <w:szCs w:val="20"/>
          <w:lang w:val="zh-CN" w:eastAsia="zh-CN"/>
        </w:rPr>
        <w:t>（前款所称采购人）     住所：</w:t>
      </w:r>
    </w:p>
    <w:p w14:paraId="1A41EC83">
      <w:pPr>
        <w:tabs>
          <w:tab w:val="left" w:pos="735"/>
        </w:tabs>
        <w:spacing w:line="360" w:lineRule="auto"/>
        <w:rPr>
          <w:rFonts w:hint="eastAsia" w:ascii="方正仿宋_GB2312" w:hAnsi="方正仿宋_GB2312" w:eastAsia="方正仿宋_GB2312" w:cs="方正仿宋_GB2312"/>
          <w:bCs/>
          <w:sz w:val="20"/>
          <w:szCs w:val="20"/>
          <w:lang w:val="zh-CN" w:eastAsia="zh-CN"/>
        </w:rPr>
      </w:pPr>
      <w:r>
        <w:rPr>
          <w:rFonts w:hint="eastAsia" w:ascii="方正仿宋_GB2312" w:hAnsi="方正仿宋_GB2312" w:eastAsia="方正仿宋_GB2312" w:cs="方正仿宋_GB2312"/>
          <w:b/>
          <w:bCs/>
          <w:sz w:val="20"/>
          <w:szCs w:val="20"/>
          <w:lang w:eastAsia="zh-CN"/>
        </w:rPr>
        <w:t>供应商</w:t>
      </w:r>
      <w:r>
        <w:rPr>
          <w:rFonts w:hint="eastAsia" w:ascii="方正仿宋_GB2312" w:hAnsi="方正仿宋_GB2312" w:eastAsia="方正仿宋_GB2312" w:cs="方正仿宋_GB2312"/>
          <w:b/>
          <w:bCs/>
          <w:sz w:val="20"/>
          <w:szCs w:val="20"/>
          <w:lang w:val="zh-CN" w:eastAsia="zh-CN"/>
        </w:rPr>
        <w:t>：</w:t>
      </w:r>
      <w:r>
        <w:rPr>
          <w:rFonts w:hint="eastAsia" w:ascii="方正仿宋_GB2312" w:hAnsi="方正仿宋_GB2312" w:eastAsia="方正仿宋_GB2312" w:cs="方正仿宋_GB2312"/>
          <w:bCs/>
          <w:sz w:val="20"/>
          <w:szCs w:val="20"/>
          <w:lang w:val="zh-CN" w:eastAsia="zh-CN"/>
        </w:rPr>
        <w:t>（前款所称中标人）     住所：</w:t>
      </w:r>
    </w:p>
    <w:p w14:paraId="175A6C4E">
      <w:pPr>
        <w:pStyle w:val="2"/>
        <w:tabs>
          <w:tab w:val="left" w:pos="567"/>
        </w:tabs>
        <w:rPr>
          <w:rFonts w:hint="eastAsia" w:ascii="方正仿宋_GB2312" w:hAnsi="方正仿宋_GB2312" w:eastAsia="方正仿宋_GB2312" w:cs="方正仿宋_GB2312"/>
          <w:sz w:val="20"/>
          <w:szCs w:val="20"/>
          <w:lang w:val="zh-CN" w:eastAsia="zh-CN"/>
        </w:rPr>
      </w:pPr>
    </w:p>
    <w:p w14:paraId="1EB23D86">
      <w:pPr>
        <w:spacing w:line="360" w:lineRule="auto"/>
        <w:ind w:firstLine="402"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b/>
          <w:bCs/>
          <w:sz w:val="20"/>
          <w:szCs w:val="20"/>
          <w:lang w:eastAsia="zh-CN"/>
        </w:rPr>
        <w:t>一、合同内容</w:t>
      </w:r>
      <w:r>
        <w:rPr>
          <w:rFonts w:hint="eastAsia" w:ascii="方正仿宋_GB2312" w:hAnsi="方正仿宋_GB2312" w:eastAsia="方正仿宋_GB2312" w:cs="方正仿宋_GB2312"/>
          <w:sz w:val="20"/>
          <w:szCs w:val="20"/>
          <w:lang w:eastAsia="zh-CN"/>
        </w:rPr>
        <w:t>（标的、数量、质量等）:详见谈判文件第三章。</w:t>
      </w:r>
    </w:p>
    <w:p w14:paraId="19FA28DB">
      <w:pPr>
        <w:spacing w:line="360" w:lineRule="auto"/>
        <w:ind w:firstLine="402" w:firstLineChars="200"/>
        <w:rPr>
          <w:rFonts w:hint="eastAsia" w:ascii="方正仿宋_GB2312" w:hAnsi="方正仿宋_GB2312" w:eastAsia="方正仿宋_GB2312" w:cs="方正仿宋_GB2312"/>
          <w:b/>
          <w:bCs/>
          <w:sz w:val="20"/>
          <w:szCs w:val="20"/>
          <w:lang w:eastAsia="zh-CN"/>
        </w:rPr>
      </w:pPr>
      <w:bookmarkStart w:id="1" w:name="_Toc19515385"/>
      <w:r>
        <w:rPr>
          <w:rFonts w:hint="eastAsia" w:ascii="方正仿宋_GB2312" w:hAnsi="方正仿宋_GB2312" w:eastAsia="方正仿宋_GB2312" w:cs="方正仿宋_GB2312"/>
          <w:b/>
          <w:bCs/>
          <w:sz w:val="20"/>
          <w:szCs w:val="20"/>
          <w:lang w:eastAsia="zh-CN"/>
        </w:rPr>
        <w:t>二、合同价款</w:t>
      </w:r>
      <w:bookmarkEnd w:id="1"/>
    </w:p>
    <w:p w14:paraId="6E3AB48F">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1、合同总价：</w:t>
      </w:r>
    </w:p>
    <w:p w14:paraId="404CA997">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2、合同总价包括：</w:t>
      </w:r>
    </w:p>
    <w:p w14:paraId="0777D006">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3、合同为固定总价合同，不受市场价变化的影响。</w:t>
      </w:r>
    </w:p>
    <w:p w14:paraId="4402DC6A">
      <w:pPr>
        <w:spacing w:line="360" w:lineRule="auto"/>
        <w:ind w:firstLine="402" w:firstLineChars="200"/>
        <w:rPr>
          <w:rFonts w:hint="eastAsia" w:ascii="方正仿宋_GB2312" w:hAnsi="方正仿宋_GB2312" w:eastAsia="方正仿宋_GB2312" w:cs="方正仿宋_GB2312"/>
          <w:b/>
          <w:bCs/>
          <w:sz w:val="20"/>
          <w:szCs w:val="20"/>
          <w:lang w:eastAsia="zh-CN"/>
        </w:rPr>
      </w:pPr>
      <w:bookmarkStart w:id="2" w:name="_Toc19515386"/>
      <w:r>
        <w:rPr>
          <w:rFonts w:hint="eastAsia" w:ascii="方正仿宋_GB2312" w:hAnsi="方正仿宋_GB2312" w:eastAsia="方正仿宋_GB2312" w:cs="方正仿宋_GB2312"/>
          <w:b/>
          <w:bCs/>
          <w:sz w:val="20"/>
          <w:szCs w:val="20"/>
          <w:lang w:eastAsia="zh-CN"/>
        </w:rPr>
        <w:t>三、合同结算</w:t>
      </w:r>
      <w:bookmarkEnd w:id="2"/>
    </w:p>
    <w:p w14:paraId="3E01908A">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1、付款比例：</w:t>
      </w:r>
    </w:p>
    <w:p w14:paraId="3D0FB141">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验收合格后一个月内转账支付合同总价款。</w:t>
      </w:r>
    </w:p>
    <w:p w14:paraId="59201B0A">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2、结算方式：银行转账。</w:t>
      </w:r>
    </w:p>
    <w:p w14:paraId="54E2332A">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3、结算单位：由</w:t>
      </w:r>
      <w:r>
        <w:rPr>
          <w:rFonts w:hint="eastAsia" w:ascii="方正仿宋_GB2312" w:hAnsi="方正仿宋_GB2312" w:eastAsia="方正仿宋_GB2312" w:cs="方正仿宋_GB2312"/>
          <w:sz w:val="20"/>
          <w:szCs w:val="20"/>
          <w:u w:val="single"/>
          <w:lang w:eastAsia="zh-CN"/>
        </w:rPr>
        <w:t xml:space="preserve"> 采购人 </w:t>
      </w:r>
      <w:r>
        <w:rPr>
          <w:rFonts w:hint="eastAsia" w:ascii="方正仿宋_GB2312" w:hAnsi="方正仿宋_GB2312" w:eastAsia="方正仿宋_GB2312" w:cs="方正仿宋_GB2312"/>
          <w:sz w:val="20"/>
          <w:szCs w:val="20"/>
          <w:lang w:eastAsia="zh-CN"/>
        </w:rPr>
        <w:t>负责结算，供应商开具合同总价数的全额发票交采购人。</w:t>
      </w:r>
    </w:p>
    <w:p w14:paraId="06830E59">
      <w:pPr>
        <w:spacing w:line="360" w:lineRule="auto"/>
        <w:ind w:firstLine="402" w:firstLineChars="200"/>
        <w:rPr>
          <w:rFonts w:hint="eastAsia" w:ascii="方正仿宋_GB2312" w:hAnsi="方正仿宋_GB2312" w:eastAsia="方正仿宋_GB2312" w:cs="方正仿宋_GB2312"/>
          <w:b/>
          <w:bCs/>
          <w:sz w:val="20"/>
          <w:szCs w:val="20"/>
          <w:lang w:eastAsia="zh-CN"/>
        </w:rPr>
      </w:pPr>
      <w:bookmarkStart w:id="3" w:name="_Toc19515387"/>
      <w:r>
        <w:rPr>
          <w:rFonts w:hint="eastAsia" w:ascii="方正仿宋_GB2312" w:hAnsi="方正仿宋_GB2312" w:eastAsia="方正仿宋_GB2312" w:cs="方正仿宋_GB2312"/>
          <w:b/>
          <w:bCs/>
          <w:sz w:val="20"/>
          <w:szCs w:val="20"/>
          <w:lang w:eastAsia="zh-CN"/>
        </w:rPr>
        <w:t>四、履行期限、地点及方式:</w:t>
      </w:r>
      <w:bookmarkEnd w:id="3"/>
    </w:p>
    <w:p w14:paraId="7FADF831">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1.交 货 期：自合同签订之日起30个日历日内完成全部项目内容，按照发标方验收程序验收合格后付款。</w:t>
      </w:r>
    </w:p>
    <w:p w14:paraId="6EA621F1">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2.交货地点：西安职业技术学院指定地点</w:t>
      </w:r>
    </w:p>
    <w:p w14:paraId="341DE77F">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3.质量标准：符合国家相关验收规范“合格”标准。</w:t>
      </w:r>
    </w:p>
    <w:p w14:paraId="6B954746">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4.质 保 期：</w:t>
      </w:r>
      <w:r>
        <w:rPr>
          <w:rFonts w:hint="eastAsia" w:ascii="方正仿宋_GB2312" w:hAnsi="方正仿宋_GB2312" w:eastAsia="方正仿宋_GB2312" w:cs="方正仿宋_GB2312"/>
          <w:sz w:val="20"/>
          <w:szCs w:val="20"/>
          <w:lang w:val="en-US" w:eastAsia="zh-CN"/>
        </w:rPr>
        <w:t>五</w:t>
      </w:r>
      <w:r>
        <w:rPr>
          <w:rFonts w:hint="eastAsia" w:ascii="方正仿宋_GB2312" w:hAnsi="方正仿宋_GB2312" w:eastAsia="方正仿宋_GB2312" w:cs="方正仿宋_GB2312"/>
          <w:sz w:val="20"/>
          <w:szCs w:val="20"/>
          <w:lang w:eastAsia="zh-CN"/>
        </w:rPr>
        <w:t>年。</w:t>
      </w:r>
    </w:p>
    <w:p w14:paraId="627F22C8">
      <w:pPr>
        <w:spacing w:line="360" w:lineRule="auto"/>
        <w:ind w:firstLine="402" w:firstLineChars="200"/>
        <w:rPr>
          <w:rFonts w:hint="eastAsia" w:ascii="方正仿宋_GB2312" w:hAnsi="方正仿宋_GB2312" w:eastAsia="方正仿宋_GB2312" w:cs="方正仿宋_GB2312"/>
          <w:b/>
          <w:bCs/>
          <w:sz w:val="20"/>
          <w:szCs w:val="20"/>
          <w:lang w:eastAsia="zh-CN"/>
        </w:rPr>
      </w:pPr>
      <w:r>
        <w:rPr>
          <w:rFonts w:hint="eastAsia" w:ascii="方正仿宋_GB2312" w:hAnsi="方正仿宋_GB2312" w:eastAsia="方正仿宋_GB2312" w:cs="方正仿宋_GB2312"/>
          <w:b/>
          <w:bCs/>
          <w:sz w:val="20"/>
          <w:szCs w:val="20"/>
          <w:lang w:eastAsia="zh-CN"/>
        </w:rPr>
        <w:t>五、运输</w:t>
      </w:r>
    </w:p>
    <w:p w14:paraId="59D73461">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1、供应商负责所有货物的运输。确保货物安全、完整到达使用地点，运杂费用包含在总价内，包括货物从供货地点到使用地点的运输费、保险费、搬运费等。</w:t>
      </w:r>
    </w:p>
    <w:p w14:paraId="3515FB79">
      <w:pPr>
        <w:numPr>
          <w:ilvl w:val="0"/>
          <w:numId w:val="1"/>
        </w:num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所有货物在运输、搬运、安装的过程中，造成采购人损失的，由供应商为采购人修复或更新。</w:t>
      </w:r>
    </w:p>
    <w:p w14:paraId="530F190B">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3、包装：应采取防潮、防晒、防腐蚀、防震动及防止其它损坏的必要措施。中标投标人应承担由于其包装或防护措施不妥而引起的货物锈蚀、损坏和丢失等任何损失造成的责任或费用；</w:t>
      </w:r>
    </w:p>
    <w:p w14:paraId="2DA9F796">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4、运输：选择运输风险小、运费低、距离短的运输路线。运杂费一次包死在投标报价内，包括生产厂到交货地所需的装卸、运输（含保险费）、现场保管费、二次倒运费、吊装费等费用。</w:t>
      </w:r>
    </w:p>
    <w:p w14:paraId="2B5FA50F">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5、安装、调试：供应商负责所有货物的安装、调试工作，所有费用一次包死在投标报价内。</w:t>
      </w:r>
    </w:p>
    <w:p w14:paraId="6160CA38">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6、培训：当产品验收合格后，中标投标人应对维护人员进行培训（包括设备基本结构、性能、主要部件的构造及处理，日常使用操作、保养与管理、常见故障的排除、紧急情况的处理等），并制作培训教材以便使用，培训所发生的一切费用由中标单位提供。</w:t>
      </w:r>
    </w:p>
    <w:p w14:paraId="4149C307">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7、项目完成后，供应商应将项目有关的全部资料，包括产品资料、技术文档、安装部署手册、运行维护手册等移交采购方。</w:t>
      </w:r>
    </w:p>
    <w:p w14:paraId="5027AFDA">
      <w:pPr>
        <w:spacing w:line="360" w:lineRule="auto"/>
        <w:ind w:firstLine="402" w:firstLineChars="200"/>
        <w:rPr>
          <w:rFonts w:hint="eastAsia" w:ascii="方正仿宋_GB2312" w:hAnsi="方正仿宋_GB2312" w:eastAsia="方正仿宋_GB2312" w:cs="方正仿宋_GB2312"/>
          <w:b/>
          <w:bCs/>
          <w:sz w:val="20"/>
          <w:szCs w:val="20"/>
          <w:lang w:eastAsia="zh-CN"/>
        </w:rPr>
      </w:pPr>
      <w:bookmarkStart w:id="4" w:name="_Toc19515391"/>
      <w:r>
        <w:rPr>
          <w:rFonts w:hint="eastAsia" w:ascii="方正仿宋_GB2312" w:hAnsi="方正仿宋_GB2312" w:eastAsia="方正仿宋_GB2312" w:cs="方正仿宋_GB2312"/>
          <w:b/>
          <w:bCs/>
          <w:sz w:val="20"/>
          <w:szCs w:val="20"/>
          <w:lang w:eastAsia="zh-CN"/>
        </w:rPr>
        <w:t xml:space="preserve">六、质量保证 </w:t>
      </w:r>
    </w:p>
    <w:p w14:paraId="4FAC4446">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1、产品应是原装正品，符合国家质量检测标准。</w:t>
      </w:r>
    </w:p>
    <w:p w14:paraId="7BF36211">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2、供应商须提供全新的、未使用过的合格正品货物（含说明等），完全符合合同规定的质量、规格和性能的要求。</w:t>
      </w:r>
    </w:p>
    <w:p w14:paraId="530C06E4">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3、供应商提供的节能和环保产品必须是列入节能、环保标志产品品目清单中的产品。</w:t>
      </w:r>
    </w:p>
    <w:p w14:paraId="679AE6EC">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4、质量标准按照最新颁布的国家标准、行业标准或制造商企业标准确定，上述标准不一致的，以严格标准为准。</w:t>
      </w:r>
    </w:p>
    <w:p w14:paraId="1E0E7172">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5、货物制造质量出现问题，供应商应负责三包（包修、包换、包退），费用由供应商负担，采购方有权到供应商生产场地检查货物质量和生产进度。</w:t>
      </w:r>
    </w:p>
    <w:p w14:paraId="2BD20338">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6、环保要求：符合国家安全环保标准、国家有关产品质量认证标准。没有国家标准的，采用该产品有关行业标准（取较高标准）。</w:t>
      </w:r>
    </w:p>
    <w:p w14:paraId="338AB612">
      <w:pPr>
        <w:pStyle w:val="2"/>
        <w:ind w:firstLine="400" w:firstLineChars="200"/>
        <w:rPr>
          <w:rFonts w:hint="eastAsia" w:ascii="方正仿宋_GB2312" w:hAnsi="方正仿宋_GB2312" w:eastAsia="方正仿宋_GB2312" w:cs="方正仿宋_GB2312"/>
          <w:kern w:val="2"/>
          <w:sz w:val="20"/>
          <w:szCs w:val="20"/>
          <w:lang w:eastAsia="zh-CN"/>
        </w:rPr>
      </w:pPr>
      <w:r>
        <w:rPr>
          <w:rFonts w:hint="eastAsia" w:ascii="方正仿宋_GB2312" w:hAnsi="方正仿宋_GB2312" w:eastAsia="方正仿宋_GB2312" w:cs="方正仿宋_GB2312"/>
          <w:kern w:val="2"/>
          <w:sz w:val="20"/>
          <w:szCs w:val="20"/>
          <w:lang w:eastAsia="zh-CN"/>
        </w:rPr>
        <w:t>7.所有产品质量符合国家有关规范和相关政策。所有设备及辅材必须是未使用过的新产品，质量优良、渠道正当，配置合理。</w:t>
      </w:r>
    </w:p>
    <w:p w14:paraId="506AD4F2">
      <w:pPr>
        <w:pStyle w:val="2"/>
        <w:ind w:firstLine="400" w:firstLineChars="200"/>
        <w:rPr>
          <w:rFonts w:hint="eastAsia" w:ascii="方正仿宋_GB2312" w:hAnsi="方正仿宋_GB2312" w:eastAsia="方正仿宋_GB2312" w:cs="方正仿宋_GB2312"/>
          <w:kern w:val="2"/>
          <w:sz w:val="20"/>
          <w:szCs w:val="20"/>
          <w:lang w:eastAsia="zh-CN"/>
        </w:rPr>
      </w:pPr>
      <w:r>
        <w:rPr>
          <w:rFonts w:hint="eastAsia" w:ascii="方正仿宋_GB2312" w:hAnsi="方正仿宋_GB2312" w:eastAsia="方正仿宋_GB2312" w:cs="方正仿宋_GB2312"/>
          <w:kern w:val="2"/>
          <w:sz w:val="20"/>
          <w:szCs w:val="20"/>
          <w:lang w:eastAsia="zh-CN"/>
        </w:rPr>
        <w:t>8. 质保期出现的质量问题由供应商负责解决并承担所有费用。</w:t>
      </w:r>
    </w:p>
    <w:p w14:paraId="1F21AB4A">
      <w:pPr>
        <w:spacing w:line="360" w:lineRule="auto"/>
        <w:ind w:firstLine="402" w:firstLineChars="200"/>
        <w:rPr>
          <w:rFonts w:hint="eastAsia" w:ascii="方正仿宋_GB2312" w:hAnsi="方正仿宋_GB2312" w:eastAsia="方正仿宋_GB2312" w:cs="方正仿宋_GB2312"/>
          <w:b/>
          <w:bCs/>
          <w:sz w:val="20"/>
          <w:szCs w:val="20"/>
          <w:lang w:eastAsia="zh-CN"/>
        </w:rPr>
      </w:pPr>
      <w:r>
        <w:rPr>
          <w:rFonts w:hint="eastAsia" w:ascii="方正仿宋_GB2312" w:hAnsi="方正仿宋_GB2312" w:eastAsia="方正仿宋_GB2312" w:cs="方正仿宋_GB2312"/>
          <w:b/>
          <w:bCs/>
          <w:sz w:val="20"/>
          <w:szCs w:val="20"/>
          <w:lang w:eastAsia="zh-CN"/>
        </w:rPr>
        <w:t xml:space="preserve">七、技术服务 </w:t>
      </w:r>
    </w:p>
    <w:p w14:paraId="3C64E70B">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 xml:space="preserve">1、培训费用：受训人员的食宿费、资料费、培训场地费、耗材（包括水电费等）费等已包含在合同总价中，采购人不再另行支付。 </w:t>
      </w:r>
    </w:p>
    <w:p w14:paraId="0D4E15A3">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 xml:space="preserve">2、售后服务 </w:t>
      </w:r>
    </w:p>
    <w:p w14:paraId="0E2CFC1F">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 xml:space="preserve">2-1、供应商在接到采购人保修电话故障通知后在48小时内派出合格的维修人员到达现场进行维修服务，承担相应费用，若需将产品送回生产厂，供应商应提供备用机、承担维修产品所需的往返费用。 </w:t>
      </w:r>
    </w:p>
    <w:p w14:paraId="460D22B6">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 xml:space="preserve">2-2、如果供应商在收到通知后两天内没有弥补缺陷，采购人可采取必要的补救措施，但其风险和费用将由供应商承担，采购人根据合同规定对供应商行使的其它权力不受影响。采购人亦可从质保金中扣回索赔金额。 </w:t>
      </w:r>
    </w:p>
    <w:p w14:paraId="448AC2EC">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 xml:space="preserve">3、伴随服务 </w:t>
      </w:r>
    </w:p>
    <w:p w14:paraId="2B6587A4">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 xml:space="preserve">3-1、供应商应随同每套货物提供相应的中文的技术文件。 </w:t>
      </w:r>
    </w:p>
    <w:p w14:paraId="501F97A7">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3-1-1、完整的操作使用手册和维护、修理技术文件，图纸、保修卡等。</w:t>
      </w:r>
    </w:p>
    <w:p w14:paraId="29601ED6">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 xml:space="preserve">3-1-2、制造厂的检验、测试报告、检验合格证书，计量合格等级证书，质量保证书等文件须随产品装箱提供。 </w:t>
      </w:r>
    </w:p>
    <w:p w14:paraId="2C4F03A6">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 xml:space="preserve">3-1-3、必须的其它技术资料。 </w:t>
      </w:r>
    </w:p>
    <w:p w14:paraId="7BFF4D11">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3-2、伴随服务的费用已含在合同价中，不单独进行支付。</w:t>
      </w:r>
    </w:p>
    <w:p w14:paraId="67622B8E">
      <w:pPr>
        <w:spacing w:line="360" w:lineRule="auto"/>
        <w:ind w:firstLine="402" w:firstLineChars="200"/>
        <w:rPr>
          <w:rFonts w:hint="eastAsia" w:ascii="方正仿宋_GB2312" w:hAnsi="方正仿宋_GB2312" w:eastAsia="方正仿宋_GB2312" w:cs="方正仿宋_GB2312"/>
          <w:b/>
          <w:bCs/>
          <w:sz w:val="20"/>
          <w:szCs w:val="20"/>
          <w:lang w:eastAsia="zh-CN"/>
        </w:rPr>
      </w:pPr>
      <w:r>
        <w:rPr>
          <w:rFonts w:hint="eastAsia" w:ascii="方正仿宋_GB2312" w:hAnsi="方正仿宋_GB2312" w:eastAsia="方正仿宋_GB2312" w:cs="方正仿宋_GB2312"/>
          <w:b/>
          <w:bCs/>
          <w:sz w:val="20"/>
          <w:szCs w:val="20"/>
          <w:lang w:eastAsia="zh-CN"/>
        </w:rPr>
        <w:t>八、验收</w:t>
      </w:r>
      <w:bookmarkEnd w:id="4"/>
    </w:p>
    <w:p w14:paraId="47DBAFD2">
      <w:pPr>
        <w:spacing w:line="360" w:lineRule="auto"/>
        <w:ind w:firstLine="400" w:firstLineChars="200"/>
        <w:rPr>
          <w:rFonts w:hint="eastAsia" w:ascii="方正仿宋_GB2312" w:hAnsi="方正仿宋_GB2312" w:eastAsia="方正仿宋_GB2312" w:cs="方正仿宋_GB2312"/>
          <w:sz w:val="20"/>
          <w:szCs w:val="20"/>
          <w:lang w:eastAsia="zh-CN"/>
        </w:rPr>
      </w:pPr>
      <w:bookmarkStart w:id="5" w:name="_Toc19515392"/>
      <w:r>
        <w:rPr>
          <w:rFonts w:hint="eastAsia" w:ascii="方正仿宋_GB2312" w:hAnsi="方正仿宋_GB2312" w:eastAsia="方正仿宋_GB2312" w:cs="方正仿宋_GB2312"/>
          <w:sz w:val="20"/>
          <w:szCs w:val="20"/>
          <w:lang w:eastAsia="zh-CN"/>
        </w:rPr>
        <w:t>1、现场验收：产品或设备及其备附件到达采购人指定地点后，采购人根据合同要求，在供应商和采购人相关负责人双方同时在场的情况下，进行外观验收，确认产地、规格、型号和数量。</w:t>
      </w:r>
    </w:p>
    <w:p w14:paraId="084336B9">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2、安装调试：供应商应配合采购人的工期要求，负责在现 场对产品或设备进行安装、调试和试运行，直至验收合格。供应商应提供全部安装、调试过程中所需的材料、设施设备、人工等。试运行应当在采购人的监督下进行。</w:t>
      </w:r>
    </w:p>
    <w:p w14:paraId="4C1E55C2">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3、最终验收：产品或设备安装调试和运行后，由供应商向采购人递交产品或设备安装调试记录和竣工通知书，经采购人确认后，组织供应商进行系统验收(必要时采购人可委托具有相关资质的第三方检测机构技术专家对产品或设备进行系统</w:t>
      </w:r>
    </w:p>
    <w:p w14:paraId="01E776B8">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验收，需要国家法定检验部门进行检验或验收的由供应商负责联系。验收合格后，填写政府采购项目验收单(一式伍份)作为对产品或设备的最终认可。政府采购项目履约验收单送采购代理机构一份，并据此退还履约保证金。</w:t>
      </w:r>
    </w:p>
    <w:p w14:paraId="29CCD95F">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4、验收依据</w:t>
      </w:r>
    </w:p>
    <w:p w14:paraId="5EEB87B5">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(1)竞争性谈判文件、竞争性谈判响应文件、澄清表(函);</w:t>
      </w:r>
    </w:p>
    <w:p w14:paraId="03DD601C">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(2)本合同及附件文本；</w:t>
      </w:r>
    </w:p>
    <w:p w14:paraId="1CF12B57">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(3)合同签订时国家及行业现行的标准和技术规范。</w:t>
      </w:r>
    </w:p>
    <w:p w14:paraId="46A0C912">
      <w:pPr>
        <w:spacing w:line="360" w:lineRule="auto"/>
        <w:ind w:firstLine="402" w:firstLineChars="200"/>
        <w:rPr>
          <w:rFonts w:hint="eastAsia" w:ascii="方正仿宋_GB2312" w:hAnsi="方正仿宋_GB2312" w:eastAsia="方正仿宋_GB2312" w:cs="方正仿宋_GB2312"/>
          <w:b/>
          <w:bCs/>
          <w:sz w:val="20"/>
          <w:szCs w:val="20"/>
          <w:lang w:eastAsia="zh-CN"/>
        </w:rPr>
      </w:pPr>
      <w:r>
        <w:rPr>
          <w:rFonts w:hint="eastAsia" w:ascii="方正仿宋_GB2312" w:hAnsi="方正仿宋_GB2312" w:eastAsia="方正仿宋_GB2312" w:cs="方正仿宋_GB2312"/>
          <w:b/>
          <w:bCs/>
          <w:sz w:val="20"/>
          <w:szCs w:val="20"/>
          <w:lang w:eastAsia="zh-CN"/>
        </w:rPr>
        <w:t>九、违约责任</w:t>
      </w:r>
      <w:bookmarkEnd w:id="5"/>
    </w:p>
    <w:p w14:paraId="280A2CA0">
      <w:pPr>
        <w:spacing w:line="360" w:lineRule="auto"/>
        <w:ind w:firstLine="400" w:firstLineChars="200"/>
        <w:rPr>
          <w:rFonts w:hint="eastAsia" w:ascii="方正仿宋_GB2312" w:hAnsi="方正仿宋_GB2312" w:eastAsia="方正仿宋_GB2312" w:cs="方正仿宋_GB2312"/>
          <w:sz w:val="20"/>
          <w:szCs w:val="20"/>
          <w:lang w:eastAsia="zh-CN"/>
        </w:rPr>
      </w:pPr>
      <w:bookmarkStart w:id="6" w:name="_Toc19515393"/>
      <w:r>
        <w:rPr>
          <w:rFonts w:hint="eastAsia" w:ascii="方正仿宋_GB2312" w:hAnsi="方正仿宋_GB2312" w:eastAsia="方正仿宋_GB2312" w:cs="方正仿宋_GB2312"/>
          <w:sz w:val="20"/>
          <w:szCs w:val="20"/>
          <w:lang w:eastAsia="zh-CN"/>
        </w:rPr>
        <w:t>1、按《合同法》中的相关条款执行。</w:t>
      </w:r>
    </w:p>
    <w:p w14:paraId="0E82F62B">
      <w:p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2、未按合同要求提供产品/设备或产品/设备质量不能满足合同要求，采购人应当将供应商违约的情况以及拟采取的措 施以书面形式报政府采购监管部门，根据政府采购监管部门的处理意见，采购人有权依据《合同法》有关条款及合同约定终止合同，并要求供应商承担违约责任。同时，政府采购监管 部门有权依据《政府采购法》及相关法律法规对供应商的违法行为进行相应的处罚。</w:t>
      </w:r>
    </w:p>
    <w:p w14:paraId="72114182">
      <w:pPr>
        <w:numPr>
          <w:ilvl w:val="0"/>
          <w:numId w:val="1"/>
        </w:numPr>
        <w:spacing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达到完全可使用状态每超过一天，扣除供应商合同总价款的1‰作为违约金。</w:t>
      </w:r>
    </w:p>
    <w:p w14:paraId="59752494">
      <w:pPr>
        <w:numPr>
          <w:ilvl w:val="0"/>
          <w:numId w:val="1"/>
        </w:numPr>
        <w:spacing w:line="360" w:lineRule="auto"/>
        <w:ind w:firstLine="402" w:firstLineChars="200"/>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十、合同组成</w:t>
      </w:r>
      <w:bookmarkEnd w:id="6"/>
    </w:p>
    <w:p w14:paraId="7B08469C">
      <w:pPr>
        <w:spacing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1、中标通知书</w:t>
      </w:r>
    </w:p>
    <w:p w14:paraId="0AF647FC">
      <w:pPr>
        <w:spacing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2、合同文件</w:t>
      </w:r>
    </w:p>
    <w:p w14:paraId="73B43303">
      <w:pPr>
        <w:spacing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3、国家相关规范及标准</w:t>
      </w:r>
    </w:p>
    <w:p w14:paraId="279A66DD">
      <w:pPr>
        <w:spacing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4、招标文件</w:t>
      </w:r>
    </w:p>
    <w:p w14:paraId="1876D3E8">
      <w:pPr>
        <w:spacing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5、投标文件</w:t>
      </w:r>
    </w:p>
    <w:p w14:paraId="79AE4324">
      <w:pPr>
        <w:spacing w:line="360" w:lineRule="auto"/>
        <w:ind w:firstLine="402" w:firstLineChars="200"/>
        <w:rPr>
          <w:rFonts w:hint="eastAsia" w:ascii="方正仿宋_GB2312" w:hAnsi="方正仿宋_GB2312" w:eastAsia="方正仿宋_GB2312" w:cs="方正仿宋_GB2312"/>
          <w:b/>
          <w:bCs/>
          <w:sz w:val="20"/>
          <w:szCs w:val="20"/>
        </w:rPr>
      </w:pPr>
      <w:bookmarkStart w:id="7" w:name="_Toc19515394"/>
      <w:r>
        <w:rPr>
          <w:rFonts w:hint="eastAsia" w:ascii="方正仿宋_GB2312" w:hAnsi="方正仿宋_GB2312" w:eastAsia="方正仿宋_GB2312" w:cs="方正仿宋_GB2312"/>
          <w:b/>
          <w:bCs/>
          <w:sz w:val="20"/>
          <w:szCs w:val="20"/>
        </w:rPr>
        <w:t>十一、解决争议的方法</w:t>
      </w:r>
      <w:bookmarkEnd w:id="7"/>
    </w:p>
    <w:p w14:paraId="1917E89F">
      <w:pPr>
        <w:spacing w:line="360" w:lineRule="auto"/>
        <w:ind w:right="-110" w:firstLine="400" w:firstLineChars="200"/>
        <w:textAlignment w:val="bottom"/>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凡因本合同引起的或与本合同有关的争议，双方应友好协商解决。协商不成时，双方均同意采用以下第（1）种争议解决方式：</w:t>
      </w:r>
    </w:p>
    <w:p w14:paraId="431242F6">
      <w:pPr>
        <w:spacing w:line="360" w:lineRule="auto"/>
        <w:ind w:right="-110" w:firstLine="400" w:firstLineChars="200"/>
        <w:textAlignment w:val="bottom"/>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1、甲、乙双方均同意向（采购人所在地人民法院）提起诉讼。</w:t>
      </w:r>
    </w:p>
    <w:p w14:paraId="74979247">
      <w:pPr>
        <w:spacing w:line="360" w:lineRule="auto"/>
        <w:ind w:right="-110" w:firstLine="400" w:firstLineChars="200"/>
        <w:textAlignment w:val="bottom"/>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2、甲、乙双方均同意向（</w:t>
      </w:r>
      <w:r>
        <w:rPr>
          <w:rFonts w:hint="eastAsia" w:ascii="方正仿宋_GB2312" w:hAnsi="方正仿宋_GB2312" w:eastAsia="方正仿宋_GB2312" w:cs="方正仿宋_GB2312"/>
          <w:sz w:val="20"/>
          <w:szCs w:val="20"/>
        </w:rPr>
        <w:fldChar w:fldCharType="begin"/>
      </w:r>
      <w:r>
        <w:rPr>
          <w:rFonts w:hint="eastAsia" w:ascii="方正仿宋_GB2312" w:hAnsi="方正仿宋_GB2312" w:eastAsia="方正仿宋_GB2312" w:cs="方正仿宋_GB2312"/>
          <w:sz w:val="20"/>
          <w:szCs w:val="20"/>
          <w:lang w:eastAsia="zh-CN"/>
        </w:rPr>
        <w:instrText xml:space="preserve"> HYPERLINK "http://www.baidu.com/s?wd=%E4%BB%B2%E8%A3%81%E5%A7%94%E5%91%98%E4%BC%9A&amp;tn=SE_PcZhidaonwhc_ngpagmjz&amp;rsv_dl=gh_pc_zhidao" \t "_blank" </w:instrText>
      </w:r>
      <w:r>
        <w:rPr>
          <w:rFonts w:hint="eastAsia" w:ascii="方正仿宋_GB2312" w:hAnsi="方正仿宋_GB2312" w:eastAsia="方正仿宋_GB2312" w:cs="方正仿宋_GB2312"/>
          <w:sz w:val="20"/>
          <w:szCs w:val="20"/>
        </w:rPr>
        <w:fldChar w:fldCharType="separate"/>
      </w:r>
      <w:r>
        <w:rPr>
          <w:rFonts w:hint="eastAsia" w:ascii="方正仿宋_GB2312" w:hAnsi="方正仿宋_GB2312" w:eastAsia="方正仿宋_GB2312" w:cs="方正仿宋_GB2312"/>
          <w:sz w:val="20"/>
          <w:szCs w:val="20"/>
          <w:lang w:eastAsia="zh-CN"/>
        </w:rPr>
        <w:t>仲裁委员会</w:t>
      </w:r>
      <w:r>
        <w:rPr>
          <w:rFonts w:hint="eastAsia" w:ascii="方正仿宋_GB2312" w:hAnsi="方正仿宋_GB2312" w:eastAsia="方正仿宋_GB2312" w:cs="方正仿宋_GB2312"/>
          <w:sz w:val="20"/>
          <w:szCs w:val="20"/>
        </w:rPr>
        <w:fldChar w:fldCharType="end"/>
      </w:r>
      <w:r>
        <w:rPr>
          <w:rFonts w:hint="eastAsia" w:ascii="方正仿宋_GB2312" w:hAnsi="方正仿宋_GB2312" w:eastAsia="方正仿宋_GB2312" w:cs="方正仿宋_GB2312"/>
          <w:sz w:val="20"/>
          <w:szCs w:val="20"/>
          <w:lang w:eastAsia="zh-CN"/>
        </w:rPr>
        <w:t>）提起仲裁。</w:t>
      </w:r>
    </w:p>
    <w:p w14:paraId="0C9EE1F7">
      <w:pPr>
        <w:spacing w:line="360" w:lineRule="auto"/>
        <w:ind w:firstLine="400" w:firstLineChars="200"/>
        <w:rPr>
          <w:rFonts w:hint="eastAsia" w:ascii="方正仿宋_GB2312" w:hAnsi="方正仿宋_GB2312" w:eastAsia="方正仿宋_GB2312" w:cs="方正仿宋_GB2312"/>
          <w:sz w:val="20"/>
          <w:szCs w:val="20"/>
          <w:lang w:eastAsia="zh-CN"/>
        </w:rPr>
      </w:pPr>
      <w:bookmarkStart w:id="8" w:name="_Toc19515395"/>
      <w:r>
        <w:rPr>
          <w:rFonts w:hint="eastAsia" w:ascii="方正仿宋_GB2312" w:hAnsi="方正仿宋_GB2312" w:eastAsia="方正仿宋_GB2312" w:cs="方正仿宋_GB2312"/>
          <w:sz w:val="20"/>
          <w:szCs w:val="20"/>
          <w:lang w:eastAsia="zh-CN"/>
        </w:rPr>
        <w:t>十、合同生效及其它</w:t>
      </w:r>
      <w:bookmarkEnd w:id="8"/>
    </w:p>
    <w:p w14:paraId="77B8C8BA">
      <w:pPr>
        <w:spacing w:line="360" w:lineRule="auto"/>
        <w:ind w:right="-110" w:firstLine="400" w:firstLineChars="200"/>
        <w:textAlignment w:val="bottom"/>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1、合同未尽事宜、由甲、乙双方协商，作为合同补充，与原合同具有同等法律效力。</w:t>
      </w:r>
    </w:p>
    <w:p w14:paraId="7404ABB4">
      <w:pPr>
        <w:tabs>
          <w:tab w:val="left" w:pos="8391"/>
        </w:tabs>
        <w:spacing w:line="360" w:lineRule="auto"/>
        <w:ind w:right="-69" w:firstLine="400" w:firstLineChars="200"/>
        <w:textAlignment w:val="bottom"/>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2、本合同正本一式</w:t>
      </w:r>
      <w:r>
        <w:rPr>
          <w:rFonts w:hint="eastAsia" w:ascii="方正仿宋_GB2312" w:hAnsi="方正仿宋_GB2312" w:eastAsia="方正仿宋_GB2312" w:cs="方正仿宋_GB2312"/>
          <w:sz w:val="20"/>
          <w:szCs w:val="20"/>
          <w:u w:val="single"/>
          <w:lang w:eastAsia="zh-CN"/>
        </w:rPr>
        <w:t xml:space="preserve">  </w:t>
      </w:r>
      <w:r>
        <w:rPr>
          <w:rFonts w:hint="eastAsia" w:ascii="方正仿宋_GB2312" w:hAnsi="方正仿宋_GB2312" w:eastAsia="方正仿宋_GB2312" w:cs="方正仿宋_GB2312"/>
          <w:sz w:val="20"/>
          <w:szCs w:val="20"/>
          <w:lang w:eastAsia="zh-CN"/>
        </w:rPr>
        <w:t>份，采购人、供应商双方分别执</w:t>
      </w:r>
      <w:r>
        <w:rPr>
          <w:rFonts w:hint="eastAsia" w:ascii="方正仿宋_GB2312" w:hAnsi="方正仿宋_GB2312" w:eastAsia="方正仿宋_GB2312" w:cs="方正仿宋_GB2312"/>
          <w:sz w:val="20"/>
          <w:szCs w:val="20"/>
          <w:u w:val="single"/>
          <w:lang w:eastAsia="zh-CN"/>
        </w:rPr>
        <w:t xml:space="preserve">  </w:t>
      </w:r>
      <w:r>
        <w:rPr>
          <w:rFonts w:hint="eastAsia" w:ascii="方正仿宋_GB2312" w:hAnsi="方正仿宋_GB2312" w:eastAsia="方正仿宋_GB2312" w:cs="方正仿宋_GB2312"/>
          <w:sz w:val="20"/>
          <w:szCs w:val="20"/>
          <w:lang w:eastAsia="zh-CN"/>
        </w:rPr>
        <w:t>份，</w:t>
      </w:r>
      <w:r>
        <w:rPr>
          <w:rFonts w:hint="eastAsia" w:ascii="方正仿宋_GB2312" w:hAnsi="方正仿宋_GB2312" w:eastAsia="方正仿宋_GB2312" w:cs="方正仿宋_GB2312"/>
          <w:sz w:val="20"/>
          <w:szCs w:val="20"/>
          <w:u w:val="single"/>
          <w:lang w:eastAsia="zh-CN"/>
        </w:rPr>
        <w:t xml:space="preserve">       </w:t>
      </w:r>
      <w:r>
        <w:rPr>
          <w:rFonts w:hint="eastAsia" w:ascii="方正仿宋_GB2312" w:hAnsi="方正仿宋_GB2312" w:eastAsia="方正仿宋_GB2312" w:cs="方正仿宋_GB2312"/>
          <w:sz w:val="20"/>
          <w:szCs w:val="20"/>
          <w:lang w:eastAsia="zh-CN"/>
        </w:rPr>
        <w:t>备案</w:t>
      </w:r>
      <w:r>
        <w:rPr>
          <w:rFonts w:hint="eastAsia" w:ascii="方正仿宋_GB2312" w:hAnsi="方正仿宋_GB2312" w:eastAsia="方正仿宋_GB2312" w:cs="方正仿宋_GB2312"/>
          <w:sz w:val="20"/>
          <w:szCs w:val="20"/>
          <w:u w:val="single"/>
          <w:lang w:eastAsia="zh-CN"/>
        </w:rPr>
        <w:t xml:space="preserve">  </w:t>
      </w:r>
      <w:r>
        <w:rPr>
          <w:rFonts w:hint="eastAsia" w:ascii="方正仿宋_GB2312" w:hAnsi="方正仿宋_GB2312" w:eastAsia="方正仿宋_GB2312" w:cs="方正仿宋_GB2312"/>
          <w:sz w:val="20"/>
          <w:szCs w:val="20"/>
          <w:lang w:eastAsia="zh-CN"/>
        </w:rPr>
        <w:t>份。</w:t>
      </w:r>
    </w:p>
    <w:p w14:paraId="129875C0">
      <w:pPr>
        <w:tabs>
          <w:tab w:val="left" w:pos="8391"/>
        </w:tabs>
        <w:spacing w:line="360" w:lineRule="auto"/>
        <w:ind w:right="-69" w:firstLine="400" w:firstLineChars="200"/>
        <w:textAlignment w:val="bottom"/>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3、合同经甲乙双方盖章、签字后生效，合同签订地点为</w:t>
      </w:r>
      <w:r>
        <w:rPr>
          <w:rFonts w:hint="eastAsia" w:ascii="方正仿宋_GB2312" w:hAnsi="方正仿宋_GB2312" w:eastAsia="方正仿宋_GB2312" w:cs="方正仿宋_GB2312"/>
          <w:sz w:val="20"/>
          <w:szCs w:val="20"/>
          <w:u w:val="single"/>
          <w:lang w:eastAsia="zh-CN"/>
        </w:rPr>
        <w:t xml:space="preserve">   </w:t>
      </w:r>
      <w:r>
        <w:rPr>
          <w:rFonts w:hint="eastAsia" w:ascii="方正仿宋_GB2312" w:hAnsi="方正仿宋_GB2312" w:eastAsia="方正仿宋_GB2312" w:cs="方正仿宋_GB2312"/>
          <w:sz w:val="20"/>
          <w:szCs w:val="20"/>
          <w:lang w:eastAsia="zh-CN"/>
        </w:rPr>
        <w:t>。</w:t>
      </w:r>
    </w:p>
    <w:p w14:paraId="1399B35E">
      <w:pPr>
        <w:tabs>
          <w:tab w:val="left" w:pos="8391"/>
        </w:tabs>
        <w:spacing w:line="360" w:lineRule="auto"/>
        <w:ind w:right="-69" w:firstLine="400" w:firstLineChars="200"/>
        <w:textAlignment w:val="bottom"/>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4、生效时间：</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rPr>
        <w:t>年</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rPr>
        <w:t>月</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rPr>
        <w:t>日</w:t>
      </w:r>
    </w:p>
    <w:p w14:paraId="61073251">
      <w:pPr>
        <w:tabs>
          <w:tab w:val="left" w:pos="8391"/>
        </w:tabs>
        <w:spacing w:line="360" w:lineRule="auto"/>
        <w:ind w:right="-69" w:firstLine="700" w:firstLineChars="350"/>
        <w:textAlignment w:val="bottom"/>
        <w:rPr>
          <w:rFonts w:hint="eastAsia" w:ascii="方正仿宋_GB2312" w:hAnsi="方正仿宋_GB2312" w:eastAsia="方正仿宋_GB2312" w:cs="方正仿宋_GB2312"/>
          <w:sz w:val="20"/>
          <w:szCs w:val="20"/>
        </w:rPr>
      </w:pPr>
    </w:p>
    <w:tbl>
      <w:tblPr>
        <w:tblStyle w:val="4"/>
        <w:tblW w:w="0" w:type="auto"/>
        <w:jc w:val="center"/>
        <w:tblLayout w:type="fixed"/>
        <w:tblCellMar>
          <w:top w:w="0" w:type="dxa"/>
          <w:left w:w="108" w:type="dxa"/>
          <w:bottom w:w="0" w:type="dxa"/>
          <w:right w:w="108" w:type="dxa"/>
        </w:tblCellMar>
      </w:tblPr>
      <w:tblGrid>
        <w:gridCol w:w="4643"/>
        <w:gridCol w:w="4643"/>
      </w:tblGrid>
      <w:tr w14:paraId="680D0011">
        <w:tblPrEx>
          <w:tblCellMar>
            <w:top w:w="0" w:type="dxa"/>
            <w:left w:w="108" w:type="dxa"/>
            <w:bottom w:w="0" w:type="dxa"/>
            <w:right w:w="108" w:type="dxa"/>
          </w:tblCellMar>
        </w:tblPrEx>
        <w:trPr>
          <w:jc w:val="center"/>
        </w:trPr>
        <w:tc>
          <w:tcPr>
            <w:tcW w:w="4643" w:type="dxa"/>
            <w:noWrap w:val="0"/>
            <w:vAlign w:val="top"/>
          </w:tcPr>
          <w:p w14:paraId="220C1EC5">
            <w:pPr>
              <w:spacing w:line="360" w:lineRule="auto"/>
              <w:ind w:right="-154"/>
              <w:textAlignment w:val="bottom"/>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采购人名称</w:t>
            </w:r>
            <w:r>
              <w:rPr>
                <w:rFonts w:hint="eastAsia" w:ascii="方正仿宋_GB2312" w:hAnsi="方正仿宋_GB2312" w:eastAsia="方正仿宋_GB2312" w:cs="方正仿宋_GB2312"/>
                <w:spacing w:val="-20"/>
                <w:sz w:val="20"/>
                <w:szCs w:val="20"/>
                <w:lang w:eastAsia="zh-CN"/>
              </w:rPr>
              <w:t>（盖章）</w:t>
            </w:r>
            <w:r>
              <w:rPr>
                <w:rFonts w:hint="eastAsia" w:ascii="方正仿宋_GB2312" w:hAnsi="方正仿宋_GB2312" w:eastAsia="方正仿宋_GB2312" w:cs="方正仿宋_GB2312"/>
                <w:sz w:val="20"/>
                <w:szCs w:val="20"/>
                <w:lang w:eastAsia="zh-CN"/>
              </w:rPr>
              <w:t>:</w:t>
            </w:r>
          </w:p>
          <w:p w14:paraId="32117942">
            <w:pPr>
              <w:spacing w:line="360" w:lineRule="auto"/>
              <w:ind w:right="-154"/>
              <w:textAlignment w:val="bottom"/>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地址：</w:t>
            </w:r>
          </w:p>
          <w:p w14:paraId="54306F44">
            <w:pPr>
              <w:spacing w:line="360" w:lineRule="auto"/>
              <w:ind w:right="-154"/>
              <w:textAlignment w:val="bottom"/>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代表人（签字）：</w:t>
            </w:r>
          </w:p>
          <w:p w14:paraId="16B83AF3">
            <w:pPr>
              <w:spacing w:line="360" w:lineRule="auto"/>
              <w:ind w:right="-154"/>
              <w:textAlignment w:val="bottom"/>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电话：</w:t>
            </w:r>
          </w:p>
          <w:p w14:paraId="255589BF">
            <w:pPr>
              <w:spacing w:line="360" w:lineRule="auto"/>
              <w:ind w:right="-154"/>
              <w:textAlignment w:val="bottom"/>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开户银行：</w:t>
            </w:r>
          </w:p>
          <w:p w14:paraId="63F5FAD2">
            <w:pPr>
              <w:spacing w:line="360" w:lineRule="auto"/>
              <w:ind w:right="-154"/>
              <w:textAlignment w:val="bottom"/>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账号：</w:t>
            </w:r>
          </w:p>
        </w:tc>
        <w:tc>
          <w:tcPr>
            <w:tcW w:w="4643" w:type="dxa"/>
            <w:noWrap w:val="0"/>
            <w:vAlign w:val="top"/>
          </w:tcPr>
          <w:p w14:paraId="0B82234E">
            <w:pPr>
              <w:spacing w:line="360" w:lineRule="auto"/>
              <w:ind w:right="-154"/>
              <w:textAlignment w:val="bottom"/>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供应商名称</w:t>
            </w:r>
            <w:r>
              <w:rPr>
                <w:rFonts w:hint="eastAsia" w:ascii="方正仿宋_GB2312" w:hAnsi="方正仿宋_GB2312" w:eastAsia="方正仿宋_GB2312" w:cs="方正仿宋_GB2312"/>
                <w:spacing w:val="-20"/>
                <w:sz w:val="20"/>
                <w:szCs w:val="20"/>
                <w:lang w:eastAsia="zh-CN"/>
              </w:rPr>
              <w:t>（盖章）</w:t>
            </w:r>
            <w:r>
              <w:rPr>
                <w:rFonts w:hint="eastAsia" w:ascii="方正仿宋_GB2312" w:hAnsi="方正仿宋_GB2312" w:eastAsia="方正仿宋_GB2312" w:cs="方正仿宋_GB2312"/>
                <w:sz w:val="20"/>
                <w:szCs w:val="20"/>
                <w:lang w:eastAsia="zh-CN"/>
              </w:rPr>
              <w:t>:</w:t>
            </w:r>
          </w:p>
          <w:p w14:paraId="00D64D32">
            <w:pPr>
              <w:spacing w:line="360" w:lineRule="auto"/>
              <w:ind w:right="-154"/>
              <w:textAlignment w:val="bottom"/>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地址：</w:t>
            </w:r>
          </w:p>
          <w:p w14:paraId="782F8BAB">
            <w:pPr>
              <w:spacing w:line="360" w:lineRule="auto"/>
              <w:ind w:right="-154"/>
              <w:textAlignment w:val="bottom"/>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代表人（签字）：</w:t>
            </w:r>
          </w:p>
          <w:p w14:paraId="63EA7037">
            <w:pPr>
              <w:spacing w:line="360" w:lineRule="auto"/>
              <w:ind w:right="-154"/>
              <w:textAlignment w:val="bottom"/>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电话：</w:t>
            </w:r>
          </w:p>
          <w:p w14:paraId="42D51973">
            <w:pPr>
              <w:spacing w:line="360" w:lineRule="auto"/>
              <w:ind w:right="-154"/>
              <w:textAlignment w:val="bottom"/>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开户银行：</w:t>
            </w:r>
          </w:p>
          <w:p w14:paraId="317E0401">
            <w:pPr>
              <w:spacing w:line="360" w:lineRule="auto"/>
              <w:ind w:right="-154"/>
              <w:textAlignment w:val="bottom"/>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账号：</w:t>
            </w:r>
          </w:p>
        </w:tc>
      </w:tr>
    </w:tbl>
    <w:p w14:paraId="53536B7B">
      <w:pPr>
        <w:spacing w:line="360"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br w:type="page"/>
      </w:r>
      <w:r>
        <w:rPr>
          <w:rFonts w:hint="eastAsia" w:ascii="方正仿宋_GB2312" w:hAnsi="方正仿宋_GB2312" w:eastAsia="方正仿宋_GB2312" w:cs="方正仿宋_GB2312"/>
          <w:sz w:val="20"/>
          <w:szCs w:val="20"/>
        </w:rPr>
        <w:t>合同附件：</w:t>
      </w:r>
    </w:p>
    <w:tbl>
      <w:tblPr>
        <w:tblStyle w:val="4"/>
        <w:tblpPr w:leftFromText="180" w:rightFromText="180" w:vertAnchor="text" w:horzAnchor="page" w:tblpX="1463" w:tblpY="-329"/>
        <w:tblOverlap w:val="never"/>
        <w:tblW w:w="5000" w:type="pct"/>
        <w:tblInd w:w="0" w:type="dxa"/>
        <w:tblLayout w:type="autofit"/>
        <w:tblCellMar>
          <w:top w:w="0" w:type="dxa"/>
          <w:left w:w="108" w:type="dxa"/>
          <w:bottom w:w="0" w:type="dxa"/>
          <w:right w:w="108" w:type="dxa"/>
        </w:tblCellMar>
      </w:tblPr>
      <w:tblGrid>
        <w:gridCol w:w="1571"/>
        <w:gridCol w:w="2299"/>
        <w:gridCol w:w="2524"/>
        <w:gridCol w:w="2128"/>
      </w:tblGrid>
      <w:tr w14:paraId="2F925362">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69384174">
            <w:pPr>
              <w:jc w:val="center"/>
              <w:rPr>
                <w:rFonts w:hint="eastAsia" w:ascii="方正仿宋_GB2312" w:hAnsi="方正仿宋_GB2312" w:eastAsia="方正仿宋_GB2312" w:cs="方正仿宋_GB2312"/>
                <w:b/>
                <w:bCs/>
                <w:sz w:val="20"/>
                <w:szCs w:val="20"/>
                <w:lang w:eastAsia="zh-CN"/>
              </w:rPr>
            </w:pPr>
            <w:r>
              <w:rPr>
                <w:rFonts w:hint="eastAsia" w:ascii="方正仿宋_GB2312" w:hAnsi="方正仿宋_GB2312" w:eastAsia="方正仿宋_GB2312" w:cs="方正仿宋_GB2312"/>
                <w:sz w:val="20"/>
                <w:szCs w:val="20"/>
                <w:lang w:eastAsia="zh-CN"/>
              </w:rPr>
              <w:t>政府采购项目货物（</w:t>
            </w:r>
            <w:r>
              <w:rPr>
                <w:rFonts w:hint="eastAsia" w:ascii="方正仿宋_GB2312" w:hAnsi="方正仿宋_GB2312" w:eastAsia="方正仿宋_GB2312" w:cs="方正仿宋_GB2312"/>
                <w:sz w:val="20"/>
                <w:szCs w:val="20"/>
                <w:lang w:val="en-US" w:eastAsia="zh-CN"/>
              </w:rPr>
              <w:t>服务</w:t>
            </w:r>
            <w:r>
              <w:rPr>
                <w:rFonts w:hint="eastAsia" w:ascii="方正仿宋_GB2312" w:hAnsi="方正仿宋_GB2312" w:eastAsia="方正仿宋_GB2312" w:cs="方正仿宋_GB2312"/>
                <w:sz w:val="20"/>
                <w:szCs w:val="20"/>
                <w:lang w:eastAsia="zh-CN"/>
              </w:rPr>
              <w:t>）验收入库报告单</w:t>
            </w:r>
          </w:p>
        </w:tc>
      </w:tr>
      <w:tr w14:paraId="3F6BDBDC">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6B1262FB">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2D846B20">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　</w:t>
            </w:r>
          </w:p>
        </w:tc>
      </w:tr>
      <w:tr w14:paraId="67709336">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0305C130">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75D3D628">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　</w:t>
            </w:r>
          </w:p>
        </w:tc>
      </w:tr>
      <w:tr w14:paraId="0D9F3916">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168D4CCD">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18815B01">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　</w:t>
            </w:r>
          </w:p>
        </w:tc>
        <w:tc>
          <w:tcPr>
            <w:tcW w:w="1481" w:type="pct"/>
            <w:tcBorders>
              <w:top w:val="nil"/>
              <w:left w:val="nil"/>
              <w:bottom w:val="single" w:color="auto" w:sz="4" w:space="0"/>
              <w:right w:val="single" w:color="auto" w:sz="4" w:space="0"/>
            </w:tcBorders>
            <w:noWrap/>
            <w:vAlign w:val="center"/>
          </w:tcPr>
          <w:p w14:paraId="399525AD">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合同金额</w:t>
            </w:r>
          </w:p>
        </w:tc>
        <w:tc>
          <w:tcPr>
            <w:tcW w:w="1248" w:type="pct"/>
            <w:tcBorders>
              <w:top w:val="nil"/>
              <w:left w:val="nil"/>
              <w:bottom w:val="single" w:color="auto" w:sz="4" w:space="0"/>
              <w:right w:val="single" w:color="auto" w:sz="8" w:space="0"/>
            </w:tcBorders>
            <w:noWrap/>
            <w:vAlign w:val="center"/>
          </w:tcPr>
          <w:p w14:paraId="46B2D256">
            <w:pP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w:t>
            </w:r>
          </w:p>
        </w:tc>
      </w:tr>
      <w:tr w14:paraId="11B61B07">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14:paraId="51016A51">
            <w:pPr>
              <w:rPr>
                <w:rFonts w:hint="eastAsia" w:ascii="方正仿宋_GB2312" w:hAnsi="方正仿宋_GB2312" w:eastAsia="方正仿宋_GB2312" w:cs="方正仿宋_GB2312"/>
                <w:sz w:val="20"/>
                <w:szCs w:val="20"/>
              </w:rPr>
            </w:pPr>
          </w:p>
        </w:tc>
        <w:tc>
          <w:tcPr>
            <w:tcW w:w="1349" w:type="pct"/>
            <w:vMerge w:val="continue"/>
            <w:tcBorders>
              <w:top w:val="nil"/>
              <w:left w:val="single" w:color="auto" w:sz="4" w:space="0"/>
              <w:bottom w:val="single" w:color="auto" w:sz="4" w:space="0"/>
              <w:right w:val="single" w:color="auto" w:sz="4" w:space="0"/>
            </w:tcBorders>
            <w:noWrap w:val="0"/>
            <w:vAlign w:val="center"/>
          </w:tcPr>
          <w:p w14:paraId="00C5051B">
            <w:pPr>
              <w:rPr>
                <w:rFonts w:hint="eastAsia" w:ascii="方正仿宋_GB2312" w:hAnsi="方正仿宋_GB2312" w:eastAsia="方正仿宋_GB2312" w:cs="方正仿宋_GB2312"/>
                <w:sz w:val="20"/>
                <w:szCs w:val="20"/>
              </w:rPr>
            </w:pPr>
          </w:p>
        </w:tc>
        <w:tc>
          <w:tcPr>
            <w:tcW w:w="1481" w:type="pct"/>
            <w:tcBorders>
              <w:top w:val="nil"/>
              <w:left w:val="nil"/>
              <w:bottom w:val="single" w:color="auto" w:sz="4" w:space="0"/>
              <w:right w:val="single" w:color="auto" w:sz="4" w:space="0"/>
            </w:tcBorders>
            <w:noWrap/>
            <w:vAlign w:val="center"/>
          </w:tcPr>
          <w:p w14:paraId="6151AB4D">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验收时间/地点</w:t>
            </w:r>
          </w:p>
        </w:tc>
        <w:tc>
          <w:tcPr>
            <w:tcW w:w="1248" w:type="pct"/>
            <w:tcBorders>
              <w:top w:val="nil"/>
              <w:left w:val="nil"/>
              <w:bottom w:val="single" w:color="auto" w:sz="4" w:space="0"/>
              <w:right w:val="single" w:color="auto" w:sz="8" w:space="0"/>
            </w:tcBorders>
            <w:noWrap/>
            <w:vAlign w:val="center"/>
          </w:tcPr>
          <w:p w14:paraId="00BC9F05">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　</w:t>
            </w:r>
          </w:p>
        </w:tc>
      </w:tr>
      <w:tr w14:paraId="6AAD481E">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7849921E">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0DD99C1F">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　</w:t>
            </w:r>
          </w:p>
        </w:tc>
      </w:tr>
      <w:tr w14:paraId="09214094">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653D2B9D">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开户行</w:t>
            </w:r>
          </w:p>
        </w:tc>
        <w:tc>
          <w:tcPr>
            <w:tcW w:w="1349" w:type="pct"/>
            <w:tcBorders>
              <w:top w:val="nil"/>
              <w:left w:val="nil"/>
              <w:bottom w:val="single" w:color="auto" w:sz="4" w:space="0"/>
              <w:right w:val="single" w:color="auto" w:sz="4" w:space="0"/>
            </w:tcBorders>
            <w:noWrap/>
            <w:vAlign w:val="center"/>
          </w:tcPr>
          <w:p w14:paraId="604B424A">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　</w:t>
            </w:r>
          </w:p>
        </w:tc>
        <w:tc>
          <w:tcPr>
            <w:tcW w:w="1481" w:type="pct"/>
            <w:tcBorders>
              <w:top w:val="nil"/>
              <w:left w:val="nil"/>
              <w:bottom w:val="single" w:color="auto" w:sz="4" w:space="0"/>
              <w:right w:val="single" w:color="auto" w:sz="4" w:space="0"/>
            </w:tcBorders>
            <w:noWrap/>
            <w:vAlign w:val="center"/>
          </w:tcPr>
          <w:p w14:paraId="7CEFBA99">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账号</w:t>
            </w:r>
          </w:p>
        </w:tc>
        <w:tc>
          <w:tcPr>
            <w:tcW w:w="1248" w:type="pct"/>
            <w:tcBorders>
              <w:top w:val="nil"/>
              <w:left w:val="nil"/>
              <w:bottom w:val="single" w:color="auto" w:sz="4" w:space="0"/>
              <w:right w:val="single" w:color="auto" w:sz="8" w:space="0"/>
            </w:tcBorders>
            <w:noWrap/>
            <w:vAlign w:val="center"/>
          </w:tcPr>
          <w:p w14:paraId="0816E384">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　</w:t>
            </w:r>
          </w:p>
        </w:tc>
      </w:tr>
      <w:tr w14:paraId="4478CAF1">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7C318DAF">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联系人</w:t>
            </w:r>
          </w:p>
        </w:tc>
        <w:tc>
          <w:tcPr>
            <w:tcW w:w="1349" w:type="pct"/>
            <w:tcBorders>
              <w:top w:val="nil"/>
              <w:left w:val="nil"/>
              <w:bottom w:val="nil"/>
              <w:right w:val="single" w:color="auto" w:sz="4" w:space="0"/>
            </w:tcBorders>
            <w:noWrap/>
            <w:vAlign w:val="center"/>
          </w:tcPr>
          <w:p w14:paraId="09C27384">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　</w:t>
            </w:r>
          </w:p>
        </w:tc>
        <w:tc>
          <w:tcPr>
            <w:tcW w:w="1481" w:type="pct"/>
            <w:tcBorders>
              <w:top w:val="nil"/>
              <w:left w:val="nil"/>
              <w:bottom w:val="nil"/>
              <w:right w:val="single" w:color="auto" w:sz="4" w:space="0"/>
            </w:tcBorders>
            <w:noWrap/>
            <w:vAlign w:val="center"/>
          </w:tcPr>
          <w:p w14:paraId="3295ECFB">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电话</w:t>
            </w:r>
          </w:p>
        </w:tc>
        <w:tc>
          <w:tcPr>
            <w:tcW w:w="1248" w:type="pct"/>
            <w:tcBorders>
              <w:top w:val="nil"/>
              <w:left w:val="nil"/>
              <w:bottom w:val="nil"/>
              <w:right w:val="single" w:color="auto" w:sz="8" w:space="0"/>
            </w:tcBorders>
            <w:noWrap/>
            <w:vAlign w:val="center"/>
          </w:tcPr>
          <w:p w14:paraId="602E8528">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　</w:t>
            </w:r>
          </w:p>
        </w:tc>
      </w:tr>
      <w:tr w14:paraId="1EE1DDC9">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14:paraId="1753A7C0">
            <w:pP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14:paraId="748DB844">
            <w:pPr>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 xml:space="preserve">   使用单位验收意见：（盖章）</w:t>
            </w:r>
          </w:p>
          <w:p w14:paraId="77EE2954">
            <w:pPr>
              <w:rPr>
                <w:rFonts w:hint="eastAsia" w:ascii="方正仿宋_GB2312" w:hAnsi="方正仿宋_GB2312" w:eastAsia="方正仿宋_GB2312" w:cs="方正仿宋_GB2312"/>
                <w:sz w:val="20"/>
                <w:szCs w:val="20"/>
                <w:lang w:eastAsia="zh-CN"/>
              </w:rPr>
            </w:pPr>
          </w:p>
        </w:tc>
      </w:tr>
      <w:tr w14:paraId="1770F82E">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1E14D08D">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lang w:eastAsia="zh-CN"/>
              </w:rPr>
              <w:t xml:space="preserve"> </w:t>
            </w:r>
            <w:r>
              <w:rPr>
                <w:rFonts w:hint="eastAsia" w:ascii="方正仿宋_GB2312" w:hAnsi="方正仿宋_GB2312" w:eastAsia="方正仿宋_GB2312" w:cs="方正仿宋_GB2312"/>
                <w:sz w:val="20"/>
                <w:szCs w:val="20"/>
              </w:rPr>
              <w:t>签字：</w:t>
            </w:r>
          </w:p>
        </w:tc>
        <w:tc>
          <w:tcPr>
            <w:tcW w:w="1349" w:type="pct"/>
            <w:tcBorders>
              <w:top w:val="nil"/>
              <w:left w:val="nil"/>
              <w:bottom w:val="nil"/>
              <w:right w:val="nil"/>
            </w:tcBorders>
            <w:noWrap/>
            <w:vAlign w:val="center"/>
          </w:tcPr>
          <w:p w14:paraId="7084BDCF">
            <w:pPr>
              <w:jc w:val="center"/>
              <w:rPr>
                <w:rFonts w:hint="eastAsia" w:ascii="方正仿宋_GB2312" w:hAnsi="方正仿宋_GB2312" w:eastAsia="方正仿宋_GB2312" w:cs="方正仿宋_GB2312"/>
                <w:sz w:val="20"/>
                <w:szCs w:val="20"/>
              </w:rPr>
            </w:pPr>
          </w:p>
        </w:tc>
        <w:tc>
          <w:tcPr>
            <w:tcW w:w="1481" w:type="pct"/>
            <w:tcBorders>
              <w:top w:val="nil"/>
              <w:left w:val="single" w:color="auto" w:sz="4" w:space="0"/>
              <w:bottom w:val="nil"/>
              <w:right w:val="nil"/>
            </w:tcBorders>
            <w:noWrap/>
            <w:vAlign w:val="center"/>
          </w:tcPr>
          <w:p w14:paraId="32F8F21C">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签字：</w:t>
            </w:r>
          </w:p>
        </w:tc>
        <w:tc>
          <w:tcPr>
            <w:tcW w:w="1248" w:type="pct"/>
            <w:tcBorders>
              <w:top w:val="nil"/>
              <w:left w:val="nil"/>
              <w:bottom w:val="nil"/>
              <w:right w:val="single" w:color="auto" w:sz="8" w:space="0"/>
            </w:tcBorders>
            <w:noWrap w:val="0"/>
            <w:vAlign w:val="top"/>
          </w:tcPr>
          <w:p w14:paraId="142C02BE">
            <w:pP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　</w:t>
            </w:r>
          </w:p>
        </w:tc>
      </w:tr>
      <w:tr w14:paraId="699D666B">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08C0EEDB">
            <w:pP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　</w:t>
            </w:r>
          </w:p>
        </w:tc>
        <w:tc>
          <w:tcPr>
            <w:tcW w:w="1349" w:type="pct"/>
            <w:tcBorders>
              <w:top w:val="nil"/>
              <w:left w:val="nil"/>
              <w:bottom w:val="single" w:color="auto" w:sz="4" w:space="0"/>
              <w:right w:val="nil"/>
            </w:tcBorders>
            <w:noWrap w:val="0"/>
            <w:vAlign w:val="bottom"/>
          </w:tcPr>
          <w:p w14:paraId="7AF5F679">
            <w:pPr>
              <w:jc w:val="right"/>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年     月   日</w:t>
            </w:r>
          </w:p>
        </w:tc>
        <w:tc>
          <w:tcPr>
            <w:tcW w:w="1481" w:type="pct"/>
            <w:tcBorders>
              <w:top w:val="nil"/>
              <w:left w:val="single" w:color="auto" w:sz="4" w:space="0"/>
              <w:bottom w:val="single" w:color="auto" w:sz="4" w:space="0"/>
              <w:right w:val="nil"/>
            </w:tcBorders>
            <w:noWrap/>
            <w:vAlign w:val="center"/>
          </w:tcPr>
          <w:p w14:paraId="64E85604">
            <w:pP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　</w:t>
            </w:r>
          </w:p>
        </w:tc>
        <w:tc>
          <w:tcPr>
            <w:tcW w:w="1248" w:type="pct"/>
            <w:tcBorders>
              <w:top w:val="nil"/>
              <w:left w:val="nil"/>
              <w:bottom w:val="single" w:color="auto" w:sz="4" w:space="0"/>
              <w:right w:val="single" w:color="auto" w:sz="8" w:space="0"/>
            </w:tcBorders>
            <w:noWrap w:val="0"/>
            <w:vAlign w:val="bottom"/>
          </w:tcPr>
          <w:p w14:paraId="72118224">
            <w:pPr>
              <w:jc w:val="right"/>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年   月   日</w:t>
            </w:r>
          </w:p>
        </w:tc>
      </w:tr>
      <w:tr w14:paraId="77D6BC19">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26817C5F">
            <w:pPr>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采购内容</w:t>
            </w:r>
          </w:p>
        </w:tc>
      </w:tr>
      <w:tr w14:paraId="48E476E1">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14:paraId="2F8E75B4">
            <w:pPr>
              <w:jc w:val="center"/>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lang w:eastAsia="zh-CN"/>
              </w:rPr>
              <w:t>采购内容请列明品目、规格、型号、数量、单价、总价</w:t>
            </w:r>
          </w:p>
        </w:tc>
      </w:tr>
    </w:tbl>
    <w:p w14:paraId="71386D24">
      <w:pPr>
        <w:pStyle w:val="7"/>
        <w:rPr>
          <w:rFonts w:ascii="方正仿宋_GB2312" w:hAnsi="方正仿宋_GB2312" w:eastAsia="方正仿宋_GB2312" w:cs="方正仿宋_GB2312"/>
        </w:rPr>
      </w:pPr>
    </w:p>
    <w:p w14:paraId="0714C9D8"/>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F583129-E5D2-4E11-8FD6-A4E1A3F90C2E}"/>
  </w:font>
  <w:font w:name="Tahoma">
    <w:panose1 w:val="020B0604030504040204"/>
    <w:charset w:val="00"/>
    <w:family w:val="swiss"/>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2" w:fontKey="{716DA193-8067-4929-A4D7-4AFE837891BF}"/>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42D80">
    <w:pPr>
      <w:pStyle w:val="3"/>
      <w:tabs>
        <w:tab w:val="center" w:pos="4232"/>
        <w:tab w:val="clear" w:pos="4153"/>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3266EF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63266EF8">
                    <w:pPr>
                      <w:pStyle w:val="3"/>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3255645</wp:posOffset>
              </wp:positionH>
              <wp:positionV relativeFrom="paragraph">
                <wp:posOffset>-565150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FCE2F8D"/>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56.35pt;margin-top:-44.5pt;height:144pt;width:144pt;mso-position-horizontal-relative:margin;mso-wrap-style:none;z-index:251659264;mso-width-relative:page;mso-height-relative:page;" filled="f" stroked="f" coordsize="21600,21600" o:gfxdata="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0E82zWAAAACwEAAA8AAAAAAAAAAQAgAAAAIgAAAGRycy9kb3ducmV2LnhtbFBL&#10;AQIUABQAAAAIAIdO4kCG8Zm0MQIAAGMEAAAOAAAAAAAAAAEAIAAAACUBAABkcnMvZTJvRG9jLnht&#10;bFBLBQYAAAAABgAGAFkBAADIBQAAAAA=&#10;">
              <v:fill on="f" focussize="0,0"/>
              <v:stroke on="f" weight="0.5pt"/>
              <v:imagedata o:title=""/>
              <o:lock v:ext="edit" aspectratio="f"/>
              <v:textbox inset="0mm,0mm,0mm,0mm" style="mso-fit-shape-to-text:t;">
                <w:txbxContent>
                  <w:p w14:paraId="1FCE2F8D"/>
                </w:txbxContent>
              </v:textbox>
            </v:shape>
          </w:pict>
        </mc:Fallback>
      </mc:AlternateContent>
    </w:r>
    <w:r>
      <w:rPr>
        <w:rFonts w:hint="eastAsia" w:eastAsia="宋体"/>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9C2F">
    <w:pPr>
      <w:pStyle w:val="3"/>
      <w:framePr w:wrap="around" w:vAnchor="text" w:hAnchor="margin" w:xAlign="center" w:y="1"/>
    </w:pPr>
    <w:r>
      <w:rPr>
        <w:rStyle w:val="6"/>
      </w:rPr>
      <w:fldChar w:fldCharType="begin"/>
    </w:r>
    <w:r>
      <w:rPr>
        <w:rStyle w:val="6"/>
      </w:rPr>
      <w:instrText xml:space="preserve">Page</w:instrText>
    </w:r>
    <w:r>
      <w:rPr>
        <w:rStyle w:val="6"/>
      </w:rPr>
      <w:fldChar w:fldCharType="separate"/>
    </w:r>
    <w:r>
      <w:rPr>
        <w:rStyle w:val="6"/>
      </w:rPr>
      <w:t>1</w:t>
    </w:r>
    <w:r>
      <w:rPr>
        <w:rStyle w:val="6"/>
      </w:rPr>
      <w:fldChar w:fldCharType="end"/>
    </w:r>
  </w:p>
  <w:p w14:paraId="7A5F190E">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35F78">
    <w:pPr>
      <w:pStyle w:val="3"/>
      <w:framePr w:wrap="around" w:vAnchor="text" w:hAnchor="margin" w:xAlign="center" w:y="1"/>
    </w:pPr>
    <w:r>
      <w:rPr>
        <w:rStyle w:val="6"/>
      </w:rPr>
      <w:fldChar w:fldCharType="begin"/>
    </w:r>
    <w:r>
      <w:rPr>
        <w:rStyle w:val="6"/>
      </w:rPr>
      <w:instrText xml:space="preserve">Page</w:instrText>
    </w:r>
    <w:r>
      <w:rPr>
        <w:rStyle w:val="6"/>
      </w:rPr>
      <w:fldChar w:fldCharType="separate"/>
    </w:r>
    <w:r>
      <w:rPr>
        <w:rStyle w:val="6"/>
      </w:rPr>
      <w:t>1</w:t>
    </w:r>
    <w:r>
      <w:rPr>
        <w:rStyle w:val="6"/>
      </w:rPr>
      <w:fldChar w:fldCharType="end"/>
    </w:r>
  </w:p>
  <w:p w14:paraId="3361FDD4">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0ED8F">
    <w:pPr>
      <w:spacing w:line="182" w:lineRule="auto"/>
      <w:ind w:left="7737"/>
      <w:rPr>
        <w:rFonts w:ascii="Times New Roman" w:hAnsi="Times New Roman" w:eastAsia="Times New Roman" w:cs="Times New Roman"/>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21D353A">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521D353A">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1557E5"/>
    <w:multiLevelType w:val="singleLevel"/>
    <w:tmpl w:val="AF1557E5"/>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3434BF"/>
    <w:rsid w:val="26C77A3B"/>
    <w:rsid w:val="333A430B"/>
    <w:rsid w:val="482B1A9A"/>
    <w:rsid w:val="50C122DF"/>
    <w:rsid w:val="73880AE7"/>
    <w:rsid w:val="73E354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line="360" w:lineRule="auto"/>
    </w:pPr>
    <w:rPr>
      <w:rFonts w:ascii="Tahoma" w:hAnsi="Tahoma"/>
    </w:rPr>
  </w:style>
  <w:style w:type="paragraph" w:styleId="3">
    <w:name w:val="footer"/>
    <w:basedOn w:val="1"/>
    <w:qFormat/>
    <w:uiPriority w:val="0"/>
    <w:pPr>
      <w:tabs>
        <w:tab w:val="center" w:pos="4153"/>
        <w:tab w:val="right" w:pos="8306"/>
      </w:tabs>
    </w:pPr>
    <w:rPr>
      <w:sz w:val="18"/>
    </w:rPr>
  </w:style>
  <w:style w:type="character" w:styleId="6">
    <w:name w:val="page number"/>
    <w:basedOn w:val="5"/>
    <w:qFormat/>
    <w:uiPriority w:val="99"/>
  </w:style>
  <w:style w:type="paragraph" w:customStyle="1" w:styleId="7">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2756</Words>
  <Characters>2807</Characters>
  <Lines>0</Lines>
  <Paragraphs>0</Paragraphs>
  <TotalTime>5</TotalTime>
  <ScaleCrop>false</ScaleCrop>
  <LinksUpToDate>false</LinksUpToDate>
  <CharactersWithSpaces>3061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2026-04-29T02:19:00Z</dcterms:created>
  <dc:creator>Administrator</dc:creator>
  <cp:lastModifiedBy>人间向日葵</cp:lastModifiedBy>
  <dcterms:modified xsi:type="dcterms:W3CDTF">2026-05-18T02:13:58Z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eyJoZGlkIjoiYzZiZWMwNjljY2FmZTAxYmM5ZjIyOGQwNWZhNmYwOGIiLCJ1c2VySWQiOiIxMTczMzgzMzE3In0=</vt:lpwstr>
  </property>
  <property fmtid="{D5CDD505-2E9C-101B-9397-08002B2CF9AE}" pid="4" name="ICV">
    <vt:lpwstr>B16223F559AB4A4886E9647D166B86AE_13</vt:lpwstr>
  </property>
</Properties>
</file>