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版本号：HRC-ZBDL-2026-00529-220260707001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园区物业服务(二次）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HRC-ZBDL-2026-00529-2</w:t>
      </w:r>
      <w:r>
        <w:br/>
      </w:r>
      <w:r>
        <w:br/>
      </w:r>
      <w:r>
        <w:br/>
      </w:r>
    </w:p>
    <w:p>
      <w:pPr>
        <w:pStyle w:val="null3"/>
        <w:jc w:val="center"/>
        <w:outlineLvl w:val="2"/>
      </w:pPr>
      <w:r>
        <w:rPr>
          <w:rFonts w:ascii="仿宋_GB2312" w:hAnsi="仿宋_GB2312" w:cs="仿宋_GB2312" w:eastAsia="仿宋_GB2312"/>
          <w:sz w:val="28"/>
          <w:b/>
        </w:rPr>
        <w:t>西安郭杜教育科技产业开发区管理委员会</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西安郭杜教育科技产业开发区管理委员会</w:t>
      </w:r>
      <w:r>
        <w:rPr>
          <w:rFonts w:ascii="仿宋_GB2312" w:hAnsi="仿宋_GB2312" w:cs="仿宋_GB2312" w:eastAsia="仿宋_GB2312"/>
        </w:rPr>
        <w:t>委托，拟对</w:t>
      </w:r>
      <w:r>
        <w:rPr>
          <w:rFonts w:ascii="仿宋_GB2312" w:hAnsi="仿宋_GB2312" w:cs="仿宋_GB2312" w:eastAsia="仿宋_GB2312"/>
        </w:rPr>
        <w:t>园区物业服务(二次）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HRC-ZBDL-2026-00529-2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园区物业服务(二次）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本项目为西安郭杜教育科技产业开发区管理委员会园区物业服务项目，现通过采购选择一家具备相应物业资质及具有完整的物业服务人员配备的物业公司对整个园区（长安国际企业总部小区）提供物业服务工作。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采购包1（园区物业服务）：属于专门面向小微企业采购。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具有独立承担民事责任能力的法人、其他组织或自然人：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单位负责人）身份证明书/法定代表人（单位负责人）授权委托书：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具有良好的商业信誉和健全的财务会计制度：提供经审计的2024年或2025年财务审计报告（成立时间至开标时间不足一年的可提供成立后任意时段的资产负债表）或提供基本存款账户信息及磋商截止日期前三个月内其基本存款账户开户银行出具的资信证明。</w:t>
      </w:r>
    </w:p>
    <w:p>
      <w:pPr>
        <w:pStyle w:val="null3"/>
      </w:pPr>
      <w:r>
        <w:rPr>
          <w:rFonts w:ascii="仿宋_GB2312" w:hAnsi="仿宋_GB2312" w:cs="仿宋_GB2312" w:eastAsia="仿宋_GB2312"/>
        </w:rPr>
        <w:t>4、有依法缴纳税收的良好记录：提供磋商截止日期前六个月内任意一个月的纳税证明或完税证明。依法免税的供应商应提供相关文件证明。</w:t>
      </w:r>
    </w:p>
    <w:p>
      <w:pPr>
        <w:pStyle w:val="null3"/>
      </w:pPr>
      <w:r>
        <w:rPr>
          <w:rFonts w:ascii="仿宋_GB2312" w:hAnsi="仿宋_GB2312" w:cs="仿宋_GB2312" w:eastAsia="仿宋_GB2312"/>
        </w:rPr>
        <w:t>5、有依法缴纳社会保障资金的良好记录：提供磋商截止日期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6、具有履行合同所必需的设备和专业技术能力：提供具有履行本合同所必需的设备和专业技术能力的书面声明。</w:t>
      </w:r>
    </w:p>
    <w:p>
      <w:pPr>
        <w:pStyle w:val="null3"/>
      </w:pPr>
      <w:r>
        <w:rPr>
          <w:rFonts w:ascii="仿宋_GB2312" w:hAnsi="仿宋_GB2312" w:cs="仿宋_GB2312" w:eastAsia="仿宋_GB2312"/>
        </w:rPr>
        <w:t>7、无重大违法记录书面声明：提供参加政府采购活动前3年内在经营活动中没有重大违法记录的书面声明。</w:t>
      </w:r>
    </w:p>
    <w:p>
      <w:pPr>
        <w:pStyle w:val="null3"/>
      </w:pPr>
      <w:r>
        <w:rPr>
          <w:rFonts w:ascii="仿宋_GB2312" w:hAnsi="仿宋_GB2312" w:cs="仿宋_GB2312" w:eastAsia="仿宋_GB2312"/>
        </w:rPr>
        <w:t>8、信用信息要求：投标供应商不得被“信用中国”（www.creditchina.gov.cn）列入重大税收违法失信主体；不得被“中国执行信息公开网”（www.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10、联合体要求：不接受联合体投标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西安郭杜教育科技产业开发区管理委员会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西安市长安区西沣路长安国际企业总部A区8号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刘晶亮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15769156090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高家慧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17209201962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价格[2002]1980号文件《招标代理服务收费管理暂行办法》、国家发展和改革委员会办公厅颁发的《关于招标代理服务费收费有关问题的通知》、《调整后的招标代理服务收费标准》（发改价格[2011]534号）文件规定标准计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西安郭杜教育科技产业开发区管理委员会</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西安郭杜教育科技产业开发区管理委员会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西安郭杜教育科技产业开发区管理委员会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联系人：高家慧</w:t>
      </w:r>
    </w:p>
    <w:p>
      <w:pPr>
        <w:pStyle w:val="null3"/>
      </w:pPr>
      <w:r>
        <w:rPr>
          <w:rFonts w:ascii="仿宋_GB2312" w:hAnsi="仿宋_GB2312" w:cs="仿宋_GB2312" w:eastAsia="仿宋_GB2312"/>
        </w:rPr>
        <w:t>联系电话：17209201962</w:t>
      </w:r>
    </w:p>
    <w:p>
      <w:pPr>
        <w:pStyle w:val="null3"/>
      </w:pPr>
      <w:r>
        <w:rPr>
          <w:rFonts w:ascii="仿宋_GB2312" w:hAnsi="仿宋_GB2312" w:cs="仿宋_GB2312" w:eastAsia="仿宋_GB2312"/>
        </w:rPr>
        <w:t>地址：西安市雁塔区曲江新区雁翔路3269号旺座曲江E座29层2901号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本项目为西安郭杜教育科技产业开发区管理委员会园区物业服务项目，现通过采购选择一家具备相应物业资质及具有完整的物业服务人员配备的物业公司对整个园区（长安国际企业总部小区）提供物业服务工作。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西安郭杜教育科技产业开发区管理委员会园区物业服务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标的名称：西安郭杜教育科技产业开发区管理委员会园区物业服务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一、服务内容（包括但不限于以下内容）</w:t>
            </w:r>
          </w:p>
          <w:p>
            <w:pPr>
              <w:pStyle w:val="null3"/>
              <w:ind w:firstLine="400"/>
              <w:jc w:val="both"/>
            </w:pPr>
            <w:r>
              <w:rPr>
                <w:rFonts w:ascii="仿宋_GB2312" w:hAnsi="仿宋_GB2312" w:cs="仿宋_GB2312" w:eastAsia="仿宋_GB2312"/>
                <w:sz w:val="20"/>
              </w:rPr>
              <w:t>1.共用区域设施的日常运行、维护和管理;共用区域的环境卫生、绿化维护、共用设施设备的清洁卫生管理以及公共秩序维护、安全防范等事项的协助管理；</w:t>
            </w:r>
          </w:p>
          <w:p>
            <w:pPr>
              <w:pStyle w:val="null3"/>
              <w:ind w:firstLine="400"/>
              <w:jc w:val="both"/>
            </w:pPr>
            <w:r>
              <w:rPr>
                <w:rFonts w:ascii="仿宋_GB2312" w:hAnsi="仿宋_GB2312" w:cs="仿宋_GB2312" w:eastAsia="仿宋_GB2312"/>
                <w:sz w:val="20"/>
              </w:rPr>
              <w:t>2.29#、14#办公楼内的水、电等设施设备的日常运行维护、安全秩序维护、玻璃清洗、日常卫生的保洁及垃圾清运等常规物业管理服务的事项；</w:t>
            </w:r>
          </w:p>
          <w:p>
            <w:pPr>
              <w:pStyle w:val="null3"/>
              <w:ind w:firstLine="400"/>
              <w:jc w:val="both"/>
            </w:pPr>
            <w:r>
              <w:rPr>
                <w:rFonts w:ascii="仿宋_GB2312" w:hAnsi="仿宋_GB2312" w:cs="仿宋_GB2312" w:eastAsia="仿宋_GB2312"/>
                <w:sz w:val="20"/>
              </w:rPr>
              <w:t>3.共用设施设备的日常运行、维护和管理；</w:t>
            </w:r>
          </w:p>
          <w:p>
            <w:pPr>
              <w:pStyle w:val="null3"/>
              <w:ind w:firstLine="400"/>
              <w:jc w:val="both"/>
            </w:pPr>
            <w:r>
              <w:rPr>
                <w:rFonts w:ascii="仿宋_GB2312" w:hAnsi="仿宋_GB2312" w:cs="仿宋_GB2312" w:eastAsia="仿宋_GB2312"/>
                <w:sz w:val="20"/>
              </w:rPr>
              <w:t>4.共用区域的环境卫生、共用设施设备的清洁卫生管理；</w:t>
            </w:r>
          </w:p>
          <w:p>
            <w:pPr>
              <w:pStyle w:val="null3"/>
              <w:ind w:firstLine="400"/>
              <w:jc w:val="both"/>
            </w:pPr>
            <w:r>
              <w:rPr>
                <w:rFonts w:ascii="仿宋_GB2312" w:hAnsi="仿宋_GB2312" w:cs="仿宋_GB2312" w:eastAsia="仿宋_GB2312"/>
                <w:sz w:val="20"/>
              </w:rPr>
              <w:t>4.1.环卫设施、设备的维护和保养；</w:t>
            </w:r>
          </w:p>
          <w:p>
            <w:pPr>
              <w:pStyle w:val="null3"/>
              <w:ind w:firstLine="400"/>
              <w:jc w:val="both"/>
            </w:pPr>
            <w:r>
              <w:rPr>
                <w:rFonts w:ascii="仿宋_GB2312" w:hAnsi="仿宋_GB2312" w:cs="仿宋_GB2312" w:eastAsia="仿宋_GB2312"/>
                <w:sz w:val="20"/>
              </w:rPr>
              <w:t>4.2.共用区域和共用部位卫生的保洁；</w:t>
            </w:r>
          </w:p>
          <w:p>
            <w:pPr>
              <w:pStyle w:val="null3"/>
              <w:ind w:firstLine="400"/>
              <w:jc w:val="both"/>
            </w:pPr>
            <w:r>
              <w:rPr>
                <w:rFonts w:ascii="仿宋_GB2312" w:hAnsi="仿宋_GB2312" w:cs="仿宋_GB2312" w:eastAsia="仿宋_GB2312"/>
                <w:sz w:val="20"/>
              </w:rPr>
              <w:t>4.3.垃圾的收集、清运；</w:t>
            </w:r>
          </w:p>
          <w:p>
            <w:pPr>
              <w:pStyle w:val="null3"/>
              <w:ind w:firstLine="400"/>
              <w:jc w:val="both"/>
            </w:pPr>
            <w:r>
              <w:rPr>
                <w:rFonts w:ascii="仿宋_GB2312" w:hAnsi="仿宋_GB2312" w:cs="仿宋_GB2312" w:eastAsia="仿宋_GB2312"/>
                <w:sz w:val="20"/>
              </w:rPr>
              <w:t>4.4.雨、污水管道的疏通处理；</w:t>
            </w:r>
          </w:p>
          <w:p>
            <w:pPr>
              <w:pStyle w:val="null3"/>
              <w:ind w:firstLine="400"/>
              <w:jc w:val="both"/>
            </w:pPr>
            <w:r>
              <w:rPr>
                <w:rFonts w:ascii="仿宋_GB2312" w:hAnsi="仿宋_GB2312" w:cs="仿宋_GB2312" w:eastAsia="仿宋_GB2312"/>
                <w:sz w:val="20"/>
              </w:rPr>
              <w:t>4.5.“四害”的消杀。</w:t>
            </w:r>
          </w:p>
          <w:p>
            <w:pPr>
              <w:pStyle w:val="null3"/>
              <w:ind w:firstLine="400"/>
              <w:jc w:val="both"/>
            </w:pPr>
            <w:r>
              <w:rPr>
                <w:rFonts w:ascii="仿宋_GB2312" w:hAnsi="仿宋_GB2312" w:cs="仿宋_GB2312" w:eastAsia="仿宋_GB2312"/>
                <w:sz w:val="20"/>
              </w:rPr>
              <w:t>5.公共秩序维护、安全防范等事项的协助管理；</w:t>
            </w:r>
          </w:p>
          <w:p>
            <w:pPr>
              <w:pStyle w:val="null3"/>
              <w:ind w:firstLine="400"/>
              <w:jc w:val="both"/>
            </w:pPr>
            <w:r>
              <w:rPr>
                <w:rFonts w:ascii="仿宋_GB2312" w:hAnsi="仿宋_GB2312" w:cs="仿宋_GB2312" w:eastAsia="仿宋_GB2312"/>
                <w:sz w:val="20"/>
              </w:rPr>
              <w:t>6.共用消防设备设施的管理；</w:t>
            </w:r>
          </w:p>
          <w:p>
            <w:pPr>
              <w:pStyle w:val="null3"/>
              <w:ind w:firstLine="400"/>
              <w:jc w:val="both"/>
            </w:pPr>
            <w:r>
              <w:rPr>
                <w:rFonts w:ascii="仿宋_GB2312" w:hAnsi="仿宋_GB2312" w:cs="仿宋_GB2312" w:eastAsia="仿宋_GB2312"/>
                <w:sz w:val="20"/>
              </w:rPr>
              <w:t>7.交通秩序与车辆的停放管理；</w:t>
            </w:r>
          </w:p>
          <w:p>
            <w:pPr>
              <w:pStyle w:val="null3"/>
              <w:ind w:firstLine="400"/>
              <w:jc w:val="both"/>
            </w:pPr>
            <w:r>
              <w:rPr>
                <w:rFonts w:ascii="仿宋_GB2312" w:hAnsi="仿宋_GB2312" w:cs="仿宋_GB2312" w:eastAsia="仿宋_GB2312"/>
                <w:sz w:val="20"/>
              </w:rPr>
              <w:t>7.1.总部小区内的交通秩序维护；</w:t>
            </w:r>
          </w:p>
          <w:p>
            <w:pPr>
              <w:pStyle w:val="null3"/>
              <w:ind w:firstLine="400"/>
              <w:jc w:val="both"/>
            </w:pPr>
            <w:r>
              <w:rPr>
                <w:rFonts w:ascii="仿宋_GB2312" w:hAnsi="仿宋_GB2312" w:cs="仿宋_GB2312" w:eastAsia="仿宋_GB2312"/>
                <w:sz w:val="20"/>
              </w:rPr>
              <w:t>7.2.建立健全各种车辆的管理制度和安全防范措施，对车辆进行登记；</w:t>
            </w:r>
          </w:p>
          <w:p>
            <w:pPr>
              <w:pStyle w:val="null3"/>
              <w:ind w:firstLine="400"/>
              <w:jc w:val="both"/>
            </w:pPr>
            <w:r>
              <w:rPr>
                <w:rFonts w:ascii="仿宋_GB2312" w:hAnsi="仿宋_GB2312" w:cs="仿宋_GB2312" w:eastAsia="仿宋_GB2312"/>
                <w:sz w:val="20"/>
              </w:rPr>
              <w:t>7.3.维护车辆通行和停放秩序；</w:t>
            </w:r>
          </w:p>
          <w:p>
            <w:pPr>
              <w:pStyle w:val="null3"/>
              <w:ind w:firstLine="400"/>
              <w:jc w:val="both"/>
            </w:pPr>
            <w:r>
              <w:rPr>
                <w:rFonts w:ascii="仿宋_GB2312" w:hAnsi="仿宋_GB2312" w:cs="仿宋_GB2312" w:eastAsia="仿宋_GB2312"/>
                <w:sz w:val="20"/>
              </w:rPr>
              <w:t>7.4.进行日夜巡查以及负责停车场地卫生和维修等。</w:t>
            </w:r>
          </w:p>
          <w:p>
            <w:pPr>
              <w:pStyle w:val="null3"/>
              <w:ind w:firstLine="400"/>
              <w:jc w:val="both"/>
            </w:pPr>
            <w:r>
              <w:rPr>
                <w:rFonts w:ascii="仿宋_GB2312" w:hAnsi="仿宋_GB2312" w:cs="仿宋_GB2312" w:eastAsia="仿宋_GB2312"/>
                <w:sz w:val="20"/>
              </w:rPr>
              <w:t>8.公共绿化的养护管理以及相关楼宇内外公共区域花草、盆景的统一规划和摆放管理；</w:t>
            </w:r>
          </w:p>
          <w:p>
            <w:pPr>
              <w:pStyle w:val="null3"/>
              <w:ind w:firstLine="400"/>
              <w:jc w:val="both"/>
            </w:pPr>
            <w:r>
              <w:rPr>
                <w:rFonts w:ascii="仿宋_GB2312" w:hAnsi="仿宋_GB2312" w:cs="仿宋_GB2312" w:eastAsia="仿宋_GB2312"/>
                <w:sz w:val="20"/>
              </w:rPr>
              <w:t>9.装饰装修管理（具体办法由物业公司双方在管理协议中确定）；</w:t>
            </w:r>
          </w:p>
          <w:p>
            <w:pPr>
              <w:pStyle w:val="null3"/>
            </w:pPr>
            <w:r>
              <w:rPr>
                <w:rFonts w:ascii="仿宋_GB2312" w:hAnsi="仿宋_GB2312" w:cs="仿宋_GB2312" w:eastAsia="仿宋_GB2312"/>
                <w:sz w:val="20"/>
              </w:rPr>
              <w:t>10.总部小区物业档案资料的管理。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在合同执行过程中需要服务商应执行的相关服务标准和应当履行的相关义务。</w:t>
            </w:r>
          </w:p>
          <w:p>
            <w:pPr>
              <w:pStyle w:val="null3"/>
              <w:ind w:firstLine="400"/>
              <w:jc w:val="both"/>
            </w:pPr>
            <w:r>
              <w:rPr>
                <w:rFonts w:ascii="仿宋_GB2312" w:hAnsi="仿宋_GB2312" w:cs="仿宋_GB2312" w:eastAsia="仿宋_GB2312"/>
                <w:sz w:val="20"/>
              </w:rPr>
              <w:t>1.提供的前期物业管理服务必须达到或超过陕西省住宅小区物业管理公共服务直到标准二级质量标准。</w:t>
            </w:r>
          </w:p>
          <w:p>
            <w:pPr>
              <w:pStyle w:val="null3"/>
              <w:ind w:firstLine="400"/>
              <w:jc w:val="both"/>
            </w:pPr>
            <w:r>
              <w:rPr>
                <w:rFonts w:ascii="仿宋_GB2312" w:hAnsi="仿宋_GB2312" w:cs="仿宋_GB2312" w:eastAsia="仿宋_GB2312"/>
                <w:sz w:val="20"/>
              </w:rPr>
              <w:t>2.人员配备：保安 4 人，保洁 2 人，水电 1 人，管理人员 1人。</w:t>
            </w:r>
          </w:p>
          <w:p>
            <w:pPr>
              <w:pStyle w:val="null3"/>
              <w:ind w:firstLine="400"/>
              <w:jc w:val="both"/>
            </w:pPr>
            <w:r>
              <w:rPr>
                <w:rFonts w:ascii="仿宋_GB2312" w:hAnsi="仿宋_GB2312" w:cs="仿宋_GB2312" w:eastAsia="仿宋_GB2312"/>
                <w:sz w:val="20"/>
              </w:rPr>
              <w:t>3.工具、设备投入：洗地机，打蜡机，升降机，电动三轮车，电动三轮洒水车，割草机，绿篱机，打边机，吸尘器及办公电脑等。</w:t>
            </w:r>
          </w:p>
          <w:p>
            <w:pPr>
              <w:pStyle w:val="null3"/>
            </w:pPr>
            <w:r>
              <w:rPr>
                <w:rFonts w:ascii="仿宋_GB2312" w:hAnsi="仿宋_GB2312" w:cs="仿宋_GB2312" w:eastAsia="仿宋_GB2312"/>
                <w:sz w:val="20"/>
              </w:rPr>
              <w:t>4.服务质量：合格。</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jc w:val="both"/>
            </w:pPr>
            <w:r>
              <w:rPr>
                <w:rFonts w:ascii="仿宋_GB2312" w:hAnsi="仿宋_GB2312" w:cs="仿宋_GB2312" w:eastAsia="仿宋_GB2312"/>
                <w:sz w:val="20"/>
              </w:rPr>
              <w:t>三、商务要求</w:t>
            </w:r>
          </w:p>
          <w:p>
            <w:pPr>
              <w:pStyle w:val="null3"/>
              <w:ind w:firstLine="400"/>
              <w:jc w:val="both"/>
            </w:pPr>
            <w:r>
              <w:rPr>
                <w:rFonts w:ascii="仿宋_GB2312" w:hAnsi="仿宋_GB2312" w:cs="仿宋_GB2312" w:eastAsia="仿宋_GB2312"/>
                <w:sz w:val="20"/>
              </w:rPr>
              <w:t>1.服务期限</w:t>
            </w:r>
          </w:p>
          <w:p>
            <w:pPr>
              <w:pStyle w:val="null3"/>
              <w:ind w:firstLine="400"/>
              <w:jc w:val="both"/>
            </w:pPr>
            <w:r>
              <w:rPr>
                <w:rFonts w:ascii="仿宋_GB2312" w:hAnsi="仿宋_GB2312" w:cs="仿宋_GB2312" w:eastAsia="仿宋_GB2312"/>
                <w:sz w:val="20"/>
              </w:rPr>
              <w:t>1.1 首次服务期限：自合同签订之日起一年；</w:t>
            </w:r>
          </w:p>
          <w:p>
            <w:pPr>
              <w:pStyle w:val="null3"/>
              <w:ind w:firstLine="400"/>
              <w:jc w:val="both"/>
            </w:pPr>
            <w:r>
              <w:rPr>
                <w:rFonts w:ascii="仿宋_GB2312" w:hAnsi="仿宋_GB2312" w:cs="仿宋_GB2312" w:eastAsia="仿宋_GB2312"/>
                <w:sz w:val="20"/>
              </w:rPr>
              <w:t>1.2 继续服务的约定：首次服务期限满前30日内，采购人对中标人履约考核合格、采购人预算落实的前提下，双方可协商续签合同不超过2次，每次不超过1年。总服务期限不超过3年；</w:t>
            </w:r>
          </w:p>
          <w:p>
            <w:pPr>
              <w:pStyle w:val="null3"/>
              <w:ind w:firstLine="400"/>
              <w:jc w:val="both"/>
            </w:pPr>
            <w:r>
              <w:rPr>
                <w:rFonts w:ascii="仿宋_GB2312" w:hAnsi="仿宋_GB2312" w:cs="仿宋_GB2312" w:eastAsia="仿宋_GB2312"/>
                <w:sz w:val="20"/>
              </w:rPr>
              <w:t>1.3 续签合同不改变本采购文件及中标人响应文件约定的服务范围、服务标准、考核细则，续签合同的单价严格执行原中标单价或≤原中标单价。</w:t>
            </w:r>
          </w:p>
          <w:p>
            <w:pPr>
              <w:pStyle w:val="null3"/>
              <w:ind w:firstLine="400"/>
              <w:jc w:val="both"/>
            </w:pPr>
            <w:r>
              <w:rPr>
                <w:rFonts w:ascii="仿宋_GB2312" w:hAnsi="仿宋_GB2312" w:cs="仿宋_GB2312" w:eastAsia="仿宋_GB2312"/>
                <w:sz w:val="20"/>
              </w:rPr>
              <w:t>1.4 终止继续服务的约定：若中标人履约考核不合格、采购人预算取消或双方无法达成续签共识，本合同到期自动终止，采购人有权重新组织招标。</w:t>
            </w:r>
          </w:p>
          <w:p>
            <w:pPr>
              <w:pStyle w:val="null3"/>
            </w:pPr>
            <w:r>
              <w:rPr>
                <w:rFonts w:ascii="仿宋_GB2312" w:hAnsi="仿宋_GB2312" w:cs="仿宋_GB2312" w:eastAsia="仿宋_GB2312"/>
                <w:sz w:val="20"/>
              </w:rPr>
              <w:t>2.款项结算：合同签订后每满三个月后 5 个工作日内支付该时间段的服务费用。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0"/>
              <w:jc w:val="both"/>
            </w:pPr>
            <w:r>
              <w:rPr>
                <w:rFonts w:ascii="仿宋_GB2312" w:hAnsi="仿宋_GB2312" w:cs="仿宋_GB2312" w:eastAsia="仿宋_GB2312"/>
                <w:sz w:val="20"/>
              </w:rPr>
              <w:t>四、其他</w:t>
            </w:r>
          </w:p>
          <w:p>
            <w:pPr>
              <w:pStyle w:val="null3"/>
              <w:ind w:firstLine="400"/>
              <w:jc w:val="both"/>
            </w:pPr>
            <w:r>
              <w:rPr>
                <w:rFonts w:ascii="仿宋_GB2312" w:hAnsi="仿宋_GB2312" w:cs="仿宋_GB2312" w:eastAsia="仿宋_GB2312"/>
                <w:sz w:val="20"/>
              </w:rPr>
              <w:t>1.对服务商的业绩要求：要求服务商提供近三年类似项目（物业）业绩；</w:t>
            </w:r>
          </w:p>
          <w:p>
            <w:pPr>
              <w:pStyle w:val="null3"/>
              <w:ind w:firstLine="400"/>
              <w:jc w:val="both"/>
            </w:pPr>
            <w:r>
              <w:rPr>
                <w:rFonts w:ascii="仿宋_GB2312" w:hAnsi="仿宋_GB2312" w:cs="仿宋_GB2312" w:eastAsia="仿宋_GB2312"/>
                <w:sz w:val="20"/>
              </w:rPr>
              <w:t>2.根据相关法律法规及本合同的约定，制订物业管理制度；</w:t>
            </w:r>
          </w:p>
          <w:p>
            <w:pPr>
              <w:pStyle w:val="null3"/>
              <w:ind w:firstLine="400"/>
              <w:jc w:val="both"/>
            </w:pPr>
            <w:r>
              <w:rPr>
                <w:rFonts w:ascii="仿宋_GB2312" w:hAnsi="仿宋_GB2312" w:cs="仿宋_GB2312" w:eastAsia="仿宋_GB2312"/>
                <w:sz w:val="20"/>
              </w:rPr>
              <w:t>3.对业主和物业使用人违反法规、规章的行为，请有关部门处理；</w:t>
            </w:r>
          </w:p>
          <w:p>
            <w:pPr>
              <w:pStyle w:val="null3"/>
              <w:ind w:firstLine="400"/>
              <w:jc w:val="both"/>
            </w:pPr>
            <w:r>
              <w:rPr>
                <w:rFonts w:ascii="仿宋_GB2312" w:hAnsi="仿宋_GB2312" w:cs="仿宋_GB2312" w:eastAsia="仿宋_GB2312"/>
                <w:sz w:val="20"/>
              </w:rPr>
              <w:t>4.按约定（对物业使用人有违反业主公约的行为，针对具体行为并根据情节轻重，采取批评、规劝、警告、制止等措施，并报有关执法部门处理。）对业主和物业使用人违反业主公约的行为进行处理；</w:t>
            </w:r>
          </w:p>
          <w:p>
            <w:pPr>
              <w:pStyle w:val="null3"/>
              <w:ind w:firstLine="400"/>
              <w:jc w:val="both"/>
            </w:pPr>
            <w:r>
              <w:rPr>
                <w:rFonts w:ascii="仿宋_GB2312" w:hAnsi="仿宋_GB2312" w:cs="仿宋_GB2312" w:eastAsia="仿宋_GB2312"/>
                <w:sz w:val="20"/>
              </w:rPr>
              <w:t>5.对本物业的公用设施不得擅自占用和改变使用功能，如需在本物业内改、扩建或完善配套项目，须与甲方协商经甲方同意后报有关部门批准方可实施；</w:t>
            </w:r>
          </w:p>
          <w:p>
            <w:pPr>
              <w:pStyle w:val="null3"/>
              <w:ind w:firstLine="400"/>
              <w:jc w:val="both"/>
            </w:pPr>
            <w:r>
              <w:rPr>
                <w:rFonts w:ascii="仿宋_GB2312" w:hAnsi="仿宋_GB2312" w:cs="仿宋_GB2312" w:eastAsia="仿宋_GB2312"/>
                <w:sz w:val="20"/>
              </w:rPr>
              <w:t>6.服务终止时，乙方必须向甲方移交全部经营性商业用房、管理用房及物业管理的全部档案资料。</w:t>
            </w:r>
          </w:p>
          <w:p>
            <w:pPr>
              <w:pStyle w:val="null3"/>
              <w:ind w:firstLine="400"/>
              <w:jc w:val="both"/>
            </w:pPr>
            <w:r>
              <w:rPr>
                <w:rFonts w:ascii="仿宋_GB2312" w:hAnsi="仿宋_GB2312" w:cs="仿宋_GB2312" w:eastAsia="仿宋_GB2312"/>
                <w:sz w:val="20"/>
              </w:rPr>
              <w:t>7.乙方承接物业时，甲方应配合乙方对物业共用部位、共用设施设备进行查验并签订确认书。</w:t>
            </w:r>
          </w:p>
          <w:p>
            <w:pPr>
              <w:pStyle w:val="null3"/>
            </w:pPr>
            <w:r>
              <w:rPr>
                <w:rFonts w:ascii="仿宋_GB2312" w:hAnsi="仿宋_GB2312" w:cs="仿宋_GB2312" w:eastAsia="仿宋_GB2312"/>
                <w:sz w:val="20"/>
              </w:rPr>
              <w:t xml:space="preserve">    8.乙方承接物业时，甲方应向乙方移交与物业相关的竣工总平面图，配套设施、地下管网工程竣工图等资料。</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西安市长安区西安郭杜教育科技产业开发区长安国际企业总部</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其他，每季度按约定的物业服务事项和标准保质保量的提供物业服务，达到付款条件起5个工作日内，支付合同总金额的25.0%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其他，每季度按约定的物业服务事项和标准保质保量的提供物业服务，达到付款条件起5个工作日内，支付合同总金额的25.0%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其他，每季度按约定的物业服务事项和标准保质保量的提供物业服务，达到付款条件起5个工作日内，支付合同总金额的25.0%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其他，每季度按约定的物业服务事项和标准保质保量的提供物业服务，达到付款条件起5个工作日内，支付合同总金额的25.0%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1、本合同在履行过程中发生的争议，由甲、乙双方当事人协商解决，协商不成的按下列第 种方式解决： （1）提交西安仲裁委员会仲裁； （2）依法向甲方所在地人民法院起诉。 2、本条款为独立条款，本合同的无效、变更、解除和终止均不影响本条款的效力。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1、本项目采购内容“西安郭杜教育科技产业开发区管理委员会园区物业服务项目”对应的中小企业划分标准所属行业为：物业管理。 2、供应商需要在线提交所有通过电子化交易平台实施的政府采购项目的响应文件，成交供应商在成交结果公示后需提交纸质版投标文件正本1 套、副本3套（与上传电子文件保持一致）)用于项目存档。 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具有独立承担民事责任能力的法人、其他组织或自然人：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法定代表人（单位负责人）身份证明书/法定代表人（单位负责人）授权委托书</w:t>
            </w:r>
          </w:p>
        </w:tc>
        <w:tc>
          <w:tcPr>
            <w:tcW w:type="dxa" w:w="3322"/>
          </w:tcPr>
          <w:p>
            <w:pPr>
              <w:pStyle w:val="null3"/>
            </w:pPr>
            <w:r>
              <w:rPr>
                <w:rFonts w:ascii="仿宋_GB2312" w:hAnsi="仿宋_GB2312" w:cs="仿宋_GB2312" w:eastAsia="仿宋_GB2312"/>
              </w:rPr>
              <w:t>法定代表人身份证明或法定代表人授权委托书：法定代表人直接参加投标的，须提供法定代表人身份证明；法定代表人授权代表参加投标的，须提供法定代表人授权委托书。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提供经审计的2024年或2025年财务审计报告（成立时间至开标时间不足一年的可提供成立后任意时段的资产负债表）或提供基本存款账户信息及磋商截止日期前三个月内其基本存款账户开户银行出具的资信证明。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提供磋商截止日期前六个月内任意一个月的纳税证明或完税证明。依法免税的供应商应提供相关文件证明。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提供磋商截止日期前六个月内任意一个月的社会保障资金缴存单据或社保机构开具的社会保险参保缴费情况证明，依法不需要缴纳社会保障资金的供应商应提供相关文件证明。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信用信息要求</w:t>
            </w:r>
          </w:p>
        </w:tc>
        <w:tc>
          <w:tcPr>
            <w:tcW w:type="dxa" w:w="3322"/>
          </w:tcPr>
          <w:p>
            <w:pPr>
              <w:pStyle w:val="null3"/>
            </w:pPr>
            <w:r>
              <w:rPr>
                <w:rFonts w:ascii="仿宋_GB2312" w:hAnsi="仿宋_GB2312" w:cs="仿宋_GB2312" w:eastAsia="仿宋_GB2312"/>
              </w:rPr>
              <w:t>投标供应商不得被“信用中国”（www.creditchina.gov.cn）列入重大税收违法失信主体；不得被“中国执行信息公开网”（www.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联合体要求</w:t>
            </w:r>
          </w:p>
        </w:tc>
        <w:tc>
          <w:tcPr>
            <w:tcW w:type="dxa" w:w="3322"/>
          </w:tcPr>
          <w:p>
            <w:pPr>
              <w:pStyle w:val="null3"/>
            </w:pPr>
            <w:r>
              <w:rPr>
                <w:rFonts w:ascii="仿宋_GB2312" w:hAnsi="仿宋_GB2312" w:cs="仿宋_GB2312" w:eastAsia="仿宋_GB2312"/>
              </w:rPr>
              <w:t>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服务方案响应.docx 标的清单 报价表 商务条款响应偏离表.docx 服务内容及服务要求应答表.docx 供应商认为有必要提供的其他资料.docx 响应函 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响应⽂件项⽬名称、项⽬编号</w:t>
            </w:r>
          </w:p>
        </w:tc>
        <w:tc>
          <w:tcPr>
            <w:tcW w:type="dxa" w:w="3322"/>
          </w:tcPr>
          <w:p>
            <w:pPr>
              <w:pStyle w:val="null3"/>
            </w:pPr>
            <w:r>
              <w:rPr>
                <w:rFonts w:ascii="仿宋_GB2312" w:hAnsi="仿宋_GB2312" w:cs="仿宋_GB2312" w:eastAsia="仿宋_GB2312"/>
              </w:rPr>
              <w:t>响应⽂件的项⽬名称、项⽬编号与本项⽬完全⼀致，且⽆遗漏。</w:t>
            </w:r>
          </w:p>
        </w:tc>
        <w:tc>
          <w:tcPr>
            <w:tcW w:type="dxa" w:w="1661"/>
          </w:tcPr>
          <w:p>
            <w:pPr>
              <w:pStyle w:val="null3"/>
            </w:pPr>
            <w:r>
              <w:rPr>
                <w:rFonts w:ascii="仿宋_GB2312" w:hAnsi="仿宋_GB2312" w:cs="仿宋_GB2312" w:eastAsia="仿宋_GB2312"/>
              </w:rPr>
              <w:t>服务方案响应.docx 中小企业声明函 商务条款响应偏离表.docx 报价表 供应商认为有必要提供的其他资料.docx 资格证明文件.docx 响应文件封面 残疾人福利性单位声明函 标的清单 服务内容及服务要求应答表.docx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响应⽂件按磋商⽂件要求签字盖章</w:t>
            </w:r>
          </w:p>
        </w:tc>
        <w:tc>
          <w:tcPr>
            <w:tcW w:type="dxa" w:w="1661"/>
          </w:tcPr>
          <w:p>
            <w:pPr>
              <w:pStyle w:val="null3"/>
            </w:pPr>
            <w:r>
              <w:rPr>
                <w:rFonts w:ascii="仿宋_GB2312" w:hAnsi="仿宋_GB2312" w:cs="仿宋_GB2312" w:eastAsia="仿宋_GB2312"/>
              </w:rPr>
              <w:t>服务方案响应.docx 中小企业声明函 报价表 商务条款响应偏离表.docx 供应商认为有必要提供的其他资料.docx 资格证明文件.docx 响应文件封面 残疾人福利性单位声明函 标的清单 服务内容及服务要求应答表.docx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有效期响应达到磋商⽂件要求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⽆不符合法律、法规和磋商⽂件规定的其他⽆效情形。</w:t>
            </w:r>
          </w:p>
        </w:tc>
        <w:tc>
          <w:tcPr>
            <w:tcW w:type="dxa" w:w="1661"/>
          </w:tcPr>
          <w:p>
            <w:pPr>
              <w:pStyle w:val="null3"/>
            </w:pPr>
            <w:r>
              <w:rPr>
                <w:rFonts w:ascii="仿宋_GB2312" w:hAnsi="仿宋_GB2312" w:cs="仿宋_GB2312" w:eastAsia="仿宋_GB2312"/>
              </w:rPr>
              <w:t>服务方案响应.docx 中小企业声明函 报价表 商务条款响应偏离表.docx 供应商认为有必要提供的其他资料.docx 资格证明文件.docx 响应文件封面 残疾人福利性单位声明函 标的清单 服务内容及服务要求应答表.docx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一、评审内容：针对本项目提供服务方案，内容包括但不限于1、综合管理方案； 2、环境卫生维护方案； 3、公共秩序维护方案； 4、设施设备维护运行方案；5、绿化养护方案；6、安全保卫服务方案 7、物业资料档案管理方案。 二、评审标准：方案各部分内容全面详细、阐述条理清晰详尽、符合本项目采购需求，能保障本项目实施得21分；评审内容每缺一项扣3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服务方案响应.docx</w:t>
            </w:r>
          </w:p>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一、评审内容：针对本项目提供质量保障方案，内容包括但不限于1、服务质量监督控制措施； 2、服务质量保障措施； 3、服务保障承诺； 4、紧急事项保障措施 二、评审标准：方案各部分内容全面详细、阐述条理清晰详尽、符合本项目采购需求，能保障本项目实施得12分；评审内容每缺一项扣3分，每有一处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服务方案响应.docx</w:t>
            </w:r>
          </w:p>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一、评审内容：提供针对本项目的应急方案，内容包含但不限于1、突发事件、治安消防、车辆安全管理预案2、极端天气及灾害应急预案3、节假日及临时性活动保障方案。 二、评审标准:方案各部分内容全面详细、阐述条理清晰详尽、符合本项目采购需求，能保障本项目实施得6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服务方案响应.docx</w:t>
            </w:r>
          </w:p>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一、评审内容：供应商针对本项目提供完成项目的管理制度，内容包括但不限于1、公司管理制度；2、员工专业技能和职业素养培训制度；3、员工考核制度；4、公司保密制度。 二、评审标准：以上内容提供一项得3分，满分12分，缺一项扣3分，扣完为止。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服务方案响应.docx</w:t>
            </w:r>
          </w:p>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一、评审内容：提供拟派人员配备的具体情况，包括但不限于服务人员的专业资格/职称、相关工作经验等。人员应包括1、保安；2、保洁；3、水电；4、管理人员等， 各岗位人员数量充足，分工明确合理；人员相关岗位经验及人数符合本项目实际情况。 二、评审标准：以上内容每提供一个岗位人员且人员数量满足采购需求得3分，满分12分，每缺一个岗位人员或人员数量不满足采购需求扣3分，扣完为止。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服务方案响应.docx</w:t>
            </w:r>
          </w:p>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工具、设备配备方案</w:t>
            </w:r>
          </w:p>
        </w:tc>
        <w:tc>
          <w:tcPr>
            <w:tcW w:type="dxa" w:w="2492"/>
          </w:tcPr>
          <w:p>
            <w:pPr>
              <w:pStyle w:val="null3"/>
            </w:pPr>
            <w:r>
              <w:rPr>
                <w:rFonts w:ascii="仿宋_GB2312" w:hAnsi="仿宋_GB2312" w:cs="仿宋_GB2312" w:eastAsia="仿宋_GB2312"/>
              </w:rPr>
              <w:t>一、评审内容：提供工具、设备配备的具体情况，包括但不限于1、洗地机；2、打蜡机；3、升降机；4、电动三轮车；5、电动三轮洒水车；6、割草机；7、绿篱机；8、打边机；9、吸尘器；10、办公电脑等，各设备数量充足，符合本项目实际情况。 二、评审标准：以上内容每提供一种工具、设备且数量符合采购需求得1分，满分10分，每缺一种工具、设备或数量不符合采购需求扣1分，扣完为止。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服务方案响应.docx</w:t>
            </w:r>
          </w:p>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近三年的类似业绩（物业服务）证明（2023年5月至今）一个类似业绩 3分，最多 9 分。（注：1、提供类似业绩合同复印件加盖公章，日期以签订合同时间为准。）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服务方案响应.docx</w:t>
            </w:r>
          </w:p>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一、评审内容：提供对本次项目的服务承诺，包含但不限于1、针对本项目的各项服务质量目标及履约；2、服务人员、工具设备入场计划及数量；3、资料保护、保密及泄密赔付；4、其他增值服务等。 二、评审标准：以上内容提供一项得2分，满分8分，缺一项扣2分，扣完为止。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服务方案响应.docx</w:t>
            </w:r>
          </w:p>
          <w:p>
            <w:pPr>
              <w:pStyle w:val="null3"/>
            </w:pPr>
            <w:r>
              <w:rPr>
                <w:rFonts w:ascii="仿宋_GB2312" w:hAnsi="仿宋_GB2312" w:cs="仿宋_GB2312" w:eastAsia="仿宋_GB2312"/>
              </w:rPr>
              <w:t>供应商认为有必要提供的其他资料.docx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详见附件：服务方案响应.docx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