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64444">
      <w:pPr>
        <w:shd w:val="clear" w:color="auto"/>
        <w:spacing w:line="360" w:lineRule="auto"/>
        <w:jc w:val="center"/>
        <w:outlineLvl w:val="0"/>
        <w:rPr>
          <w:rFonts w:eastAsia="仿宋"/>
          <w:color w:val="auto"/>
          <w:sz w:val="52"/>
          <w:szCs w:val="52"/>
          <w:highlight w:val="none"/>
        </w:rPr>
      </w:pPr>
      <w:bookmarkStart w:id="0" w:name="_Hlk87218400"/>
      <w:r>
        <w:rPr>
          <w:rStyle w:val="17"/>
          <w:rFonts w:ascii="Times New Roman" w:eastAsia="仿宋"/>
          <w:b/>
          <w:bCs w:val="0"/>
          <w:color w:val="auto"/>
          <w:sz w:val="32"/>
          <w:szCs w:val="32"/>
          <w:highlight w:val="none"/>
        </w:rPr>
        <w:t>拟签订的合同</w:t>
      </w:r>
      <w:bookmarkStart w:id="1" w:name="_Hlt487972895"/>
      <w:bookmarkEnd w:id="1"/>
      <w:bookmarkStart w:id="2" w:name="_Toc487900382"/>
      <w:bookmarkStart w:id="3" w:name="_Toc216513788"/>
      <w:r>
        <w:rPr>
          <w:rStyle w:val="17"/>
          <w:rFonts w:ascii="Times New Roman" w:eastAsia="仿宋"/>
          <w:b/>
          <w:bCs w:val="0"/>
          <w:color w:val="auto"/>
          <w:sz w:val="32"/>
          <w:szCs w:val="32"/>
          <w:highlight w:val="none"/>
        </w:rPr>
        <w:t>文本</w:t>
      </w:r>
      <w:bookmarkEnd w:id="2"/>
      <w:bookmarkEnd w:id="3"/>
    </w:p>
    <w:p w14:paraId="23F8DFE4">
      <w:pPr>
        <w:shd w:val="clear"/>
        <w:rPr>
          <w:rFonts w:hint="eastAsia" w:ascii="仿宋" w:hAnsi="仿宋" w:eastAsia="仿宋"/>
          <w:b/>
          <w:bCs/>
          <w:color w:val="auto"/>
          <w:sz w:val="44"/>
          <w:highlight w:val="none"/>
        </w:rPr>
      </w:pPr>
    </w:p>
    <w:p w14:paraId="4CC63C91">
      <w:pPr>
        <w:shd w:val="clear"/>
        <w:spacing w:line="1200" w:lineRule="exact"/>
        <w:jc w:val="center"/>
        <w:rPr>
          <w:rFonts w:hint="eastAsia" w:ascii="黑体" w:hAnsi="黑体" w:eastAsia="黑体"/>
          <w:b/>
          <w:bCs/>
          <w:color w:val="auto"/>
          <w:sz w:val="52"/>
          <w:highlight w:val="none"/>
        </w:rPr>
      </w:pPr>
      <w:r>
        <w:rPr>
          <w:rFonts w:hint="eastAsia" w:ascii="黑体" w:hAnsi="黑体" w:eastAsia="黑体"/>
          <w:b/>
          <w:bCs/>
          <w:color w:val="auto"/>
          <w:sz w:val="52"/>
          <w:highlight w:val="none"/>
        </w:rPr>
        <w:t>西安市医疗废物集中处置</w:t>
      </w:r>
    </w:p>
    <w:p w14:paraId="6549934C">
      <w:pPr>
        <w:shd w:val="clear"/>
        <w:spacing w:line="1200" w:lineRule="exact"/>
        <w:jc w:val="center"/>
        <w:rPr>
          <w:rFonts w:hint="eastAsia" w:ascii="仿宋" w:hAnsi="仿宋" w:eastAsia="仿宋"/>
          <w:b/>
          <w:bCs/>
          <w:color w:val="auto"/>
          <w:sz w:val="52"/>
          <w:highlight w:val="none"/>
        </w:rPr>
      </w:pPr>
      <w:r>
        <w:rPr>
          <w:rFonts w:hint="eastAsia" w:ascii="黑体" w:hAnsi="黑体" w:eastAsia="黑体"/>
          <w:b/>
          <w:bCs/>
          <w:color w:val="auto"/>
          <w:sz w:val="52"/>
          <w:highlight w:val="none"/>
        </w:rPr>
        <w:t>委 托 合 同</w:t>
      </w:r>
    </w:p>
    <w:p w14:paraId="03FACBC4">
      <w:pPr>
        <w:shd w:val="clear"/>
        <w:jc w:val="center"/>
        <w:rPr>
          <w:rFonts w:hint="eastAsia" w:ascii="仿宋" w:hAnsi="仿宋" w:eastAsia="仿宋"/>
          <w:color w:val="auto"/>
          <w:sz w:val="32"/>
          <w:highlight w:val="none"/>
        </w:rPr>
      </w:pPr>
      <w:r>
        <w:rPr>
          <w:rFonts w:hint="eastAsia" w:ascii="仿宋" w:hAnsi="仿宋" w:eastAsia="仿宋"/>
          <w:color w:val="auto"/>
          <w:sz w:val="32"/>
          <w:highlight w:val="none"/>
        </w:rPr>
        <w:t>(一级以上（含一级）医院专用)</w:t>
      </w:r>
    </w:p>
    <w:p w14:paraId="019B88C6">
      <w:pPr>
        <w:shd w:val="clear"/>
        <w:spacing w:line="1020" w:lineRule="exact"/>
        <w:jc w:val="center"/>
        <w:rPr>
          <w:rFonts w:hint="eastAsia" w:ascii="仿宋" w:hAnsi="仿宋" w:eastAsia="仿宋"/>
          <w:b/>
          <w:bCs/>
          <w:color w:val="auto"/>
          <w:sz w:val="52"/>
          <w:highlight w:val="none"/>
        </w:rPr>
      </w:pPr>
    </w:p>
    <w:p w14:paraId="0D7B5676">
      <w:pPr>
        <w:shd w:val="clear"/>
        <w:jc w:val="center"/>
        <w:rPr>
          <w:rFonts w:hint="eastAsia" w:ascii="仿宋" w:hAnsi="仿宋" w:eastAsia="仿宋"/>
          <w:b/>
          <w:bCs/>
          <w:color w:val="auto"/>
          <w:sz w:val="52"/>
          <w:highlight w:val="none"/>
        </w:rPr>
      </w:pPr>
    </w:p>
    <w:p w14:paraId="523B397B">
      <w:pPr>
        <w:shd w:val="clear"/>
        <w:jc w:val="center"/>
        <w:rPr>
          <w:rFonts w:hint="eastAsia" w:ascii="仿宋" w:hAnsi="仿宋" w:eastAsia="仿宋"/>
          <w:b/>
          <w:bCs/>
          <w:color w:val="auto"/>
          <w:sz w:val="44"/>
          <w:highlight w:val="none"/>
        </w:rPr>
      </w:pPr>
    </w:p>
    <w:p w14:paraId="6336F680">
      <w:pPr>
        <w:shd w:val="clear"/>
        <w:rPr>
          <w:rFonts w:hint="eastAsia" w:ascii="仿宋" w:hAnsi="仿宋" w:eastAsia="仿宋"/>
          <w:color w:val="auto"/>
          <w:sz w:val="32"/>
          <w:highlight w:val="none"/>
        </w:rPr>
      </w:pPr>
    </w:p>
    <w:p w14:paraId="0C407E35">
      <w:pPr>
        <w:shd w:val="clear"/>
        <w:rPr>
          <w:rFonts w:hint="eastAsia" w:ascii="仿宋" w:hAnsi="仿宋" w:eastAsia="仿宋"/>
          <w:color w:val="auto"/>
          <w:sz w:val="32"/>
          <w:highlight w:val="none"/>
        </w:rPr>
      </w:pPr>
    </w:p>
    <w:p w14:paraId="7490F9D0">
      <w:pPr>
        <w:shd w:val="clear"/>
        <w:rPr>
          <w:rFonts w:hint="eastAsia" w:ascii="仿宋" w:hAnsi="仿宋" w:eastAsia="仿宋"/>
          <w:color w:val="auto"/>
          <w:sz w:val="32"/>
          <w:highlight w:val="none"/>
        </w:rPr>
      </w:pPr>
    </w:p>
    <w:p w14:paraId="25DDCCB0">
      <w:pPr>
        <w:shd w:val="clear"/>
        <w:rPr>
          <w:rFonts w:hint="eastAsia" w:ascii="仿宋" w:hAnsi="仿宋" w:eastAsia="仿宋"/>
          <w:color w:val="auto"/>
          <w:sz w:val="32"/>
          <w:highlight w:val="none"/>
        </w:rPr>
      </w:pPr>
    </w:p>
    <w:p w14:paraId="47D16F82">
      <w:pPr>
        <w:shd w:val="clear"/>
        <w:ind w:firstLine="280" w:firstLineChars="100"/>
        <w:rPr>
          <w:rFonts w:hint="eastAsia" w:ascii="仿宋" w:hAnsi="仿宋" w:eastAsia="仿宋"/>
          <w:color w:val="auto"/>
          <w:sz w:val="28"/>
          <w:highlight w:val="none"/>
        </w:rPr>
      </w:pPr>
    </w:p>
    <w:p w14:paraId="3DE64A69">
      <w:pPr>
        <w:shd w:val="clear"/>
        <w:ind w:firstLine="280" w:firstLineChars="100"/>
        <w:rPr>
          <w:rFonts w:hint="eastAsia" w:ascii="仿宋" w:hAnsi="仿宋" w:eastAsia="仿宋"/>
          <w:color w:val="auto"/>
          <w:sz w:val="28"/>
          <w:highlight w:val="none"/>
        </w:rPr>
      </w:pPr>
    </w:p>
    <w:p w14:paraId="1CB946BE">
      <w:pPr>
        <w:shd w:val="clear"/>
        <w:ind w:firstLine="1280" w:firstLineChars="400"/>
        <w:rPr>
          <w:rFonts w:hint="default" w:ascii="仿宋" w:hAnsi="仿宋" w:eastAsia="仿宋"/>
          <w:color w:val="auto"/>
          <w:sz w:val="32"/>
          <w:highlight w:val="none"/>
          <w:u w:val="single"/>
          <w:lang w:val="en-US" w:eastAsia="zh-CN"/>
        </w:rPr>
      </w:pPr>
      <w:r>
        <w:rPr>
          <w:rFonts w:hint="eastAsia" w:ascii="仿宋" w:hAnsi="仿宋" w:eastAsia="仿宋"/>
          <w:color w:val="auto"/>
          <w:sz w:val="32"/>
          <w:highlight w:val="none"/>
        </w:rPr>
        <w:t>甲方:</w:t>
      </w:r>
      <w:r>
        <w:rPr>
          <w:rFonts w:hint="eastAsia" w:ascii="仿宋" w:hAnsi="仿宋" w:eastAsia="仿宋"/>
          <w:color w:val="auto"/>
          <w:sz w:val="32"/>
          <w:highlight w:val="none"/>
          <w:u w:val="single"/>
        </w:rPr>
        <w:t xml:space="preserve">  </w:t>
      </w:r>
      <w:r>
        <w:rPr>
          <w:rFonts w:hint="eastAsia" w:ascii="仿宋" w:hAnsi="仿宋" w:eastAsia="仿宋"/>
          <w:color w:val="auto"/>
          <w:sz w:val="32"/>
          <w:highlight w:val="none"/>
          <w:u w:val="single"/>
          <w:lang w:val="en-US" w:eastAsia="zh-CN"/>
        </w:rPr>
        <w:t xml:space="preserve">    </w:t>
      </w:r>
      <w:r>
        <w:rPr>
          <w:rFonts w:hint="eastAsia" w:ascii="仿宋" w:hAnsi="仿宋" w:eastAsia="仿宋"/>
          <w:color w:val="auto"/>
          <w:sz w:val="32"/>
          <w:highlight w:val="none"/>
          <w:u w:val="single"/>
        </w:rPr>
        <w:t>西安市中心医院</w:t>
      </w:r>
      <w:r>
        <w:rPr>
          <w:rFonts w:hint="eastAsia" w:ascii="仿宋" w:hAnsi="仿宋" w:eastAsia="仿宋"/>
          <w:color w:val="auto"/>
          <w:sz w:val="32"/>
          <w:highlight w:val="none"/>
          <w:u w:val="single"/>
          <w:lang w:val="en-US" w:eastAsia="zh-CN"/>
        </w:rPr>
        <w:t xml:space="preserve">      </w:t>
      </w:r>
    </w:p>
    <w:p w14:paraId="3335EC62">
      <w:pPr>
        <w:shd w:val="clear"/>
        <w:ind w:firstLine="1280" w:firstLineChars="400"/>
        <w:rPr>
          <w:rFonts w:hint="eastAsia" w:ascii="仿宋" w:hAnsi="仿宋" w:eastAsia="仿宋"/>
          <w:color w:val="auto"/>
          <w:sz w:val="32"/>
          <w:highlight w:val="none"/>
          <w:lang w:eastAsia="zh-CN"/>
        </w:rPr>
      </w:pPr>
      <w:r>
        <w:rPr>
          <w:rFonts w:hint="eastAsia" w:ascii="仿宋" w:hAnsi="仿宋" w:eastAsia="仿宋"/>
          <w:color w:val="auto"/>
          <w:sz w:val="32"/>
          <w:highlight w:val="none"/>
        </w:rPr>
        <w:t>乙方:</w:t>
      </w:r>
      <w:r>
        <w:rPr>
          <w:rFonts w:hint="eastAsia" w:ascii="仿宋" w:hAnsi="仿宋" w:eastAsia="仿宋"/>
          <w:color w:val="auto"/>
          <w:sz w:val="32"/>
          <w:highlight w:val="none"/>
          <w:u w:val="single"/>
        </w:rPr>
        <w:t xml:space="preserve">  </w:t>
      </w:r>
      <w:r>
        <w:rPr>
          <w:rFonts w:hint="eastAsia" w:ascii="仿宋" w:hAnsi="仿宋" w:eastAsia="仿宋"/>
          <w:color w:val="auto"/>
          <w:sz w:val="32"/>
          <w:highlight w:val="none"/>
          <w:u w:val="single"/>
          <w:lang w:val="en-US" w:eastAsia="zh-CN"/>
        </w:rPr>
        <w:t xml:space="preserve">                        </w:t>
      </w:r>
      <w:r>
        <w:rPr>
          <w:rFonts w:hint="eastAsia" w:ascii="仿宋" w:hAnsi="仿宋" w:eastAsia="仿宋"/>
          <w:color w:val="auto"/>
          <w:sz w:val="32"/>
          <w:highlight w:val="none"/>
        </w:rPr>
        <w:t xml:space="preserve">   </w:t>
      </w:r>
    </w:p>
    <w:p w14:paraId="2DFE4B7B">
      <w:pPr>
        <w:shd w:val="clear"/>
        <w:ind w:firstLine="2240" w:firstLineChars="700"/>
        <w:rPr>
          <w:rFonts w:hint="eastAsia" w:ascii="仿宋" w:hAnsi="仿宋" w:eastAsia="仿宋"/>
          <w:color w:val="auto"/>
          <w:sz w:val="32"/>
          <w:highlight w:val="none"/>
        </w:rPr>
      </w:pPr>
      <w:r>
        <w:rPr>
          <w:rFonts w:hint="eastAsia" w:ascii="仿宋" w:hAnsi="仿宋" w:eastAsia="仿宋"/>
          <w:color w:val="auto"/>
          <w:sz w:val="32"/>
          <w:highlight w:val="none"/>
        </w:rPr>
        <w:t>(西安市医疗废物集中处置中心)</w:t>
      </w:r>
    </w:p>
    <w:p w14:paraId="7F3CC294">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422" w:firstLineChars="200"/>
        <w:textAlignment w:val="auto"/>
        <w:rPr>
          <w:rFonts w:hint="eastAsia"/>
          <w:b/>
          <w:color w:val="auto"/>
          <w:szCs w:val="21"/>
          <w:highlight w:val="none"/>
        </w:rPr>
      </w:pPr>
    </w:p>
    <w:p w14:paraId="3EC344B3">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422" w:firstLineChars="200"/>
        <w:textAlignment w:val="auto"/>
        <w:rPr>
          <w:rFonts w:hint="eastAsia"/>
          <w:b/>
          <w:color w:val="auto"/>
          <w:szCs w:val="21"/>
          <w:highlight w:val="none"/>
        </w:rPr>
      </w:pPr>
    </w:p>
    <w:p w14:paraId="442DC511">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422" w:firstLineChars="200"/>
        <w:textAlignment w:val="auto"/>
        <w:rPr>
          <w:rFonts w:hint="eastAsia"/>
          <w:b/>
          <w:color w:val="auto"/>
          <w:szCs w:val="21"/>
          <w:highlight w:val="none"/>
        </w:rPr>
        <w:sectPr>
          <w:headerReference r:id="rId3" w:type="default"/>
          <w:footerReference r:id="rId4" w:type="default"/>
          <w:footerReference r:id="rId5" w:type="even"/>
          <w:pgSz w:w="11906" w:h="16838"/>
          <w:pgMar w:top="1440" w:right="1800" w:bottom="1440" w:left="1800" w:header="284" w:footer="567" w:gutter="0"/>
          <w:cols w:space="720" w:num="1"/>
          <w:docGrid w:type="lines" w:linePitch="312" w:charSpace="0"/>
        </w:sectPr>
      </w:pPr>
    </w:p>
    <w:bookmarkEnd w:id="0"/>
    <w:p w14:paraId="355439E9">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963" w:firstLineChars="200"/>
        <w:jc w:val="center"/>
        <w:textAlignment w:val="auto"/>
        <w:rPr>
          <w:rFonts w:hint="eastAsia"/>
          <w:color w:val="auto"/>
          <w:szCs w:val="21"/>
          <w:highlight w:val="none"/>
        </w:rPr>
      </w:pPr>
      <w:r>
        <w:rPr>
          <w:rFonts w:hint="eastAsia" w:ascii="新宋体" w:hAnsi="新宋体" w:eastAsia="新宋体"/>
          <w:b/>
          <w:color w:val="auto"/>
          <w:spacing w:val="20"/>
          <w:sz w:val="44"/>
          <w:szCs w:val="44"/>
          <w:highlight w:val="none"/>
          <w14:shadow w14:blurRad="50800" w14:dist="38100" w14:dir="2700000" w14:sx="100000" w14:sy="100000" w14:kx="0" w14:ky="0" w14:algn="tl">
            <w14:srgbClr w14:val="000000">
              <w14:alpha w14:val="60000"/>
            </w14:srgbClr>
          </w14:shadow>
        </w:rPr>
        <w:t>医疗废物集中处置合同</w:t>
      </w:r>
    </w:p>
    <w:p w14:paraId="57BE859F">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602" w:firstLineChars="200"/>
        <w:textAlignment w:val="auto"/>
        <w:rPr>
          <w:rFonts w:hint="default" w:ascii="仿宋" w:hAnsi="仿宋" w:eastAsia="仿宋" w:cs="仿宋"/>
          <w:color w:val="auto"/>
          <w:sz w:val="30"/>
          <w:szCs w:val="30"/>
          <w:highlight w:val="none"/>
          <w:lang w:val="en-US"/>
        </w:rPr>
      </w:pPr>
      <w:r>
        <w:rPr>
          <w:rFonts w:hint="eastAsia" w:ascii="仿宋" w:hAnsi="仿宋" w:eastAsia="仿宋" w:cs="仿宋"/>
          <w:b/>
          <w:bCs/>
          <w:color w:val="auto"/>
          <w:sz w:val="30"/>
          <w:szCs w:val="30"/>
          <w:highlight w:val="none"/>
        </w:rPr>
        <w:t>甲  方：</w:t>
      </w:r>
      <w:r>
        <w:rPr>
          <w:rFonts w:hint="eastAsia" w:ascii="仿宋" w:hAnsi="仿宋" w:eastAsia="仿宋" w:cs="仿宋"/>
          <w:color w:val="auto"/>
          <w:sz w:val="30"/>
          <w:szCs w:val="30"/>
          <w:highlight w:val="none"/>
          <w:lang w:val="en-US" w:eastAsia="zh-CN"/>
        </w:rPr>
        <w:t>西安市中心医院</w:t>
      </w:r>
    </w:p>
    <w:p w14:paraId="4DB1E16E">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b/>
          <w:color w:val="auto"/>
          <w:sz w:val="30"/>
          <w:szCs w:val="30"/>
          <w:highlight w:val="none"/>
        </w:rPr>
        <w:t>住所地：</w:t>
      </w:r>
      <w:r>
        <w:rPr>
          <w:rFonts w:hint="eastAsia" w:ascii="仿宋" w:hAnsi="仿宋" w:eastAsia="仿宋" w:cs="仿宋"/>
          <w:color w:val="auto"/>
          <w:sz w:val="30"/>
          <w:szCs w:val="30"/>
          <w:highlight w:val="none"/>
        </w:rPr>
        <w:t>西安市经济技术开发区泾渭新城泾勤路5号</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lang w:val="en-US" w:eastAsia="zh-CN"/>
        </w:rPr>
        <w:t xml:space="preserve">  </w:t>
      </w:r>
    </w:p>
    <w:p w14:paraId="27D7A643">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b/>
          <w:bCs/>
          <w:color w:val="auto"/>
          <w:sz w:val="30"/>
          <w:szCs w:val="30"/>
          <w:highlight w:val="none"/>
        </w:rPr>
        <w:t>乙  方：</w:t>
      </w:r>
    </w:p>
    <w:p w14:paraId="79BE2FF2">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i w:val="0"/>
          <w:iCs w:val="0"/>
          <w:caps w:val="0"/>
          <w:color w:val="auto"/>
          <w:spacing w:val="0"/>
          <w:sz w:val="30"/>
          <w:szCs w:val="30"/>
          <w:highlight w:val="none"/>
          <w:shd w:val="clear" w:fill="FFFFFF"/>
          <w:lang w:val="en-US" w:eastAsia="zh-CN"/>
        </w:rPr>
      </w:pPr>
      <w:r>
        <w:rPr>
          <w:rFonts w:hint="eastAsia" w:ascii="仿宋" w:hAnsi="仿宋" w:eastAsia="仿宋" w:cs="仿宋"/>
          <w:b/>
          <w:color w:val="auto"/>
          <w:sz w:val="30"/>
          <w:szCs w:val="30"/>
          <w:highlight w:val="none"/>
        </w:rPr>
        <w:t>住所地：</w:t>
      </w:r>
    </w:p>
    <w:p w14:paraId="6AED0A06">
      <w:pPr>
        <w:keepNext w:val="0"/>
        <w:keepLines w:val="0"/>
        <w:pageBreakBefore w:val="0"/>
        <w:widowControl w:val="0"/>
        <w:shd w:val="clear"/>
        <w:kinsoku/>
        <w:wordWrap/>
        <w:overflowPunct/>
        <w:topLinePunct w:val="0"/>
        <w:autoSpaceDE/>
        <w:autoSpaceDN/>
        <w:bidi w:val="0"/>
        <w:adjustRightInd/>
        <w:snapToGrid/>
        <w:spacing w:line="240" w:lineRule="auto"/>
        <w:ind w:right="0"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i w:val="0"/>
          <w:iCs w:val="0"/>
          <w:caps w:val="0"/>
          <w:color w:val="auto"/>
          <w:spacing w:val="0"/>
          <w:sz w:val="32"/>
          <w:szCs w:val="32"/>
          <w:highlight w:val="none"/>
          <w:shd w:val="clear" w:fill="FFFFFF"/>
          <w:lang w:val="en-US" w:eastAsia="zh-CN"/>
        </w:rPr>
        <w:t xml:space="preserve">   </w:t>
      </w:r>
      <w:r>
        <w:rPr>
          <w:rFonts w:hint="eastAsia" w:ascii="仿宋" w:hAnsi="仿宋" w:eastAsia="仿宋" w:cs="仿宋"/>
          <w:b/>
          <w:color w:val="auto"/>
          <w:sz w:val="32"/>
          <w:szCs w:val="32"/>
          <w:highlight w:val="none"/>
        </w:rPr>
        <w:t>一、鉴于：</w:t>
      </w:r>
    </w:p>
    <w:p w14:paraId="48EFBE72">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left"/>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甲方是一家在中国依法注册并合法存续的企业，有合法签订并履行本合同的资格，且具有《营业执照》、《医疗机构执业许可证》</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诊所备案证</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等相关经营许可资质。</w:t>
      </w:r>
    </w:p>
    <w:p w14:paraId="4595A5E0">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乙方是一家在中国依法注册并合法存续的企业，有合法签订并履行本合同的资格，且具有“危险废物经营许可”的资格。</w:t>
      </w:r>
    </w:p>
    <w:p w14:paraId="17B2BE2A">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为保障人民群众的身体健康，防止医疗废物污染事故的发生，根据《中华人民共和国固体废物污染环境防治法》、《医疗废物管理条例》（2011修订）等相关法律规定，</w:t>
      </w:r>
      <w:r>
        <w:rPr>
          <w:rFonts w:hint="eastAsia" w:ascii="仿宋" w:hAnsi="仿宋" w:eastAsia="仿宋" w:cs="仿宋"/>
          <w:color w:val="auto"/>
          <w:sz w:val="30"/>
          <w:szCs w:val="30"/>
          <w:highlight w:val="none"/>
          <w:lang w:val="en-US" w:eastAsia="zh-CN"/>
        </w:rPr>
        <w:t>为</w:t>
      </w:r>
      <w:r>
        <w:rPr>
          <w:rFonts w:hint="eastAsia" w:ascii="仿宋" w:hAnsi="仿宋" w:eastAsia="仿宋" w:cs="仿宋"/>
          <w:color w:val="auto"/>
          <w:sz w:val="30"/>
          <w:szCs w:val="30"/>
          <w:highlight w:val="none"/>
        </w:rPr>
        <w:t>实现医疗废物集中处置，甲方与乙方经共同协商，同意由西安市医疗废物集中处置中心——负责处置甲方产生的医疗废物。为明确双方的权利、义务和责任，签订如下合同：</w:t>
      </w:r>
    </w:p>
    <w:p w14:paraId="18AAB52B">
      <w:pPr>
        <w:keepNext w:val="0"/>
        <w:keepLines w:val="0"/>
        <w:pageBreakBefore w:val="0"/>
        <w:widowControl w:val="0"/>
        <w:shd w:val="clear"/>
        <w:kinsoku/>
        <w:wordWrap/>
        <w:overflowPunct/>
        <w:topLinePunct w:val="0"/>
        <w:autoSpaceDE/>
        <w:autoSpaceDN/>
        <w:bidi w:val="0"/>
        <w:adjustRightInd/>
        <w:snapToGrid/>
        <w:spacing w:line="240" w:lineRule="auto"/>
        <w:ind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二、委托处置的范围及地址：</w:t>
      </w:r>
    </w:p>
    <w:p w14:paraId="4218542B">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甲方委托乙方处置的危险废物为： HW01 即甲方在医疗、预防、保健以及相关活动中产生的具有直接或者间接感染性、毒性及其他危害性废物</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是《医疗废物分类目录》中所规定的除化学性废物之外的各项医疗废物。</w:t>
      </w:r>
    </w:p>
    <w:p w14:paraId="62972D0E">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bCs/>
          <w:color w:val="auto"/>
          <w:sz w:val="32"/>
          <w:szCs w:val="32"/>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乙方负责在约定的医疗废物交接地点接收甲方产生的医疗废物，运送至乙方工厂进行无害化处置。</w:t>
      </w:r>
    </w:p>
    <w:p w14:paraId="7F8DAA74">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三、甲方的权利义务：</w:t>
      </w:r>
    </w:p>
    <w:p w14:paraId="1824D4D7">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指定</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rPr>
        <w:t>负责衔接、配合乙方的收运及处置工作</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联系电话：</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rPr>
        <w:t>。</w:t>
      </w:r>
    </w:p>
    <w:p w14:paraId="35A872D6">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甲方应严格按照国家相关的法律法规将医疗废物进行分类、收集、转送、计量、包装、贮存，使用黄色专用包装袋密封，包装后再放置于专用周转桶中，并保证包装袋完整不破损。损伤性医疗废物必须使用“利器盒”包装；液体医疗废物必须使用专用“塑料桶”盛装，并单独存放。</w:t>
      </w:r>
    </w:p>
    <w:p w14:paraId="050F07C2">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甲方应按国家相关规范设立医疗废物暂存点，暂存点中不得存放除医疗废物外的其他废物，禁止存放其他危险废物，医疗废物周转桶必须集中放置在其医疗废物暂存点待运。</w:t>
      </w:r>
    </w:p>
    <w:p w14:paraId="449B3177">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对于设立在一楼以上、地下室等不方便运送人员及运送工具、车辆出入的暂存点，甲方须安排人员配合转运工作。</w:t>
      </w:r>
    </w:p>
    <w:p w14:paraId="0B692FE5">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甲方须在盛装液体医疗废物的“塑料桶”明显位置上粘贴包含废物名称、主要成分、危险特性等内容的标签。</w:t>
      </w:r>
    </w:p>
    <w:p w14:paraId="526A8A0B">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甲方确保医疗废物中不混入其他危险废物。</w:t>
      </w:r>
    </w:p>
    <w:p w14:paraId="52E6B622">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甲方的医疗废物负责人员应提前做好准备等待清运，并按照《医疗废物集中处置技术规范》填写和保存《危险废物转移联单》（医疗废物专用）、《医疗废物运送登记卡》，如当次无废物交接，也必须在联单、登记卡上如实记录。</w:t>
      </w:r>
    </w:p>
    <w:p w14:paraId="586141EC">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8.</w:t>
      </w:r>
      <w:r>
        <w:rPr>
          <w:rFonts w:hint="eastAsia" w:ascii="仿宋" w:hAnsi="仿宋" w:eastAsia="仿宋" w:cs="仿宋"/>
          <w:color w:val="auto"/>
          <w:sz w:val="30"/>
          <w:szCs w:val="30"/>
          <w:highlight w:val="none"/>
        </w:rPr>
        <w:t>根据国家相关的法律法规规定，甲方保证产生的医疗废物，不得擅自自行处置、丢弃、买卖或委托未取得经营许可的第三方处置。</w:t>
      </w:r>
    </w:p>
    <w:p w14:paraId="5F20F1F0">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甲方有义务将其内部有关交通、安全及管理规定告知乙方，保障乙方的医疗废物转运车辆在其院内的运输通道通畅和安全，并在其医疗废物贮存点附近无偿提供停车点位。</w:t>
      </w:r>
    </w:p>
    <w:p w14:paraId="5F16E348">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10.</w:t>
      </w:r>
      <w:r>
        <w:rPr>
          <w:rFonts w:hint="eastAsia" w:ascii="仿宋" w:hAnsi="仿宋" w:eastAsia="仿宋" w:cs="仿宋"/>
          <w:color w:val="auto"/>
          <w:sz w:val="30"/>
          <w:szCs w:val="30"/>
          <w:highlight w:val="none"/>
        </w:rPr>
        <w:t>甲方有处置需求时，须及时通知乙方，如因甲方未及时通知乙方，造成未及时收运和处置，甲方承担相应责任</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如由于乙方未能及时响应收运，对甲方产生的损失，由乙方承担相应责任。</w:t>
      </w:r>
    </w:p>
    <w:p w14:paraId="4F32DC4C">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11.</w:t>
      </w:r>
      <w:r>
        <w:rPr>
          <w:rFonts w:hint="eastAsia" w:ascii="仿宋" w:hAnsi="仿宋" w:eastAsia="仿宋" w:cs="仿宋"/>
          <w:color w:val="auto"/>
          <w:sz w:val="30"/>
          <w:szCs w:val="30"/>
          <w:highlight w:val="none"/>
        </w:rPr>
        <w:t>合同签订，甲方须向乙方提供有效期内的《营业执照》、《医疗机构执业许可证》副本</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诊所备案证</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法人身份证复印件》</w:t>
      </w:r>
      <w:r>
        <w:rPr>
          <w:rFonts w:hint="eastAsia" w:ascii="仿宋" w:hAnsi="仿宋" w:eastAsia="仿宋" w:cs="仿宋"/>
          <w:color w:val="auto"/>
          <w:sz w:val="30"/>
          <w:szCs w:val="30"/>
          <w:highlight w:val="none"/>
        </w:rPr>
        <w:t>或其他经营许可资质复印件，并对其有效性及真实性负责，供乙方存档。</w:t>
      </w:r>
    </w:p>
    <w:p w14:paraId="4FB7B7B5">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12.</w:t>
      </w:r>
      <w:r>
        <w:rPr>
          <w:rFonts w:hint="eastAsia" w:ascii="仿宋" w:hAnsi="仿宋" w:eastAsia="仿宋" w:cs="仿宋"/>
          <w:color w:val="auto"/>
          <w:sz w:val="30"/>
          <w:szCs w:val="30"/>
          <w:highlight w:val="none"/>
        </w:rPr>
        <w:t>指定专人负责乙方提供的专用包装容器的接收及管理工作。</w:t>
      </w:r>
    </w:p>
    <w:p w14:paraId="2525183B">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13.</w:t>
      </w:r>
      <w:r>
        <w:rPr>
          <w:rFonts w:hint="eastAsia" w:ascii="仿宋" w:hAnsi="仿宋" w:eastAsia="仿宋" w:cs="仿宋"/>
          <w:color w:val="auto"/>
          <w:sz w:val="30"/>
          <w:szCs w:val="30"/>
          <w:highlight w:val="none"/>
        </w:rPr>
        <w:t>甲方应根据本合同条款按期</w:t>
      </w:r>
      <w:r>
        <w:rPr>
          <w:rFonts w:hint="eastAsia" w:ascii="仿宋" w:hAnsi="仿宋" w:eastAsia="仿宋" w:cs="仿宋"/>
          <w:color w:val="auto"/>
          <w:sz w:val="30"/>
          <w:szCs w:val="30"/>
          <w:highlight w:val="none"/>
          <w:lang w:val="en-US" w:eastAsia="zh-CN"/>
        </w:rPr>
        <w:t>足额</w:t>
      </w:r>
      <w:r>
        <w:rPr>
          <w:rFonts w:hint="eastAsia" w:ascii="仿宋" w:hAnsi="仿宋" w:eastAsia="仿宋" w:cs="仿宋"/>
          <w:color w:val="auto"/>
          <w:sz w:val="30"/>
          <w:szCs w:val="30"/>
          <w:highlight w:val="none"/>
        </w:rPr>
        <w:t>支付医疗废物处置费用。</w:t>
      </w:r>
    </w:p>
    <w:p w14:paraId="0D65EFEE">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val="en-US" w:eastAsia="zh-CN"/>
        </w:rPr>
        <w:t>14.</w:t>
      </w:r>
      <w:r>
        <w:rPr>
          <w:rFonts w:hint="eastAsia" w:ascii="仿宋" w:hAnsi="仿宋" w:eastAsia="仿宋" w:cs="仿宋"/>
          <w:color w:val="auto"/>
          <w:sz w:val="30"/>
          <w:szCs w:val="30"/>
          <w:highlight w:val="none"/>
        </w:rPr>
        <w:t>甲方应在每月初及时向乙方如实提供上月住院病人实际占用床位日数及上月每天住院病人实际占用床位</w:t>
      </w:r>
      <w:r>
        <w:rPr>
          <w:rFonts w:hint="eastAsia" w:ascii="仿宋" w:hAnsi="仿宋" w:eastAsia="仿宋" w:cs="仿宋"/>
          <w:color w:val="auto"/>
          <w:sz w:val="30"/>
          <w:szCs w:val="30"/>
          <w:highlight w:val="none"/>
          <w:lang w:eastAsia="zh-CN"/>
        </w:rPr>
        <w:t>。</w:t>
      </w:r>
    </w:p>
    <w:p w14:paraId="1BB13456">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出现经营地址变更、经营人变更、暂停营业、营业范围变更等要及时通知乙方，因医疗机构类别变更导致对应的收费标准类别变更从《医疗机构执业许可证》发证日期之日起变更对应的收费标准。</w:t>
      </w:r>
    </w:p>
    <w:p w14:paraId="5466430C">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四、乙方的权利义务：</w:t>
      </w:r>
    </w:p>
    <w:p w14:paraId="60260062">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乙方应向甲方提供其有效期内的《营业执照》、《危险废物经营许可证》复印件，并保证该材料正规有效，同时交由甲方存档。</w:t>
      </w:r>
    </w:p>
    <w:p w14:paraId="27ADADC9">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乙方负责及时按甲方实际需要，</w:t>
      </w:r>
      <w:r>
        <w:rPr>
          <w:rFonts w:hint="eastAsia" w:ascii="仿宋" w:hAnsi="仿宋" w:eastAsia="仿宋" w:cs="仿宋"/>
          <w:color w:val="auto"/>
          <w:sz w:val="30"/>
          <w:szCs w:val="30"/>
          <w:highlight w:val="none"/>
          <w:lang w:val="en-US" w:eastAsia="zh-CN"/>
        </w:rPr>
        <w:t>定量</w:t>
      </w:r>
      <w:r>
        <w:rPr>
          <w:rFonts w:hint="eastAsia" w:ascii="仿宋" w:hAnsi="仿宋" w:eastAsia="仿宋" w:cs="仿宋"/>
          <w:color w:val="auto"/>
          <w:sz w:val="30"/>
          <w:szCs w:val="30"/>
          <w:highlight w:val="none"/>
        </w:rPr>
        <w:t>向甲方提供专用包装袋、利器盒、周转箱，周转桶应存放在甲方的医疗废物暂存点，并仅用于存放医疗废物。甲方有责任妥善保管医疗废物周转桶，如有遗失或人为损坏，按照周转桶（240L）420元／个进行赔偿。</w:t>
      </w:r>
    </w:p>
    <w:p w14:paraId="7560FC1C">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乙方在接收医疗废物时有权对移交的医疗废物的标识、包装、数量和重量等进行核实，经核实无误，双方共同填写《危险废物转移联单》（医疗废物专用）和《医疗废物运送登记卡》并签字确认，若乙方对其类型、数量、重量有异议或包装、标识不符合规定的，要求甲方更正。</w:t>
      </w:r>
    </w:p>
    <w:p w14:paraId="718A052B">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对于设立在一楼以上、地下室等不方便运送人员及运送工具、车辆出入的暂存点，乙方可要求甲方安排人员配合转运工作。</w:t>
      </w:r>
    </w:p>
    <w:p w14:paraId="71AA9BC1">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乙方保证遵守甲方内部有关交通、安全及规章制度，如有违反，按甲方的管理规定处理。</w:t>
      </w:r>
    </w:p>
    <w:p w14:paraId="6A1E9BD8">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乙方应做好医疗废物安全运输工作，使用专用车辆收运并防止运输途中出现医疗废物流失、扩散造成环境污染。</w:t>
      </w:r>
    </w:p>
    <w:p w14:paraId="50CF55BC">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乙方派专用医疗废物转运车在甲方指定的医疗废物暂存点清运，在装车、运输过程中杜绝跑、冒、滴、漏，对转运过程中的交通安全及环保安全负责。</w:t>
      </w:r>
    </w:p>
    <w:p w14:paraId="6D21D1C9">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8.</w:t>
      </w:r>
      <w:r>
        <w:rPr>
          <w:rFonts w:hint="eastAsia" w:ascii="仿宋" w:hAnsi="仿宋" w:eastAsia="仿宋" w:cs="仿宋"/>
          <w:color w:val="auto"/>
          <w:sz w:val="30"/>
          <w:szCs w:val="30"/>
          <w:highlight w:val="none"/>
        </w:rPr>
        <w:t>根据《医疗废物管理条例》和《医疗废物集中处置技术规范》等相关要求对接收的医疗废物进行无害化处置</w:t>
      </w:r>
      <w:r>
        <w:rPr>
          <w:rFonts w:hint="eastAsia" w:ascii="仿宋" w:hAnsi="仿宋" w:eastAsia="仿宋" w:cs="仿宋"/>
          <w:color w:val="auto"/>
          <w:sz w:val="30"/>
          <w:szCs w:val="30"/>
          <w:highlight w:val="none"/>
          <w:lang w:eastAsia="zh-CN"/>
        </w:rPr>
        <w:t>，如乙方未按规范收运、处置甲方的医疗废物，造成二次污染的事实，乙方承担</w:t>
      </w:r>
      <w:r>
        <w:rPr>
          <w:rFonts w:hint="eastAsia" w:ascii="仿宋" w:hAnsi="仿宋" w:eastAsia="仿宋" w:cs="仿宋"/>
          <w:color w:val="auto"/>
          <w:sz w:val="30"/>
          <w:szCs w:val="30"/>
          <w:highlight w:val="none"/>
          <w:lang w:val="en-US" w:eastAsia="zh-CN"/>
        </w:rPr>
        <w:t>相应责任，若甲方因此遭到处罚或索赔的，有权向乙方追偿</w:t>
      </w:r>
      <w:r>
        <w:rPr>
          <w:rFonts w:hint="eastAsia" w:ascii="仿宋" w:hAnsi="仿宋" w:eastAsia="仿宋" w:cs="仿宋"/>
          <w:color w:val="auto"/>
          <w:sz w:val="30"/>
          <w:szCs w:val="30"/>
          <w:highlight w:val="none"/>
        </w:rPr>
        <w:t>。</w:t>
      </w:r>
    </w:p>
    <w:p w14:paraId="7A16DBAD">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乙方有义务接受甲方对处置医疗危险废物过程的监督，如乙方对医疗废物的处置不符合国家及生态环境部门的相关规定，甲方有权向卫健委、生态环境行政主管部门举报。</w:t>
      </w:r>
    </w:p>
    <w:p w14:paraId="3169C1E3">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10.</w:t>
      </w:r>
      <w:r>
        <w:rPr>
          <w:rFonts w:hint="eastAsia" w:ascii="仿宋" w:hAnsi="仿宋" w:eastAsia="仿宋" w:cs="仿宋"/>
          <w:color w:val="auto"/>
          <w:sz w:val="30"/>
          <w:szCs w:val="30"/>
          <w:highlight w:val="none"/>
        </w:rPr>
        <w:t>对于甲方的收运需求，乙方承诺，接甲方通知后两个工作日内进行清运。客服电话：029-85572569。</w:t>
      </w:r>
    </w:p>
    <w:p w14:paraId="2D60DD60">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费用及结算方式：</w:t>
      </w:r>
    </w:p>
    <w:p w14:paraId="0D9C32ED">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依据《西安市医疗废物集中处置实施方案》：“为了确保医疗废物集中处置中心的正常运转，医疗废物处置收费由医疗废物集中处置中心和医疗废物产生单位通过签订协议，采取先收后结的收费结算方式”、“对一级以上(含一级)的医院按实际使用床位数收费，每张床位每日收取2元医疗废物处置费”，结合甲方医疗废物收运和处置的实际情况，本着“污染付费、公平负担、平等自愿、协商一致”的原则，甲乙双方经协商确定合同期内：</w:t>
      </w:r>
    </w:p>
    <w:p w14:paraId="4C109637">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right="0"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（一）根据</w:t>
      </w:r>
      <w:r>
        <w:rPr>
          <w:rFonts w:hint="eastAsia" w:ascii="仿宋" w:hAnsi="仿宋" w:eastAsia="仿宋" w:cs="仿宋"/>
          <w:color w:val="auto"/>
          <w:sz w:val="30"/>
          <w:szCs w:val="30"/>
          <w:highlight w:val="none"/>
          <w:lang w:val="en-US" w:eastAsia="zh-CN"/>
        </w:rPr>
        <w:t>院方</w:t>
      </w:r>
      <w:r>
        <w:rPr>
          <w:rFonts w:hint="eastAsia" w:ascii="仿宋" w:hAnsi="仿宋" w:eastAsia="仿宋" w:cs="仿宋"/>
          <w:color w:val="auto"/>
          <w:sz w:val="30"/>
          <w:szCs w:val="30"/>
          <w:highlight w:val="none"/>
          <w:lang w:eastAsia="zh-CN"/>
        </w:rPr>
        <w:t>提供的</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年度甲方经开</w:t>
      </w:r>
      <w:r>
        <w:rPr>
          <w:rFonts w:hint="eastAsia" w:ascii="仿宋" w:hAnsi="仿宋" w:eastAsia="仿宋" w:cs="仿宋"/>
          <w:color w:val="auto"/>
          <w:sz w:val="30"/>
          <w:szCs w:val="30"/>
          <w:highlight w:val="none"/>
          <w:lang w:val="en-US" w:eastAsia="zh-CN"/>
        </w:rPr>
        <w:t>院区</w:t>
      </w:r>
      <w:r>
        <w:rPr>
          <w:rFonts w:hint="eastAsia" w:ascii="仿宋" w:hAnsi="仿宋" w:eastAsia="仿宋" w:cs="仿宋"/>
          <w:color w:val="auto"/>
          <w:sz w:val="30"/>
          <w:szCs w:val="30"/>
          <w:highlight w:val="none"/>
          <w:lang w:eastAsia="zh-CN"/>
        </w:rPr>
        <w:t>实际使用床位数</w:t>
      </w:r>
      <w:r>
        <w:rPr>
          <w:rFonts w:hint="eastAsia" w:ascii="仿宋" w:hAnsi="仿宋" w:eastAsia="仿宋" w:cs="仿宋"/>
          <w:color w:val="auto"/>
          <w:sz w:val="30"/>
          <w:szCs w:val="30"/>
          <w:highlight w:val="none"/>
          <w:u w:val="single"/>
          <w:lang w:val="en-US" w:eastAsia="zh-CN"/>
        </w:rPr>
        <w:t xml:space="preserve"> 293 </w:t>
      </w:r>
      <w:r>
        <w:rPr>
          <w:rFonts w:hint="eastAsia" w:ascii="仿宋" w:hAnsi="仿宋" w:eastAsia="仿宋" w:cs="仿宋"/>
          <w:color w:val="auto"/>
          <w:sz w:val="30"/>
          <w:szCs w:val="30"/>
          <w:highlight w:val="none"/>
          <w:lang w:eastAsia="zh-CN"/>
        </w:rPr>
        <w:t>张</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年度甲方全年预付乙方处置费总计</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元（大写：人民币</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none"/>
          <w:lang w:val="en-US" w:eastAsia="zh-CN"/>
        </w:rPr>
        <w:t>元</w:t>
      </w:r>
      <w:r>
        <w:rPr>
          <w:rFonts w:hint="eastAsia" w:ascii="仿宋" w:hAnsi="仿宋" w:eastAsia="仿宋" w:cs="仿宋"/>
          <w:color w:val="auto"/>
          <w:sz w:val="30"/>
          <w:szCs w:val="30"/>
          <w:highlight w:val="none"/>
          <w:lang w:eastAsia="zh-CN"/>
        </w:rPr>
        <w:t>整）；平均每季度应支付处置费</w:t>
      </w:r>
      <w:r>
        <w:rPr>
          <w:rFonts w:hint="eastAsia" w:ascii="仿宋" w:hAnsi="仿宋" w:eastAsia="仿宋" w:cs="仿宋"/>
          <w:color w:val="auto"/>
          <w:sz w:val="30"/>
          <w:szCs w:val="30"/>
          <w:highlight w:val="none"/>
          <w:u w:val="none"/>
          <w:lang w:val="en-US" w:eastAsia="zh-CN"/>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none"/>
          <w:lang w:val="en-US" w:eastAsia="zh-CN"/>
        </w:rPr>
        <w:t xml:space="preserve"> </w:t>
      </w:r>
      <w:r>
        <w:rPr>
          <w:rFonts w:hint="eastAsia" w:ascii="仿宋" w:hAnsi="仿宋" w:eastAsia="仿宋" w:cs="仿宋"/>
          <w:color w:val="auto"/>
          <w:sz w:val="30"/>
          <w:szCs w:val="30"/>
          <w:highlight w:val="none"/>
          <w:lang w:eastAsia="zh-CN"/>
        </w:rPr>
        <w:t>元（大写：人民币</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none"/>
          <w:lang w:val="en-US" w:eastAsia="zh-CN"/>
        </w:rPr>
        <w:t>元整</w:t>
      </w:r>
      <w:r>
        <w:rPr>
          <w:rFonts w:hint="eastAsia" w:ascii="仿宋" w:hAnsi="仿宋" w:eastAsia="仿宋" w:cs="仿宋"/>
          <w:color w:val="auto"/>
          <w:sz w:val="30"/>
          <w:szCs w:val="30"/>
          <w:highlight w:val="none"/>
          <w:lang w:eastAsia="zh-CN"/>
        </w:rPr>
        <w:t xml:space="preserve">）。    </w:t>
      </w:r>
    </w:p>
    <w:p w14:paraId="18F35D4F">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（二）双方商定于</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年第一季度，根据</w:t>
      </w:r>
      <w:r>
        <w:rPr>
          <w:rFonts w:hint="eastAsia" w:ascii="仿宋" w:hAnsi="仿宋" w:eastAsia="仿宋" w:cs="仿宋"/>
          <w:color w:val="auto"/>
          <w:sz w:val="30"/>
          <w:szCs w:val="30"/>
          <w:highlight w:val="none"/>
          <w:lang w:val="en-US" w:eastAsia="zh-CN"/>
        </w:rPr>
        <w:t>西安</w:t>
      </w:r>
      <w:r>
        <w:rPr>
          <w:rFonts w:hint="eastAsia" w:ascii="仿宋" w:hAnsi="仿宋" w:eastAsia="仿宋" w:cs="仿宋"/>
          <w:color w:val="auto"/>
          <w:sz w:val="30"/>
          <w:szCs w:val="30"/>
          <w:highlight w:val="none"/>
          <w:lang w:eastAsia="zh-CN"/>
        </w:rPr>
        <w:t>市卫生健康委员会提供的</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年度甲方实际使用正式床位总数，按市物价局</w:t>
      </w:r>
      <w:r>
        <w:rPr>
          <w:rFonts w:hint="eastAsia" w:ascii="仿宋" w:hAnsi="仿宋" w:eastAsia="仿宋" w:cs="仿宋"/>
          <w:color w:val="auto"/>
          <w:sz w:val="30"/>
          <w:szCs w:val="30"/>
          <w:highlight w:val="none"/>
          <w:lang w:val="en-US" w:eastAsia="zh-CN"/>
        </w:rPr>
        <w:t>部门</w:t>
      </w:r>
      <w:r>
        <w:rPr>
          <w:rFonts w:hint="eastAsia" w:ascii="仿宋" w:hAnsi="仿宋" w:eastAsia="仿宋" w:cs="仿宋"/>
          <w:color w:val="auto"/>
          <w:sz w:val="30"/>
          <w:szCs w:val="30"/>
          <w:highlight w:val="none"/>
          <w:lang w:eastAsia="zh-CN"/>
        </w:rPr>
        <w:t>定的收费标准，对</w:t>
      </w:r>
      <w:r>
        <w:rPr>
          <w:rFonts w:hint="eastAsia" w:ascii="仿宋" w:hAnsi="仿宋" w:eastAsia="仿宋" w:cs="仿宋"/>
          <w:color w:val="auto"/>
          <w:sz w:val="30"/>
          <w:szCs w:val="30"/>
          <w:highlight w:val="none"/>
          <w:u w:val="single"/>
          <w:lang w:eastAsia="zh-CN"/>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年度全年处置费进行</w:t>
      </w:r>
      <w:r>
        <w:rPr>
          <w:rFonts w:hint="eastAsia" w:ascii="仿宋" w:hAnsi="仿宋" w:eastAsia="仿宋" w:cs="仿宋"/>
          <w:color w:val="auto"/>
          <w:sz w:val="30"/>
          <w:szCs w:val="30"/>
          <w:highlight w:val="none"/>
          <w:lang w:val="en-US" w:eastAsia="zh-CN"/>
        </w:rPr>
        <w:t>据实</w:t>
      </w:r>
      <w:r>
        <w:rPr>
          <w:rFonts w:hint="eastAsia" w:ascii="仿宋" w:hAnsi="仿宋" w:eastAsia="仿宋" w:cs="仿宋"/>
          <w:color w:val="auto"/>
          <w:sz w:val="30"/>
          <w:szCs w:val="30"/>
          <w:highlight w:val="none"/>
          <w:lang w:eastAsia="zh-CN"/>
        </w:rPr>
        <w:t>结算。</w:t>
      </w:r>
    </w:p>
    <w:p w14:paraId="1D799A67">
      <w:pPr>
        <w:keepNext w:val="0"/>
        <w:keepLines w:val="0"/>
        <w:pageBreakBefore w:val="0"/>
        <w:widowControl w:val="0"/>
        <w:numPr>
          <w:ilvl w:val="0"/>
          <w:numId w:val="0"/>
        </w:numPr>
        <w:shd w:val="clear"/>
        <w:tabs>
          <w:tab w:val="left" w:pos="513"/>
        </w:tabs>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0"/>
          <w:szCs w:val="30"/>
          <w:highlight w:val="none"/>
          <w:lang w:val="en-US" w:eastAsia="zh-CN"/>
        </w:rPr>
        <w:t>注：依照本合同第五条第(二)款约定，乙方应补收</w:t>
      </w:r>
      <w:r>
        <w:rPr>
          <w:rFonts w:hint="eastAsia" w:ascii="仿宋" w:hAnsi="仿宋" w:eastAsia="仿宋" w:cs="仿宋"/>
          <w:color w:val="auto"/>
          <w:sz w:val="30"/>
          <w:szCs w:val="30"/>
          <w:highlight w:val="none"/>
          <w:u w:val="none"/>
          <w:lang w:val="en-US" w:eastAsia="zh-CN"/>
        </w:rPr>
        <w:t>上</w:t>
      </w:r>
      <w:r>
        <w:rPr>
          <w:rFonts w:hint="eastAsia" w:ascii="仿宋" w:hAnsi="仿宋" w:eastAsia="仿宋" w:cs="仿宋"/>
          <w:color w:val="auto"/>
          <w:sz w:val="30"/>
          <w:szCs w:val="30"/>
          <w:highlight w:val="none"/>
          <w:lang w:val="en-US" w:eastAsia="zh-CN"/>
        </w:rPr>
        <w:t>年度医疗废物处置费人民币（大写：人民币</w:t>
      </w:r>
      <w:r>
        <w:rPr>
          <w:rFonts w:hint="eastAsia" w:ascii="仿宋" w:hAnsi="仿宋" w:eastAsia="仿宋" w:cs="仿宋"/>
          <w:color w:val="auto"/>
          <w:sz w:val="30"/>
          <w:szCs w:val="30"/>
          <w:highlight w:val="none"/>
          <w:u w:val="single"/>
          <w:lang w:val="en-US" w:eastAsia="zh-CN"/>
        </w:rPr>
        <w:t xml:space="preserve">  /   </w:t>
      </w:r>
      <w:r>
        <w:rPr>
          <w:rFonts w:hint="eastAsia" w:ascii="仿宋" w:hAnsi="仿宋" w:eastAsia="仿宋" w:cs="仿宋"/>
          <w:color w:val="auto"/>
          <w:sz w:val="30"/>
          <w:szCs w:val="30"/>
          <w:highlight w:val="none"/>
          <w:lang w:val="en-US" w:eastAsia="zh-CN"/>
        </w:rPr>
        <w:t>整，小写：¥</w:t>
      </w:r>
      <w:r>
        <w:rPr>
          <w:rFonts w:hint="eastAsia" w:ascii="仿宋" w:hAnsi="仿宋" w:eastAsia="仿宋" w:cs="仿宋"/>
          <w:color w:val="auto"/>
          <w:sz w:val="30"/>
          <w:szCs w:val="30"/>
          <w:highlight w:val="none"/>
          <w:u w:val="single"/>
          <w:lang w:val="en-US" w:eastAsia="zh-CN"/>
        </w:rPr>
        <w:t xml:space="preserve">  /   </w:t>
      </w:r>
      <w:r>
        <w:rPr>
          <w:rFonts w:hint="eastAsia" w:ascii="仿宋" w:hAnsi="仿宋" w:eastAsia="仿宋" w:cs="仿宋"/>
          <w:color w:val="auto"/>
          <w:sz w:val="30"/>
          <w:szCs w:val="30"/>
          <w:highlight w:val="none"/>
          <w:lang w:val="en-US" w:eastAsia="zh-CN"/>
        </w:rPr>
        <w:t xml:space="preserve">元整）。  </w:t>
      </w:r>
      <w:r>
        <w:rPr>
          <w:rFonts w:hint="eastAsia" w:ascii="仿宋" w:hAnsi="仿宋" w:eastAsia="仿宋" w:cs="仿宋"/>
          <w:color w:val="auto"/>
          <w:sz w:val="32"/>
          <w:szCs w:val="32"/>
          <w:highlight w:val="none"/>
          <w:lang w:eastAsia="zh-CN"/>
        </w:rPr>
        <w:t xml:space="preserve"> </w:t>
      </w:r>
    </w:p>
    <w:p w14:paraId="78B2B6CA">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三）收费方式：甲、乙双方商定：每季度结算一次，每次支付合同总价的25%，共结算4次。若乙方未在甲方付款前提供等额合规发票的，甲方有权拒付合同款项，且无需承担任何责任，乙方不得以此为由拒绝履行任意合同义务。</w:t>
      </w:r>
      <w:bookmarkStart w:id="4" w:name="_GoBack"/>
      <w:bookmarkEnd w:id="4"/>
    </w:p>
    <w:p w14:paraId="0EA5113F">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（四）乙方收款账户如下：</w:t>
      </w:r>
    </w:p>
    <w:p w14:paraId="65D20381">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账户名：</w:t>
      </w:r>
    </w:p>
    <w:p w14:paraId="56CAADA7">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开户行：</w:t>
      </w:r>
    </w:p>
    <w:p w14:paraId="0F62AE82">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账  号：</w:t>
      </w:r>
    </w:p>
    <w:p w14:paraId="1906FE73">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（五）甲方开票信息</w:t>
      </w:r>
    </w:p>
    <w:p w14:paraId="577CDBF7">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公司名称：西安市中心医院</w:t>
      </w:r>
    </w:p>
    <w:p w14:paraId="7746CEFC">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统一社会信用代码：12610100437202916K</w:t>
      </w:r>
    </w:p>
    <w:p w14:paraId="4FF4693B">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经营场所：医院</w:t>
      </w:r>
    </w:p>
    <w:p w14:paraId="5204CED3">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电话：029-62812592</w:t>
      </w:r>
    </w:p>
    <w:p w14:paraId="3E855A7C">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开户行：交通银行西安北大街支行</w:t>
      </w:r>
    </w:p>
    <w:p w14:paraId="4DDD0896">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b/>
          <w:color w:val="auto"/>
          <w:sz w:val="32"/>
          <w:szCs w:val="32"/>
          <w:highlight w:val="none"/>
          <w:lang w:val="en-US" w:eastAsia="zh-CN"/>
        </w:rPr>
      </w:pPr>
      <w:r>
        <w:rPr>
          <w:rFonts w:hint="eastAsia" w:ascii="仿宋" w:hAnsi="仿宋" w:eastAsia="仿宋" w:cs="仿宋"/>
          <w:color w:val="auto"/>
          <w:sz w:val="30"/>
          <w:szCs w:val="30"/>
          <w:highlight w:val="none"/>
          <w:lang w:val="en-US" w:eastAsia="zh-CN"/>
        </w:rPr>
        <w:t>账号：611301093010141004021</w:t>
      </w:r>
    </w:p>
    <w:p w14:paraId="2F81A3C3">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其它约定</w:t>
      </w:r>
    </w:p>
    <w:p w14:paraId="3DB8CC3B">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1.国家有关医疗废物的法律、法规、规范性文件若发生变更修订，甲乙双方应根据变更后的要求对本合同进行修订。</w:t>
      </w:r>
    </w:p>
    <w:p w14:paraId="6BF44B0A">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2.西安市医疗废物处置收费标准发生变更时，甲乙双方应执行新的物价收费标准，甲、乙双方应重新签订《医疗废物集中处置合同》，本合同自行终止。</w:t>
      </w:r>
    </w:p>
    <w:p w14:paraId="2748E7DE">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3.甲方对床位使用率、费用有异议，应当在接到乙方通知后7日内以书面方式提出。</w:t>
      </w:r>
    </w:p>
    <w:p w14:paraId="6F17BF06">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4.如果乙方违反有关法规以及未及时到甲方收运医疗废物，无理拒收医疗废物，在运送处置医疗废物过程中出现医疗废物流失、扩散，则由生态环境部门责令整改及依法处罚。</w:t>
      </w:r>
    </w:p>
    <w:p w14:paraId="75BB52D7">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七、争议的解决：</w:t>
      </w:r>
    </w:p>
    <w:p w14:paraId="7DE2A8E9">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1.本合同执行过程中未尽之事宜，应经双方共同协商，签署补充协议，补充协议和本合同具有同等法律效力。</w:t>
      </w:r>
    </w:p>
    <w:p w14:paraId="2170C096">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2.双方在合同履行过程中产生争议应友好协商，如协商不成，报请卫健委、生态环境行政主管部门进行协调，协调不成，可以向甲方所在地人民法院提起诉讼。    </w:t>
      </w:r>
    </w:p>
    <w:p w14:paraId="4391428D">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八、合同生效日及有效期：</w:t>
      </w:r>
    </w:p>
    <w:p w14:paraId="5E0CCF36">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rightChars="0"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1.本合同一式</w:t>
      </w:r>
      <w:r>
        <w:rPr>
          <w:rFonts w:hint="eastAsia" w:ascii="仿宋" w:hAnsi="仿宋" w:eastAsia="仿宋" w:cs="仿宋"/>
          <w:color w:val="auto"/>
          <w:sz w:val="30"/>
          <w:szCs w:val="30"/>
          <w:highlight w:val="none"/>
          <w:u w:val="single"/>
          <w:lang w:val="en-US" w:eastAsia="zh-CN"/>
        </w:rPr>
        <w:t xml:space="preserve"> 6 </w:t>
      </w:r>
      <w:r>
        <w:rPr>
          <w:rFonts w:hint="eastAsia" w:ascii="仿宋" w:hAnsi="仿宋" w:eastAsia="仿宋" w:cs="仿宋"/>
          <w:color w:val="auto"/>
          <w:sz w:val="30"/>
          <w:szCs w:val="30"/>
          <w:highlight w:val="none"/>
          <w:lang w:val="en-US" w:eastAsia="zh-CN"/>
        </w:rPr>
        <w:t>份，甲方执</w:t>
      </w:r>
      <w:r>
        <w:rPr>
          <w:rFonts w:hint="eastAsia" w:ascii="仿宋" w:hAnsi="仿宋" w:eastAsia="仿宋" w:cs="仿宋"/>
          <w:color w:val="auto"/>
          <w:sz w:val="30"/>
          <w:szCs w:val="30"/>
          <w:highlight w:val="none"/>
          <w:u w:val="single"/>
          <w:lang w:val="en-US" w:eastAsia="zh-CN"/>
        </w:rPr>
        <w:t xml:space="preserve"> 4 </w:t>
      </w:r>
      <w:r>
        <w:rPr>
          <w:rFonts w:hint="eastAsia" w:ascii="仿宋" w:hAnsi="仿宋" w:eastAsia="仿宋" w:cs="仿宋"/>
          <w:color w:val="auto"/>
          <w:sz w:val="30"/>
          <w:szCs w:val="30"/>
          <w:highlight w:val="none"/>
          <w:lang w:val="en-US" w:eastAsia="zh-CN"/>
        </w:rPr>
        <w:t>份，乙方</w:t>
      </w:r>
      <w:r>
        <w:rPr>
          <w:rFonts w:hint="eastAsia" w:ascii="仿宋" w:hAnsi="仿宋" w:eastAsia="仿宋" w:cs="仿宋"/>
          <w:color w:val="auto"/>
          <w:sz w:val="30"/>
          <w:szCs w:val="30"/>
          <w:highlight w:val="none"/>
          <w:u w:val="none"/>
          <w:lang w:val="en-US" w:eastAsia="zh-CN"/>
        </w:rPr>
        <w:t>执</w:t>
      </w:r>
      <w:r>
        <w:rPr>
          <w:rFonts w:hint="eastAsia" w:ascii="仿宋" w:hAnsi="仿宋" w:eastAsia="仿宋" w:cs="仿宋"/>
          <w:color w:val="auto"/>
          <w:sz w:val="30"/>
          <w:szCs w:val="30"/>
          <w:highlight w:val="none"/>
          <w:u w:val="single"/>
          <w:lang w:val="en-US" w:eastAsia="zh-CN"/>
        </w:rPr>
        <w:t xml:space="preserve"> 2 </w:t>
      </w:r>
      <w:r>
        <w:rPr>
          <w:rFonts w:hint="eastAsia" w:ascii="仿宋" w:hAnsi="仿宋" w:eastAsia="仿宋" w:cs="仿宋"/>
          <w:color w:val="auto"/>
          <w:sz w:val="30"/>
          <w:szCs w:val="30"/>
          <w:highlight w:val="none"/>
          <w:lang w:val="en-US" w:eastAsia="zh-CN"/>
        </w:rPr>
        <w:t>份，每份具有同等法律效力；经双方法定代表人或授权代表签字并加盖印章生效。</w:t>
      </w:r>
    </w:p>
    <w:p w14:paraId="6490DAE2">
      <w:pPr>
        <w:keepNext w:val="0"/>
        <w:keepLines w:val="0"/>
        <w:pageBreakBefore w:val="0"/>
        <w:widowControl w:val="0"/>
        <w:shd w:val="clear"/>
        <w:kinsoku/>
        <w:wordWrap/>
        <w:overflowPunct/>
        <w:topLinePunct w:val="0"/>
        <w:autoSpaceDE/>
        <w:autoSpaceDN/>
        <w:bidi w:val="0"/>
        <w:adjustRightInd/>
        <w:snapToGrid/>
        <w:ind w:firstLine="600" w:firstLineChars="200"/>
        <w:textAlignment w:val="auto"/>
        <w:rPr>
          <w:rFonts w:hint="eastAsia" w:ascii="仿宋" w:hAnsi="仿宋" w:eastAsia="仿宋"/>
          <w:b w:val="0"/>
          <w:bCs/>
          <w:color w:val="auto"/>
          <w:sz w:val="30"/>
          <w:szCs w:val="30"/>
          <w:highlight w:val="none"/>
        </w:rPr>
      </w:pPr>
      <w:r>
        <w:rPr>
          <w:rFonts w:hint="eastAsia" w:ascii="仿宋" w:hAnsi="仿宋" w:eastAsia="仿宋"/>
          <w:b w:val="0"/>
          <w:bCs/>
          <w:color w:val="auto"/>
          <w:sz w:val="30"/>
          <w:szCs w:val="30"/>
          <w:highlight w:val="none"/>
          <w:lang w:val="en-US" w:eastAsia="zh-CN"/>
        </w:rPr>
        <w:t>2.</w:t>
      </w:r>
      <w:r>
        <w:rPr>
          <w:rFonts w:hint="eastAsia" w:ascii="仿宋" w:hAnsi="仿宋" w:eastAsia="仿宋"/>
          <w:b w:val="0"/>
          <w:bCs/>
          <w:color w:val="auto"/>
          <w:sz w:val="30"/>
          <w:szCs w:val="30"/>
          <w:highlight w:val="none"/>
        </w:rPr>
        <w:t>合同有效期：</w:t>
      </w:r>
    </w:p>
    <w:p w14:paraId="7ADC90EE">
      <w:pPr>
        <w:keepNext w:val="0"/>
        <w:keepLines w:val="0"/>
        <w:pageBreakBefore w:val="0"/>
        <w:widowControl w:val="0"/>
        <w:shd w:val="clear"/>
        <w:kinsoku/>
        <w:wordWrap/>
        <w:overflowPunct/>
        <w:topLinePunct w:val="0"/>
        <w:autoSpaceDE/>
        <w:autoSpaceDN/>
        <w:bidi w:val="0"/>
        <w:adjustRightInd/>
        <w:snapToGrid/>
        <w:textAlignment w:val="auto"/>
        <w:rPr>
          <w:rFonts w:hint="eastAsia" w:ascii="仿宋" w:hAnsi="仿宋" w:eastAsia="仿宋"/>
          <w:b w:val="0"/>
          <w:bCs/>
          <w:color w:val="auto"/>
          <w:sz w:val="30"/>
          <w:szCs w:val="30"/>
          <w:highlight w:val="none"/>
        </w:rPr>
      </w:pPr>
      <w:r>
        <w:rPr>
          <w:rFonts w:hint="eastAsia" w:ascii="仿宋" w:hAnsi="仿宋" w:eastAsia="仿宋"/>
          <w:b w:val="0"/>
          <w:bCs/>
          <w:color w:val="auto"/>
          <w:sz w:val="30"/>
          <w:szCs w:val="30"/>
          <w:highlight w:val="none"/>
          <w:lang w:val="en-US" w:eastAsia="zh-CN"/>
        </w:rPr>
        <w:t xml:space="preserve">自     </w:t>
      </w:r>
      <w:r>
        <w:rPr>
          <w:rFonts w:hint="eastAsia" w:ascii="仿宋" w:hAnsi="仿宋" w:eastAsia="仿宋"/>
          <w:b w:val="0"/>
          <w:bCs/>
          <w:color w:val="auto"/>
          <w:sz w:val="30"/>
          <w:szCs w:val="30"/>
          <w:highlight w:val="none"/>
        </w:rPr>
        <w:t>年</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月</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日</w:t>
      </w:r>
      <w:r>
        <w:rPr>
          <w:rFonts w:hint="eastAsia" w:ascii="仿宋" w:hAnsi="仿宋" w:eastAsia="仿宋"/>
          <w:b w:val="0"/>
          <w:bCs/>
          <w:color w:val="auto"/>
          <w:sz w:val="30"/>
          <w:szCs w:val="30"/>
          <w:highlight w:val="none"/>
          <w:lang w:val="en-US" w:eastAsia="zh-CN"/>
        </w:rPr>
        <w:t>起</w:t>
      </w:r>
      <w:r>
        <w:rPr>
          <w:rFonts w:hint="eastAsia" w:ascii="仿宋" w:hAnsi="仿宋" w:eastAsia="仿宋"/>
          <w:b w:val="0"/>
          <w:bCs/>
          <w:color w:val="auto"/>
          <w:sz w:val="30"/>
          <w:szCs w:val="30"/>
          <w:highlight w:val="none"/>
        </w:rPr>
        <w:t>至</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年</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月</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日</w:t>
      </w:r>
    </w:p>
    <w:p w14:paraId="0531C7CD">
      <w:pPr>
        <w:keepNext w:val="0"/>
        <w:keepLines w:val="0"/>
        <w:pageBreakBefore w:val="0"/>
        <w:widowControl w:val="0"/>
        <w:shd w:val="clear"/>
        <w:kinsoku/>
        <w:wordWrap/>
        <w:overflowPunct/>
        <w:topLinePunct w:val="0"/>
        <w:autoSpaceDE/>
        <w:autoSpaceDN/>
        <w:bidi w:val="0"/>
        <w:adjustRightInd/>
        <w:snapToGrid/>
        <w:textAlignment w:val="auto"/>
        <w:rPr>
          <w:rFonts w:hint="default" w:ascii="仿宋" w:hAnsi="仿宋" w:eastAsia="仿宋"/>
          <w:b w:val="0"/>
          <w:bCs/>
          <w:color w:val="auto"/>
          <w:sz w:val="30"/>
          <w:szCs w:val="30"/>
          <w:highlight w:val="none"/>
          <w:lang w:val="en-US" w:eastAsia="zh-CN"/>
        </w:rPr>
      </w:pPr>
      <w:r>
        <w:rPr>
          <w:rFonts w:hint="eastAsia" w:ascii="仿宋" w:hAnsi="仿宋" w:eastAsia="仿宋"/>
          <w:b w:val="0"/>
          <w:bCs/>
          <w:color w:val="auto"/>
          <w:sz w:val="30"/>
          <w:szCs w:val="30"/>
          <w:highlight w:val="none"/>
          <w:lang w:val="en-US" w:eastAsia="zh-CN"/>
        </w:rPr>
        <w:t>(以下无正文)</w:t>
      </w:r>
    </w:p>
    <w:p w14:paraId="15546B94">
      <w:pPr>
        <w:keepNext w:val="0"/>
        <w:keepLines w:val="0"/>
        <w:pageBreakBefore w:val="0"/>
        <w:shd w:val="clear"/>
        <w:kinsoku/>
        <w:wordWrap/>
        <w:overflowPunct/>
        <w:topLinePunct w:val="0"/>
        <w:autoSpaceDE/>
        <w:autoSpaceDN/>
        <w:bidi w:val="0"/>
        <w:adjustRightInd/>
        <w:snapToGrid/>
        <w:spacing w:after="156" w:afterLines="50" w:line="240" w:lineRule="auto"/>
        <w:ind w:right="0"/>
        <w:textAlignment w:val="auto"/>
        <w:rPr>
          <w:rFonts w:hint="eastAsia" w:ascii="仿宋" w:hAnsi="仿宋" w:eastAsia="仿宋" w:cs="仿宋"/>
          <w:color w:val="auto"/>
          <w:kern w:val="24"/>
          <w:sz w:val="30"/>
          <w:szCs w:val="30"/>
          <w:highlight w:val="none"/>
          <w:lang w:eastAsia="zh-CN"/>
        </w:rPr>
      </w:pPr>
    </w:p>
    <w:p w14:paraId="13138121">
      <w:pPr>
        <w:keepNext w:val="0"/>
        <w:keepLines w:val="0"/>
        <w:pageBreakBefore w:val="0"/>
        <w:shd w:val="clear"/>
        <w:kinsoku/>
        <w:wordWrap/>
        <w:overflowPunct/>
        <w:topLinePunct w:val="0"/>
        <w:autoSpaceDE/>
        <w:autoSpaceDN/>
        <w:bidi w:val="0"/>
        <w:adjustRightInd/>
        <w:snapToGrid/>
        <w:spacing w:after="156" w:afterLines="50" w:line="240" w:lineRule="auto"/>
        <w:ind w:right="0"/>
        <w:textAlignment w:val="auto"/>
        <w:rPr>
          <w:rFonts w:hint="eastAsia" w:ascii="仿宋" w:hAnsi="仿宋" w:eastAsia="仿宋" w:cs="仿宋"/>
          <w:color w:val="auto"/>
          <w:kern w:val="24"/>
          <w:sz w:val="30"/>
          <w:szCs w:val="30"/>
          <w:highlight w:val="none"/>
          <w:lang w:eastAsia="zh-CN"/>
        </w:rPr>
      </w:pPr>
      <w:r>
        <w:rPr>
          <w:rFonts w:hint="eastAsia" w:ascii="仿宋" w:hAnsi="仿宋" w:eastAsia="仿宋" w:cs="仿宋"/>
          <w:color w:val="auto"/>
          <w:kern w:val="24"/>
          <w:sz w:val="30"/>
          <w:szCs w:val="30"/>
          <w:highlight w:val="none"/>
          <w:lang w:eastAsia="zh-CN"/>
        </w:rPr>
        <w:t>（</w:t>
      </w:r>
      <w:r>
        <w:rPr>
          <w:rFonts w:hint="eastAsia" w:ascii="仿宋" w:hAnsi="仿宋" w:eastAsia="仿宋" w:cs="仿宋"/>
          <w:color w:val="auto"/>
          <w:kern w:val="24"/>
          <w:sz w:val="30"/>
          <w:szCs w:val="30"/>
          <w:highlight w:val="none"/>
          <w:lang w:val="en-US" w:eastAsia="zh-CN"/>
        </w:rPr>
        <w:t>以下是医废合同（编号：     ）的签署页</w:t>
      </w:r>
      <w:r>
        <w:rPr>
          <w:rFonts w:hint="eastAsia" w:ascii="仿宋" w:hAnsi="仿宋" w:eastAsia="仿宋" w:cs="仿宋"/>
          <w:color w:val="auto"/>
          <w:kern w:val="24"/>
          <w:sz w:val="30"/>
          <w:szCs w:val="30"/>
          <w:highlight w:val="none"/>
          <w:lang w:eastAsia="zh-CN"/>
        </w:rPr>
        <w:t>）</w:t>
      </w:r>
    </w:p>
    <w:p w14:paraId="54A442A7">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textAlignment w:val="auto"/>
        <w:rPr>
          <w:rFonts w:hint="default" w:ascii="仿宋" w:hAnsi="仿宋" w:eastAsia="仿宋" w:cs="仿宋"/>
          <w:color w:val="auto"/>
          <w:kern w:val="24"/>
          <w:sz w:val="30"/>
          <w:szCs w:val="30"/>
          <w:highlight w:val="none"/>
          <w:lang w:val="en-US"/>
        </w:rPr>
      </w:pPr>
      <w:r>
        <w:rPr>
          <w:rFonts w:hint="eastAsia" w:ascii="仿宋" w:hAnsi="仿宋" w:eastAsia="仿宋" w:cs="仿宋"/>
          <w:color w:val="auto"/>
          <w:kern w:val="24"/>
          <w:sz w:val="30"/>
          <w:szCs w:val="30"/>
          <w:highlight w:val="none"/>
        </w:rPr>
        <w:t>甲方（章）：</w:t>
      </w:r>
      <w:r>
        <w:rPr>
          <w:rFonts w:hint="eastAsia" w:ascii="仿宋" w:hAnsi="仿宋" w:eastAsia="仿宋" w:cs="仿宋"/>
          <w:color w:val="auto"/>
          <w:sz w:val="30"/>
          <w:szCs w:val="30"/>
          <w:highlight w:val="none"/>
          <w:lang w:val="en-US" w:eastAsia="zh-CN"/>
        </w:rPr>
        <w:t>西安市中心医院</w:t>
      </w:r>
    </w:p>
    <w:p w14:paraId="78A8A173">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0" w:firstLineChars="0"/>
        <w:textAlignment w:val="auto"/>
        <w:rPr>
          <w:rFonts w:hint="eastAsia" w:ascii="仿宋" w:hAnsi="仿宋" w:eastAsia="仿宋" w:cs="仿宋"/>
          <w:color w:val="auto"/>
          <w:kern w:val="24"/>
          <w:sz w:val="30"/>
          <w:szCs w:val="30"/>
          <w:highlight w:val="none"/>
        </w:rPr>
      </w:pPr>
      <w:r>
        <w:rPr>
          <w:rFonts w:hint="eastAsia" w:ascii="仿宋" w:hAnsi="仿宋" w:eastAsia="仿宋" w:cs="仿宋"/>
          <w:color w:val="auto"/>
          <w:kern w:val="24"/>
          <w:sz w:val="30"/>
          <w:szCs w:val="30"/>
          <w:highlight w:val="none"/>
        </w:rPr>
        <w:t xml:space="preserve">法定代表人或授权代表：                   </w:t>
      </w:r>
      <w:r>
        <w:rPr>
          <w:rFonts w:hint="eastAsia" w:ascii="仿宋" w:hAnsi="仿宋" w:eastAsia="仿宋" w:cs="仿宋"/>
          <w:color w:val="auto"/>
          <w:kern w:val="24"/>
          <w:sz w:val="30"/>
          <w:szCs w:val="30"/>
          <w:highlight w:val="none"/>
          <w:lang w:val="en-US" w:eastAsia="zh-CN"/>
        </w:rPr>
        <w:t xml:space="preserve"> </w:t>
      </w:r>
    </w:p>
    <w:p w14:paraId="4D3A8DF2">
      <w:pPr>
        <w:keepNext w:val="0"/>
        <w:keepLines w:val="0"/>
        <w:pageBreakBefore w:val="0"/>
        <w:widowControl w:val="0"/>
        <w:shd w:val="clear"/>
        <w:tabs>
          <w:tab w:val="left" w:pos="4840"/>
          <w:tab w:val="left" w:pos="5040"/>
          <w:tab w:val="left" w:pos="5250"/>
        </w:tabs>
        <w:kinsoku/>
        <w:wordWrap/>
        <w:overflowPunct/>
        <w:topLinePunct w:val="0"/>
        <w:autoSpaceDE/>
        <w:autoSpaceDN/>
        <w:bidi w:val="0"/>
        <w:adjustRightInd/>
        <w:snapToGrid/>
        <w:spacing w:line="240" w:lineRule="auto"/>
        <w:ind w:left="0" w:leftChars="0" w:right="0" w:firstLine="0" w:firstLineChars="0"/>
        <w:textAlignment w:val="auto"/>
        <w:rPr>
          <w:rFonts w:hint="eastAsia" w:ascii="仿宋" w:hAnsi="仿宋" w:eastAsia="仿宋" w:cs="仿宋"/>
          <w:color w:val="auto"/>
          <w:kern w:val="24"/>
          <w:sz w:val="30"/>
          <w:szCs w:val="30"/>
          <w:highlight w:val="none"/>
        </w:rPr>
      </w:pPr>
      <w:r>
        <w:rPr>
          <w:rFonts w:hint="eastAsia" w:ascii="仿宋" w:hAnsi="仿宋" w:eastAsia="仿宋" w:cs="仿宋"/>
          <w:color w:val="auto"/>
          <w:kern w:val="24"/>
          <w:sz w:val="30"/>
          <w:szCs w:val="30"/>
          <w:highlight w:val="none"/>
        </w:rPr>
        <w:t xml:space="preserve">签订时间：                 </w:t>
      </w:r>
      <w:r>
        <w:rPr>
          <w:rFonts w:hint="eastAsia" w:ascii="仿宋" w:hAnsi="仿宋" w:eastAsia="仿宋" w:cs="仿宋"/>
          <w:color w:val="auto"/>
          <w:kern w:val="24"/>
          <w:sz w:val="30"/>
          <w:szCs w:val="30"/>
          <w:highlight w:val="none"/>
        </w:rPr>
        <w:tab/>
      </w:r>
      <w:r>
        <w:rPr>
          <w:rFonts w:hint="eastAsia" w:ascii="仿宋" w:hAnsi="仿宋" w:eastAsia="仿宋" w:cs="仿宋"/>
          <w:color w:val="auto"/>
          <w:kern w:val="24"/>
          <w:sz w:val="30"/>
          <w:szCs w:val="30"/>
          <w:highlight w:val="none"/>
        </w:rPr>
        <w:t xml:space="preserve">          </w:t>
      </w:r>
    </w:p>
    <w:p w14:paraId="5B0F5C6F">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0"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kern w:val="24"/>
          <w:sz w:val="30"/>
          <w:szCs w:val="30"/>
          <w:highlight w:val="none"/>
        </w:rPr>
        <w:t>电    话：</w:t>
      </w:r>
      <w:r>
        <w:rPr>
          <w:rFonts w:hint="eastAsia" w:ascii="仿宋" w:hAnsi="仿宋" w:eastAsia="仿宋" w:cs="仿宋"/>
          <w:color w:val="auto"/>
          <w:kern w:val="24"/>
          <w:sz w:val="30"/>
          <w:szCs w:val="30"/>
          <w:highlight w:val="none"/>
          <w:lang w:val="en-US" w:eastAsia="zh-CN"/>
        </w:rPr>
        <w:t>029-62812592</w:t>
      </w:r>
      <w:r>
        <w:rPr>
          <w:rFonts w:hint="eastAsia" w:ascii="仿宋" w:hAnsi="仿宋" w:eastAsia="仿宋" w:cs="仿宋"/>
          <w:color w:val="auto"/>
          <w:kern w:val="24"/>
          <w:sz w:val="30"/>
          <w:szCs w:val="30"/>
          <w:highlight w:val="none"/>
        </w:rPr>
        <w:t xml:space="preserve"> </w:t>
      </w:r>
    </w:p>
    <w:p w14:paraId="717F9737">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24"/>
          <w:sz w:val="30"/>
          <w:szCs w:val="30"/>
          <w:highlight w:val="none"/>
        </w:rPr>
        <w:t>地    址：西安市经济技术开发区泾渭新城泾勤路5号</w:t>
      </w:r>
    </w:p>
    <w:p w14:paraId="18D133AE">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kern w:val="24"/>
          <w:sz w:val="30"/>
          <w:szCs w:val="30"/>
          <w:highlight w:val="none"/>
        </w:rPr>
      </w:pPr>
    </w:p>
    <w:p w14:paraId="141C03E8">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kern w:val="24"/>
          <w:sz w:val="30"/>
          <w:szCs w:val="30"/>
          <w:highlight w:val="none"/>
        </w:rPr>
      </w:pPr>
    </w:p>
    <w:p w14:paraId="77EEF756">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kern w:val="24"/>
          <w:sz w:val="30"/>
          <w:szCs w:val="30"/>
          <w:highlight w:val="none"/>
        </w:rPr>
        <w:t>乙方（章）：</w:t>
      </w:r>
    </w:p>
    <w:p w14:paraId="013BBE1F">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kern w:val="24"/>
          <w:sz w:val="30"/>
          <w:szCs w:val="30"/>
          <w:highlight w:val="none"/>
        </w:rPr>
      </w:pPr>
      <w:r>
        <w:rPr>
          <w:rFonts w:hint="eastAsia" w:ascii="仿宋" w:hAnsi="仿宋" w:eastAsia="仿宋" w:cs="仿宋"/>
          <w:color w:val="auto"/>
          <w:kern w:val="24"/>
          <w:sz w:val="30"/>
          <w:szCs w:val="30"/>
          <w:highlight w:val="none"/>
        </w:rPr>
        <w:t>法定代表人或授权代表：</w:t>
      </w:r>
    </w:p>
    <w:p w14:paraId="0158A32A">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sz w:val="30"/>
          <w:szCs w:val="30"/>
          <w:highlight w:val="none"/>
        </w:rPr>
      </w:pPr>
      <w:r>
        <w:rPr>
          <w:rFonts w:hint="eastAsia" w:ascii="仿宋" w:hAnsi="仿宋" w:eastAsia="仿宋" w:cs="仿宋"/>
          <w:color w:val="auto"/>
          <w:kern w:val="24"/>
          <w:sz w:val="30"/>
          <w:szCs w:val="30"/>
          <w:highlight w:val="none"/>
        </w:rPr>
        <w:t xml:space="preserve">签订时间： </w:t>
      </w:r>
    </w:p>
    <w:p w14:paraId="216D6361">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0"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kern w:val="24"/>
          <w:sz w:val="30"/>
          <w:szCs w:val="30"/>
          <w:highlight w:val="none"/>
        </w:rPr>
        <w:t>电    话：</w:t>
      </w:r>
    </w:p>
    <w:p w14:paraId="5160B288">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jc w:val="left"/>
        <w:textAlignment w:val="auto"/>
        <w:rPr>
          <w:rFonts w:hint="eastAsia"/>
          <w:color w:val="auto"/>
          <w:sz w:val="32"/>
          <w:szCs w:val="32"/>
          <w:highlight w:val="none"/>
        </w:rPr>
      </w:pPr>
      <w:r>
        <w:rPr>
          <w:rFonts w:hint="eastAsia" w:ascii="仿宋" w:hAnsi="仿宋" w:eastAsia="仿宋" w:cs="仿宋"/>
          <w:color w:val="auto"/>
          <w:kern w:val="24"/>
          <w:sz w:val="30"/>
          <w:szCs w:val="30"/>
          <w:highlight w:val="none"/>
        </w:rPr>
        <w:t>地    址：</w:t>
      </w:r>
    </w:p>
    <w:p w14:paraId="53126529">
      <w:pPr>
        <w:pStyle w:val="18"/>
        <w:shd w:val="clear"/>
        <w:rPr>
          <w:rFonts w:hint="eastAsia"/>
          <w:color w:val="auto"/>
          <w:highlight w:val="none"/>
          <w:lang w:val="en-US" w:eastAsia="zh-Hans"/>
        </w:rPr>
      </w:pPr>
    </w:p>
    <w:p w14:paraId="2F3D2E51">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jc w:val="left"/>
        <w:textAlignment w:val="auto"/>
        <w:rPr>
          <w:rFonts w:hint="eastAsia"/>
          <w:color w:val="auto"/>
          <w:sz w:val="32"/>
          <w:szCs w:val="32"/>
          <w:highlight w:val="none"/>
        </w:rPr>
      </w:pPr>
    </w:p>
    <w:sectPr>
      <w:headerReference r:id="rId6" w:type="default"/>
      <w:footerReference r:id="rId7" w:type="default"/>
      <w:pgSz w:w="11906" w:h="16838"/>
      <w:pgMar w:top="1440" w:right="1800" w:bottom="1440" w:left="1800" w:header="284" w:footer="56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01F52">
    <w:pPr>
      <w:pStyle w:val="8"/>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AFD34">
    <w:pPr>
      <w:pStyle w:val="8"/>
      <w:framePr w:wrap="around" w:vAnchor="text" w:hAnchor="margin" w:xAlign="right" w:y="1"/>
      <w:rPr>
        <w:rStyle w:val="12"/>
      </w:rPr>
    </w:pPr>
    <w:r>
      <w:fldChar w:fldCharType="begin"/>
    </w:r>
    <w:r>
      <w:rPr>
        <w:rStyle w:val="12"/>
      </w:rPr>
      <w:instrText xml:space="preserve">PAGE  </w:instrText>
    </w:r>
    <w:r>
      <w:fldChar w:fldCharType="separate"/>
    </w:r>
    <w:r>
      <w:fldChar w:fldCharType="end"/>
    </w:r>
  </w:p>
  <w:p w14:paraId="037A8CFE">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ABA2D">
    <w:pPr>
      <w:pStyle w:val="8"/>
      <w:ind w:right="36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C699B">
    <w:pPr>
      <w:pStyle w:val="9"/>
      <w:pBdr>
        <w:bottom w:val="none" w:color="auto" w:sz="0" w:space="1"/>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CB312">
    <w:pPr>
      <w:pStyle w:val="9"/>
      <w:pBdr>
        <w:bottom w:val="none" w:color="auto" w:sz="0" w:space="1"/>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WZiNmVjZjRlNjRhYzczNzk2ZTQ4NDFmNzM5NjMifQ=="/>
    <w:docVar w:name="KSO_WPS_MARK_KEY" w:val="850f48df-ea32-411a-bce8-f3485686c711"/>
  </w:docVars>
  <w:rsids>
    <w:rsidRoot w:val="00172A27"/>
    <w:rsid w:val="0000399B"/>
    <w:rsid w:val="0000449A"/>
    <w:rsid w:val="00004C54"/>
    <w:rsid w:val="00013F7F"/>
    <w:rsid w:val="00015621"/>
    <w:rsid w:val="00022A98"/>
    <w:rsid w:val="00022FD3"/>
    <w:rsid w:val="00035116"/>
    <w:rsid w:val="00045520"/>
    <w:rsid w:val="000537EB"/>
    <w:rsid w:val="00072147"/>
    <w:rsid w:val="00073ECB"/>
    <w:rsid w:val="00077DF7"/>
    <w:rsid w:val="000C752A"/>
    <w:rsid w:val="000E65D2"/>
    <w:rsid w:val="000F50F7"/>
    <w:rsid w:val="00116931"/>
    <w:rsid w:val="001169F1"/>
    <w:rsid w:val="00121F6A"/>
    <w:rsid w:val="00135F5F"/>
    <w:rsid w:val="00136D4B"/>
    <w:rsid w:val="00137CCD"/>
    <w:rsid w:val="0014070E"/>
    <w:rsid w:val="001460ED"/>
    <w:rsid w:val="00163D09"/>
    <w:rsid w:val="001757E4"/>
    <w:rsid w:val="00183C17"/>
    <w:rsid w:val="00187EF5"/>
    <w:rsid w:val="00196274"/>
    <w:rsid w:val="001A2509"/>
    <w:rsid w:val="001A4F55"/>
    <w:rsid w:val="001B33EF"/>
    <w:rsid w:val="001C4D73"/>
    <w:rsid w:val="001D1FB4"/>
    <w:rsid w:val="001D39A3"/>
    <w:rsid w:val="001E07D0"/>
    <w:rsid w:val="001E7C5F"/>
    <w:rsid w:val="001F2663"/>
    <w:rsid w:val="001F30EC"/>
    <w:rsid w:val="00203733"/>
    <w:rsid w:val="0020419B"/>
    <w:rsid w:val="0021095D"/>
    <w:rsid w:val="0022077F"/>
    <w:rsid w:val="00220840"/>
    <w:rsid w:val="002306A1"/>
    <w:rsid w:val="002353F7"/>
    <w:rsid w:val="0023639C"/>
    <w:rsid w:val="002413D5"/>
    <w:rsid w:val="00242602"/>
    <w:rsid w:val="00243F56"/>
    <w:rsid w:val="002441AE"/>
    <w:rsid w:val="002477A5"/>
    <w:rsid w:val="0025564B"/>
    <w:rsid w:val="0025722B"/>
    <w:rsid w:val="002601CA"/>
    <w:rsid w:val="00264DCB"/>
    <w:rsid w:val="00282C24"/>
    <w:rsid w:val="00285F16"/>
    <w:rsid w:val="00293A4C"/>
    <w:rsid w:val="002A6B01"/>
    <w:rsid w:val="002C120D"/>
    <w:rsid w:val="002C2E4B"/>
    <w:rsid w:val="002D38CE"/>
    <w:rsid w:val="002D60EB"/>
    <w:rsid w:val="002D7418"/>
    <w:rsid w:val="002E11A1"/>
    <w:rsid w:val="002F0595"/>
    <w:rsid w:val="0030126A"/>
    <w:rsid w:val="003027F5"/>
    <w:rsid w:val="00306D7E"/>
    <w:rsid w:val="00312557"/>
    <w:rsid w:val="0031399F"/>
    <w:rsid w:val="00316828"/>
    <w:rsid w:val="003170B1"/>
    <w:rsid w:val="00336239"/>
    <w:rsid w:val="00354433"/>
    <w:rsid w:val="0036709D"/>
    <w:rsid w:val="00384E2B"/>
    <w:rsid w:val="00386429"/>
    <w:rsid w:val="00392DBE"/>
    <w:rsid w:val="00395862"/>
    <w:rsid w:val="003A379F"/>
    <w:rsid w:val="003A5805"/>
    <w:rsid w:val="003A601A"/>
    <w:rsid w:val="003B2B36"/>
    <w:rsid w:val="003B4B20"/>
    <w:rsid w:val="003B6B16"/>
    <w:rsid w:val="003C1AA1"/>
    <w:rsid w:val="003C2359"/>
    <w:rsid w:val="003C5FD7"/>
    <w:rsid w:val="003C6A41"/>
    <w:rsid w:val="003D2023"/>
    <w:rsid w:val="003D36FE"/>
    <w:rsid w:val="003E6137"/>
    <w:rsid w:val="003E65EA"/>
    <w:rsid w:val="003F6EED"/>
    <w:rsid w:val="003F7627"/>
    <w:rsid w:val="004024AF"/>
    <w:rsid w:val="00404B88"/>
    <w:rsid w:val="00432EE0"/>
    <w:rsid w:val="004513BE"/>
    <w:rsid w:val="004532D7"/>
    <w:rsid w:val="00461083"/>
    <w:rsid w:val="00463881"/>
    <w:rsid w:val="00476605"/>
    <w:rsid w:val="004813F1"/>
    <w:rsid w:val="004861D7"/>
    <w:rsid w:val="0049576D"/>
    <w:rsid w:val="004A558C"/>
    <w:rsid w:val="004B28D5"/>
    <w:rsid w:val="004B2C78"/>
    <w:rsid w:val="004C6578"/>
    <w:rsid w:val="004D59C1"/>
    <w:rsid w:val="004E798F"/>
    <w:rsid w:val="004F20B5"/>
    <w:rsid w:val="004F537E"/>
    <w:rsid w:val="00511745"/>
    <w:rsid w:val="00515063"/>
    <w:rsid w:val="00515E48"/>
    <w:rsid w:val="00531AB5"/>
    <w:rsid w:val="005508C7"/>
    <w:rsid w:val="00552F98"/>
    <w:rsid w:val="00554276"/>
    <w:rsid w:val="005706BF"/>
    <w:rsid w:val="00583FB8"/>
    <w:rsid w:val="005902B0"/>
    <w:rsid w:val="00595826"/>
    <w:rsid w:val="005B70C7"/>
    <w:rsid w:val="005C058A"/>
    <w:rsid w:val="005C442E"/>
    <w:rsid w:val="005C5A8C"/>
    <w:rsid w:val="005E669F"/>
    <w:rsid w:val="005E754F"/>
    <w:rsid w:val="005F7172"/>
    <w:rsid w:val="00602EF9"/>
    <w:rsid w:val="00623BEA"/>
    <w:rsid w:val="006261F7"/>
    <w:rsid w:val="00637417"/>
    <w:rsid w:val="0065167D"/>
    <w:rsid w:val="006531ED"/>
    <w:rsid w:val="006600B9"/>
    <w:rsid w:val="00671037"/>
    <w:rsid w:val="006754DE"/>
    <w:rsid w:val="00684780"/>
    <w:rsid w:val="006929AB"/>
    <w:rsid w:val="006A728C"/>
    <w:rsid w:val="006B534F"/>
    <w:rsid w:val="006D795C"/>
    <w:rsid w:val="006E6478"/>
    <w:rsid w:val="006F6653"/>
    <w:rsid w:val="006F6F9A"/>
    <w:rsid w:val="00711DCD"/>
    <w:rsid w:val="0071216E"/>
    <w:rsid w:val="007121D0"/>
    <w:rsid w:val="00743A04"/>
    <w:rsid w:val="007508D1"/>
    <w:rsid w:val="00752452"/>
    <w:rsid w:val="00757471"/>
    <w:rsid w:val="007631BE"/>
    <w:rsid w:val="00771B9B"/>
    <w:rsid w:val="007725C0"/>
    <w:rsid w:val="00776E8E"/>
    <w:rsid w:val="007877CA"/>
    <w:rsid w:val="007D1B9A"/>
    <w:rsid w:val="007E4FF9"/>
    <w:rsid w:val="007F519A"/>
    <w:rsid w:val="007F7EAA"/>
    <w:rsid w:val="00811DF0"/>
    <w:rsid w:val="0081293C"/>
    <w:rsid w:val="008130A7"/>
    <w:rsid w:val="00815F86"/>
    <w:rsid w:val="008173EF"/>
    <w:rsid w:val="00817646"/>
    <w:rsid w:val="00832E4B"/>
    <w:rsid w:val="00841AAC"/>
    <w:rsid w:val="00843712"/>
    <w:rsid w:val="00851E29"/>
    <w:rsid w:val="0086061A"/>
    <w:rsid w:val="00861C72"/>
    <w:rsid w:val="00891641"/>
    <w:rsid w:val="00897AA3"/>
    <w:rsid w:val="008A5EB9"/>
    <w:rsid w:val="008B5355"/>
    <w:rsid w:val="008B567B"/>
    <w:rsid w:val="008C46A8"/>
    <w:rsid w:val="008D0403"/>
    <w:rsid w:val="008D1313"/>
    <w:rsid w:val="008D746E"/>
    <w:rsid w:val="008E057A"/>
    <w:rsid w:val="008E550F"/>
    <w:rsid w:val="008F4575"/>
    <w:rsid w:val="008F4738"/>
    <w:rsid w:val="00903225"/>
    <w:rsid w:val="00911D03"/>
    <w:rsid w:val="009219E2"/>
    <w:rsid w:val="00943CFE"/>
    <w:rsid w:val="0094464D"/>
    <w:rsid w:val="00960A73"/>
    <w:rsid w:val="009645A5"/>
    <w:rsid w:val="00964EE9"/>
    <w:rsid w:val="009656FE"/>
    <w:rsid w:val="00973869"/>
    <w:rsid w:val="00975FF0"/>
    <w:rsid w:val="009821F4"/>
    <w:rsid w:val="00993EFB"/>
    <w:rsid w:val="009B3B9E"/>
    <w:rsid w:val="009B6ECC"/>
    <w:rsid w:val="009C5EC0"/>
    <w:rsid w:val="009C72B5"/>
    <w:rsid w:val="009E20EE"/>
    <w:rsid w:val="00A22F0C"/>
    <w:rsid w:val="00A464F9"/>
    <w:rsid w:val="00A55730"/>
    <w:rsid w:val="00A658A4"/>
    <w:rsid w:val="00A95E1E"/>
    <w:rsid w:val="00AB5716"/>
    <w:rsid w:val="00AB7019"/>
    <w:rsid w:val="00AB776C"/>
    <w:rsid w:val="00AE1198"/>
    <w:rsid w:val="00AE539B"/>
    <w:rsid w:val="00AE5666"/>
    <w:rsid w:val="00AF0416"/>
    <w:rsid w:val="00AF1D23"/>
    <w:rsid w:val="00B10845"/>
    <w:rsid w:val="00B20BCE"/>
    <w:rsid w:val="00B243B0"/>
    <w:rsid w:val="00B24C29"/>
    <w:rsid w:val="00B416C3"/>
    <w:rsid w:val="00B55C0B"/>
    <w:rsid w:val="00B60432"/>
    <w:rsid w:val="00B755EB"/>
    <w:rsid w:val="00B770FF"/>
    <w:rsid w:val="00B8438C"/>
    <w:rsid w:val="00BA2438"/>
    <w:rsid w:val="00BB4662"/>
    <w:rsid w:val="00BC245D"/>
    <w:rsid w:val="00BE14D0"/>
    <w:rsid w:val="00BF0AA5"/>
    <w:rsid w:val="00C04A7F"/>
    <w:rsid w:val="00C07278"/>
    <w:rsid w:val="00C07779"/>
    <w:rsid w:val="00C201A8"/>
    <w:rsid w:val="00C20676"/>
    <w:rsid w:val="00C2490A"/>
    <w:rsid w:val="00C44849"/>
    <w:rsid w:val="00C47EB5"/>
    <w:rsid w:val="00C563E9"/>
    <w:rsid w:val="00C57A3A"/>
    <w:rsid w:val="00C616EF"/>
    <w:rsid w:val="00C631F7"/>
    <w:rsid w:val="00C67338"/>
    <w:rsid w:val="00CA7062"/>
    <w:rsid w:val="00CA767D"/>
    <w:rsid w:val="00CB16C0"/>
    <w:rsid w:val="00CB3E39"/>
    <w:rsid w:val="00CC4885"/>
    <w:rsid w:val="00CD1126"/>
    <w:rsid w:val="00CD2F9B"/>
    <w:rsid w:val="00CD4DE2"/>
    <w:rsid w:val="00CE00FB"/>
    <w:rsid w:val="00CE6F3C"/>
    <w:rsid w:val="00CE7F55"/>
    <w:rsid w:val="00CF2289"/>
    <w:rsid w:val="00D01166"/>
    <w:rsid w:val="00D1301A"/>
    <w:rsid w:val="00D6557B"/>
    <w:rsid w:val="00D862F1"/>
    <w:rsid w:val="00D9227E"/>
    <w:rsid w:val="00D93017"/>
    <w:rsid w:val="00DA4E14"/>
    <w:rsid w:val="00DC38F1"/>
    <w:rsid w:val="00DC6D0D"/>
    <w:rsid w:val="00DD4332"/>
    <w:rsid w:val="00DD6DFD"/>
    <w:rsid w:val="00DF6209"/>
    <w:rsid w:val="00E234E6"/>
    <w:rsid w:val="00E2486A"/>
    <w:rsid w:val="00E3343E"/>
    <w:rsid w:val="00E336AD"/>
    <w:rsid w:val="00E36F6C"/>
    <w:rsid w:val="00E4231B"/>
    <w:rsid w:val="00E432A7"/>
    <w:rsid w:val="00E45B32"/>
    <w:rsid w:val="00E47B50"/>
    <w:rsid w:val="00E53511"/>
    <w:rsid w:val="00E57FD1"/>
    <w:rsid w:val="00E623B9"/>
    <w:rsid w:val="00E726C7"/>
    <w:rsid w:val="00E75B85"/>
    <w:rsid w:val="00E86333"/>
    <w:rsid w:val="00E8741A"/>
    <w:rsid w:val="00E90BF1"/>
    <w:rsid w:val="00E9470B"/>
    <w:rsid w:val="00E96075"/>
    <w:rsid w:val="00EB36D5"/>
    <w:rsid w:val="00EB63CE"/>
    <w:rsid w:val="00EC334B"/>
    <w:rsid w:val="00ED0369"/>
    <w:rsid w:val="00ED093C"/>
    <w:rsid w:val="00ED1F65"/>
    <w:rsid w:val="00EE25A6"/>
    <w:rsid w:val="00EE2782"/>
    <w:rsid w:val="00EE5F14"/>
    <w:rsid w:val="00EF262F"/>
    <w:rsid w:val="00F41CDD"/>
    <w:rsid w:val="00F507AB"/>
    <w:rsid w:val="00F6602F"/>
    <w:rsid w:val="00F84649"/>
    <w:rsid w:val="00F929B7"/>
    <w:rsid w:val="00F92C6E"/>
    <w:rsid w:val="00FB52D1"/>
    <w:rsid w:val="00FC342A"/>
    <w:rsid w:val="00FC3763"/>
    <w:rsid w:val="00FE0C40"/>
    <w:rsid w:val="00FF5654"/>
    <w:rsid w:val="00FF58D9"/>
    <w:rsid w:val="05510E36"/>
    <w:rsid w:val="05E36EF4"/>
    <w:rsid w:val="09E80FA2"/>
    <w:rsid w:val="0A884C87"/>
    <w:rsid w:val="0AB319EF"/>
    <w:rsid w:val="0BD9237C"/>
    <w:rsid w:val="0CA01B8D"/>
    <w:rsid w:val="0CCF3D9E"/>
    <w:rsid w:val="0D314689"/>
    <w:rsid w:val="0E1704E7"/>
    <w:rsid w:val="0E4A6658"/>
    <w:rsid w:val="0E5033AA"/>
    <w:rsid w:val="0E7B24A7"/>
    <w:rsid w:val="0E8611C8"/>
    <w:rsid w:val="1375345C"/>
    <w:rsid w:val="15E64699"/>
    <w:rsid w:val="15E80255"/>
    <w:rsid w:val="16AE354D"/>
    <w:rsid w:val="17E6767E"/>
    <w:rsid w:val="18265F07"/>
    <w:rsid w:val="183F2B14"/>
    <w:rsid w:val="185A5E34"/>
    <w:rsid w:val="188B1CC1"/>
    <w:rsid w:val="18F8525C"/>
    <w:rsid w:val="1998697F"/>
    <w:rsid w:val="1B3649F8"/>
    <w:rsid w:val="1B9E7672"/>
    <w:rsid w:val="1BFC6FDE"/>
    <w:rsid w:val="1D1957B3"/>
    <w:rsid w:val="20C03DA2"/>
    <w:rsid w:val="2242771A"/>
    <w:rsid w:val="253432D4"/>
    <w:rsid w:val="25E46B21"/>
    <w:rsid w:val="267F5C05"/>
    <w:rsid w:val="268E7F4D"/>
    <w:rsid w:val="27E83923"/>
    <w:rsid w:val="280E64BC"/>
    <w:rsid w:val="296B0861"/>
    <w:rsid w:val="2A377DB7"/>
    <w:rsid w:val="2C2624BF"/>
    <w:rsid w:val="2CE32F61"/>
    <w:rsid w:val="2D2A05F8"/>
    <w:rsid w:val="2D4515F0"/>
    <w:rsid w:val="2DA955B6"/>
    <w:rsid w:val="2FE115F0"/>
    <w:rsid w:val="30D4581B"/>
    <w:rsid w:val="31536516"/>
    <w:rsid w:val="31660CB9"/>
    <w:rsid w:val="31885E92"/>
    <w:rsid w:val="32437BC2"/>
    <w:rsid w:val="35032C90"/>
    <w:rsid w:val="35E26CF6"/>
    <w:rsid w:val="36B267C8"/>
    <w:rsid w:val="37147A5E"/>
    <w:rsid w:val="378C4B33"/>
    <w:rsid w:val="38844D7A"/>
    <w:rsid w:val="38F90665"/>
    <w:rsid w:val="3B0C144D"/>
    <w:rsid w:val="3B256E38"/>
    <w:rsid w:val="3B3D5BE5"/>
    <w:rsid w:val="3BB32D4D"/>
    <w:rsid w:val="3CB26FFE"/>
    <w:rsid w:val="3CE5682D"/>
    <w:rsid w:val="3DEE1F76"/>
    <w:rsid w:val="3E23240C"/>
    <w:rsid w:val="3F473ED8"/>
    <w:rsid w:val="43851473"/>
    <w:rsid w:val="44B83F02"/>
    <w:rsid w:val="4542602E"/>
    <w:rsid w:val="4552766D"/>
    <w:rsid w:val="45C4637F"/>
    <w:rsid w:val="479C6D8B"/>
    <w:rsid w:val="47E56984"/>
    <w:rsid w:val="4A761B16"/>
    <w:rsid w:val="4B1E19BD"/>
    <w:rsid w:val="4B9E3D70"/>
    <w:rsid w:val="4BA154D3"/>
    <w:rsid w:val="4CC34DBA"/>
    <w:rsid w:val="4EEF00E8"/>
    <w:rsid w:val="4F653A86"/>
    <w:rsid w:val="4F7557A4"/>
    <w:rsid w:val="51C2438A"/>
    <w:rsid w:val="52B00245"/>
    <w:rsid w:val="549239F0"/>
    <w:rsid w:val="55BC79F4"/>
    <w:rsid w:val="568B1540"/>
    <w:rsid w:val="58013AEE"/>
    <w:rsid w:val="58CB6A3A"/>
    <w:rsid w:val="59325ED9"/>
    <w:rsid w:val="593F5BA1"/>
    <w:rsid w:val="598E4EB9"/>
    <w:rsid w:val="5A2B6244"/>
    <w:rsid w:val="5BBC75A4"/>
    <w:rsid w:val="5BED59B0"/>
    <w:rsid w:val="5C42242B"/>
    <w:rsid w:val="5DBC1ADE"/>
    <w:rsid w:val="5EC54E5A"/>
    <w:rsid w:val="5ED13367"/>
    <w:rsid w:val="5F9573DD"/>
    <w:rsid w:val="5F9A8F0A"/>
    <w:rsid w:val="604E2E92"/>
    <w:rsid w:val="60B20A81"/>
    <w:rsid w:val="61135EB8"/>
    <w:rsid w:val="612E7CFB"/>
    <w:rsid w:val="616B639E"/>
    <w:rsid w:val="61F11E5F"/>
    <w:rsid w:val="650E1C17"/>
    <w:rsid w:val="6547740B"/>
    <w:rsid w:val="65570AD7"/>
    <w:rsid w:val="659A6370"/>
    <w:rsid w:val="675B3851"/>
    <w:rsid w:val="67634D75"/>
    <w:rsid w:val="677130A1"/>
    <w:rsid w:val="67BE6558"/>
    <w:rsid w:val="6A714C0A"/>
    <w:rsid w:val="6AE85CC0"/>
    <w:rsid w:val="6BE11A17"/>
    <w:rsid w:val="6E105031"/>
    <w:rsid w:val="705F6A24"/>
    <w:rsid w:val="71CF4EC9"/>
    <w:rsid w:val="71E511AB"/>
    <w:rsid w:val="72851129"/>
    <w:rsid w:val="72E04A67"/>
    <w:rsid w:val="744C747A"/>
    <w:rsid w:val="75E946BC"/>
    <w:rsid w:val="766931EC"/>
    <w:rsid w:val="76E27D59"/>
    <w:rsid w:val="771A5186"/>
    <w:rsid w:val="778A6886"/>
    <w:rsid w:val="77D37082"/>
    <w:rsid w:val="78197F17"/>
    <w:rsid w:val="79676318"/>
    <w:rsid w:val="79E24222"/>
    <w:rsid w:val="7A514939"/>
    <w:rsid w:val="7C343B5C"/>
    <w:rsid w:val="7C924617"/>
    <w:rsid w:val="7D133A6A"/>
    <w:rsid w:val="7D266BED"/>
    <w:rsid w:val="7E67AAD0"/>
    <w:rsid w:val="7F7F0D2A"/>
    <w:rsid w:val="93DFAD87"/>
    <w:rsid w:val="AFBFB65D"/>
    <w:rsid w:val="D6B63972"/>
    <w:rsid w:val="EFC4A268"/>
    <w:rsid w:val="FDD049C6"/>
    <w:rsid w:val="FF5DDD8F"/>
    <w:rsid w:val="FFA52E4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17"/>
    <w:qFormat/>
    <w:uiPriority w:val="0"/>
    <w:pPr>
      <w:keepNext/>
      <w:keepLines/>
      <w:autoSpaceDE w:val="0"/>
      <w:autoSpaceDN w:val="0"/>
      <w:adjustRightInd w:val="0"/>
      <w:spacing w:before="240" w:after="120" w:line="300" w:lineRule="auto"/>
      <w:jc w:val="center"/>
      <w:outlineLvl w:val="0"/>
    </w:pPr>
    <w:rPr>
      <w:rFonts w:ascii="宋体" w:hAnsi="Times New Roman"/>
      <w:bCs w:val="0"/>
      <w:kern w:val="44"/>
      <w:szCs w:val="20"/>
    </w:rPr>
  </w:style>
  <w:style w:type="character" w:default="1" w:styleId="11">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Title"/>
    <w:basedOn w:val="4"/>
    <w:next w:val="1"/>
    <w:qFormat/>
    <w:uiPriority w:val="0"/>
    <w:pPr>
      <w:spacing w:before="240" w:after="60"/>
      <w:jc w:val="center"/>
      <w:outlineLvl w:val="0"/>
    </w:pPr>
    <w:rPr>
      <w:rFonts w:ascii="Cambria" w:hAnsi="Cambria"/>
      <w:b/>
      <w:bCs/>
      <w:sz w:val="32"/>
      <w:szCs w:val="32"/>
    </w:rPr>
  </w:style>
  <w:style w:type="paragraph" w:styleId="4">
    <w:name w:val="List 2"/>
    <w:basedOn w:val="1"/>
    <w:qFormat/>
    <w:uiPriority w:val="0"/>
    <w:pPr>
      <w:ind w:left="100" w:leftChars="200" w:hanging="200" w:hangingChars="200"/>
      <w:contextualSpacing/>
    </w:pPr>
  </w:style>
  <w:style w:type="paragraph" w:styleId="5">
    <w:name w:val="annotation text"/>
    <w:basedOn w:val="1"/>
    <w:qFormat/>
    <w:uiPriority w:val="0"/>
    <w:pPr>
      <w:jc w:val="left"/>
    </w:pPr>
  </w:style>
  <w:style w:type="paragraph" w:styleId="6">
    <w:name w:val="index 4"/>
    <w:basedOn w:val="1"/>
    <w:next w:val="1"/>
    <w:qFormat/>
    <w:uiPriority w:val="0"/>
    <w:pPr>
      <w:ind w:left="600" w:leftChars="600"/>
    </w:p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2">
    <w:name w:val="page number"/>
    <w:qFormat/>
    <w:uiPriority w:val="0"/>
  </w:style>
  <w:style w:type="character" w:styleId="13">
    <w:name w:val="annotation reference"/>
    <w:basedOn w:val="11"/>
    <w:qFormat/>
    <w:uiPriority w:val="0"/>
    <w:rPr>
      <w:sz w:val="21"/>
      <w:szCs w:val="21"/>
    </w:rPr>
  </w:style>
  <w:style w:type="paragraph" w:customStyle="1" w:styleId="14">
    <w:name w:val="样式1"/>
    <w:basedOn w:val="6"/>
    <w:qFormat/>
    <w:uiPriority w:val="0"/>
    <w:pPr>
      <w:jc w:val="both"/>
    </w:pPr>
    <w:rPr>
      <w:rFonts w:ascii="宋体" w:hAnsi="宋体"/>
    </w:rPr>
  </w:style>
  <w:style w:type="paragraph" w:customStyle="1" w:styleId="15">
    <w:name w:val="样式2"/>
    <w:basedOn w:val="9"/>
    <w:qFormat/>
    <w:uiPriority w:val="0"/>
    <w:pPr>
      <w:spacing w:line="360" w:lineRule="auto"/>
      <w:jc w:val="left"/>
    </w:pPr>
    <w:rPr>
      <w:rFonts w:ascii="宋体" w:hAnsi="宋体"/>
    </w:rPr>
  </w:style>
  <w:style w:type="paragraph" w:customStyle="1" w:styleId="16">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17">
    <w:name w:val="标题 1 字符"/>
    <w:link w:val="2"/>
    <w:qFormat/>
    <w:uiPriority w:val="0"/>
    <w:rPr>
      <w:rFonts w:ascii="宋体" w:hAnsi="Times New Roman"/>
      <w:kern w:val="44"/>
      <w:szCs w:val="20"/>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3399</Words>
  <Characters>3539</Characters>
  <Lines>26</Lines>
  <Paragraphs>7</Paragraphs>
  <TotalTime>0</TotalTime>
  <ScaleCrop>false</ScaleCrop>
  <LinksUpToDate>false</LinksUpToDate>
  <CharactersWithSpaces>3781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2021-11-01T13:03:00Z</dcterms:created>
  <dc:creator>微软用户</dc:creator>
  <cp:lastModifiedBy>Administrator</cp:lastModifiedBy>
  <cp:lastPrinted>2024-08-22T07:38:00Z</cp:lastPrinted>
  <dcterms:modified xsi:type="dcterms:W3CDTF">2026-05-09T08:02:57Z</dcterms:modified>
  <dc:title>固体废物处置协议</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DC6404C13B7948E1B5FFBD9AA24E7977</vt:lpwstr>
  </property>
  <property fmtid="{D5CDD505-2E9C-101B-9397-08002B2CF9AE}" pid="4" name="KSOTemplateDocerSaveRecord">
    <vt:lpwstr>eyJoZGlkIjoiN2M0NTdjYmM1YjY4OGU5YTNhODc4MDEyNDYzOWU1MWQiLCJ1c2VySWQiOiIzNzA0MjM3MzgifQ==</vt:lpwstr>
  </property>
</Properties>
</file>