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6FAA6">
      <w:pPr>
        <w:pStyle w:val="2"/>
        <w:numPr>
          <w:ilvl w:val="0"/>
          <w:numId w:val="0"/>
        </w:numPr>
        <w:jc w:val="center"/>
        <w:rPr>
          <w:rFonts w:hint="eastAsia"/>
          <w:sz w:val="32"/>
          <w:szCs w:val="32"/>
          <w:lang w:val="en-US" w:eastAsia="zh-CN"/>
        </w:rPr>
      </w:pPr>
      <w:bookmarkStart w:id="0" w:name="_Toc18332563"/>
      <w:r>
        <w:rPr>
          <w:rFonts w:hint="eastAsia"/>
          <w:sz w:val="32"/>
          <w:szCs w:val="32"/>
          <w:lang w:eastAsia="zh-CN"/>
        </w:rPr>
        <w:t>拟签订</w:t>
      </w:r>
      <w:r>
        <w:rPr>
          <w:rFonts w:hint="eastAsia"/>
          <w:sz w:val="32"/>
          <w:szCs w:val="32"/>
        </w:rPr>
        <w:t>合同</w:t>
      </w:r>
      <w:bookmarkEnd w:id="0"/>
      <w:r>
        <w:rPr>
          <w:rFonts w:hint="eastAsia"/>
          <w:sz w:val="32"/>
          <w:szCs w:val="32"/>
          <w:lang w:val="en-US" w:eastAsia="zh-CN"/>
        </w:rPr>
        <w:t>条款</w:t>
      </w:r>
    </w:p>
    <w:p w14:paraId="774F1957">
      <w:pPr>
        <w:spacing w:before="78" w:line="219" w:lineRule="auto"/>
        <w:ind w:left="510"/>
        <w:jc w:val="center"/>
        <w:rPr>
          <w:rFonts w:hint="eastAsia" w:ascii="宋体" w:hAnsi="宋体" w:eastAsia="宋体" w:cs="宋体"/>
          <w:b/>
          <w:bCs/>
          <w:color w:val="000000"/>
          <w:spacing w:val="-4"/>
          <w:sz w:val="21"/>
          <w:szCs w:val="21"/>
          <w:highlight w:val="none"/>
          <w:lang w:eastAsia="zh-CN"/>
        </w:rPr>
      </w:pPr>
      <w:bookmarkStart w:id="1" w:name="_Toc172831758"/>
      <w:r>
        <w:rPr>
          <w:rFonts w:hint="eastAsia" w:ascii="宋体" w:hAnsi="宋体" w:eastAsia="宋体" w:cs="宋体"/>
          <w:b/>
          <w:bCs/>
          <w:color w:val="000000"/>
          <w:spacing w:val="-4"/>
          <w:sz w:val="21"/>
          <w:szCs w:val="21"/>
          <w:highlight w:val="none"/>
          <w:lang w:eastAsia="zh-CN"/>
        </w:rPr>
        <w:t>（注：</w:t>
      </w:r>
      <w:r>
        <w:rPr>
          <w:rFonts w:hint="eastAsia" w:ascii="宋体" w:hAnsi="宋体" w:eastAsia="宋体" w:cs="宋体"/>
          <w:b/>
          <w:bCs/>
          <w:color w:val="000000"/>
          <w:spacing w:val="-4"/>
          <w:sz w:val="21"/>
          <w:szCs w:val="21"/>
          <w:highlight w:val="none"/>
          <w:lang w:val="en-US" w:eastAsia="zh-CN"/>
        </w:rPr>
        <w:t>本合同样式仅供参考</w:t>
      </w:r>
      <w:r>
        <w:rPr>
          <w:rFonts w:hint="eastAsia" w:ascii="宋体" w:hAnsi="宋体" w:eastAsia="宋体" w:cs="宋体"/>
          <w:b/>
          <w:bCs/>
          <w:color w:val="000000"/>
          <w:spacing w:val="-4"/>
          <w:sz w:val="21"/>
          <w:szCs w:val="21"/>
          <w:highlight w:val="none"/>
          <w:lang w:eastAsia="zh-CN"/>
        </w:rPr>
        <w:t>，具体合同格式及条款</w:t>
      </w:r>
      <w:r>
        <w:rPr>
          <w:rFonts w:hint="eastAsia" w:ascii="宋体" w:hAnsi="宋体" w:eastAsia="宋体" w:cs="宋体"/>
          <w:b/>
          <w:bCs/>
          <w:color w:val="000000"/>
          <w:spacing w:val="-4"/>
          <w:sz w:val="21"/>
          <w:szCs w:val="21"/>
          <w:highlight w:val="none"/>
          <w:lang w:val="en-US" w:eastAsia="zh-CN"/>
        </w:rPr>
        <w:t>以双方实际签订为准</w:t>
      </w:r>
      <w:r>
        <w:rPr>
          <w:rFonts w:hint="eastAsia" w:ascii="宋体" w:hAnsi="宋体" w:eastAsia="宋体" w:cs="宋体"/>
          <w:b/>
          <w:bCs/>
          <w:color w:val="000000"/>
          <w:spacing w:val="-4"/>
          <w:sz w:val="21"/>
          <w:szCs w:val="21"/>
          <w:highlight w:val="none"/>
          <w:lang w:eastAsia="zh-CN"/>
        </w:rPr>
        <w:t>。）</w:t>
      </w:r>
    </w:p>
    <w:bookmarkEnd w:id="1"/>
    <w:p w14:paraId="12DFD22C">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发包人(全称，以下简称甲方)：</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p w14:paraId="6CD67BE6">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承包人(全称，以下简称乙方)：</w:t>
      </w:r>
      <w:r>
        <w:rPr>
          <w:rFonts w:hint="eastAsia" w:ascii="宋体" w:hAnsi="宋体" w:cs="宋体"/>
          <w:color w:val="000000"/>
          <w:sz w:val="21"/>
          <w:szCs w:val="21"/>
          <w:u w:val="single"/>
        </w:rPr>
        <w:t xml:space="preserve">                              </w:t>
      </w:r>
    </w:p>
    <w:p w14:paraId="109693D6">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依照《中华人民共和国民法典》第三篇、《中华人民共和国建筑法》等法律、行政法规，遵循平等、自愿、公平和诚实信用的原则，双方就本项目的事项订立本合同，乙方愿按本合同约定的</w:t>
      </w:r>
      <w:r>
        <w:rPr>
          <w:rFonts w:hint="eastAsia" w:ascii="宋体" w:hAnsi="宋体" w:cs="宋体"/>
          <w:color w:val="000000"/>
          <w:sz w:val="21"/>
          <w:szCs w:val="21"/>
          <w:lang w:val="en-US" w:eastAsia="zh-CN"/>
        </w:rPr>
        <w:t>条款</w:t>
      </w:r>
      <w:r>
        <w:rPr>
          <w:rFonts w:hint="eastAsia" w:ascii="宋体" w:hAnsi="宋体" w:cs="宋体"/>
          <w:color w:val="000000"/>
          <w:sz w:val="21"/>
          <w:szCs w:val="21"/>
        </w:rPr>
        <w:t>承担本项目任务，双方达成如下协议：</w:t>
      </w:r>
    </w:p>
    <w:p w14:paraId="3B104175">
      <w:pPr>
        <w:spacing w:line="360" w:lineRule="auto"/>
        <w:ind w:firstLine="422" w:firstLineChars="200"/>
        <w:rPr>
          <w:rFonts w:hint="eastAsia" w:ascii="宋体" w:hAnsi="宋体" w:cs="宋体"/>
          <w:b/>
          <w:bCs/>
          <w:color w:val="000000"/>
          <w:sz w:val="21"/>
          <w:szCs w:val="21"/>
        </w:rPr>
      </w:pPr>
      <w:r>
        <w:rPr>
          <w:rFonts w:hint="eastAsia" w:ascii="宋体" w:hAnsi="宋体" w:cs="宋体"/>
          <w:b/>
          <w:bCs/>
          <w:color w:val="000000"/>
          <w:sz w:val="21"/>
          <w:szCs w:val="21"/>
        </w:rPr>
        <w:t>一、工程概况：</w:t>
      </w:r>
    </w:p>
    <w:p w14:paraId="6D7230B9">
      <w:pPr>
        <w:spacing w:line="360" w:lineRule="auto"/>
        <w:ind w:firstLine="420" w:firstLineChars="200"/>
        <w:rPr>
          <w:rFonts w:hint="eastAsia" w:ascii="宋体" w:hAnsi="宋体" w:cs="宋体"/>
          <w:color w:val="000000"/>
          <w:sz w:val="21"/>
          <w:szCs w:val="21"/>
          <w:u w:val="single"/>
        </w:rPr>
      </w:pPr>
      <w:r>
        <w:rPr>
          <w:rFonts w:hint="eastAsia" w:ascii="宋体" w:hAnsi="宋体" w:cs="宋体"/>
          <w:color w:val="000000"/>
          <w:sz w:val="21"/>
          <w:szCs w:val="21"/>
        </w:rPr>
        <w:t>1、工程范围及规模：</w:t>
      </w:r>
      <w:r>
        <w:rPr>
          <w:rFonts w:hint="eastAsia" w:ascii="宋体" w:hAnsi="宋体" w:cs="宋体"/>
          <w:color w:val="000000"/>
          <w:sz w:val="21"/>
          <w:szCs w:val="21"/>
          <w:u w:val="single"/>
        </w:rPr>
        <w:t xml:space="preserve">                              </w:t>
      </w:r>
    </w:p>
    <w:p w14:paraId="10477EB8">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2、工程日期：</w:t>
      </w:r>
      <w:r>
        <w:rPr>
          <w:rFonts w:hint="eastAsia" w:ascii="宋体" w:hAnsi="宋体" w:cs="宋体"/>
          <w:color w:val="000000"/>
          <w:sz w:val="21"/>
          <w:szCs w:val="21"/>
          <w:u w:val="single"/>
        </w:rPr>
        <w:t xml:space="preserve">                              </w:t>
      </w:r>
    </w:p>
    <w:p w14:paraId="3E68504C">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3、施工标准：</w:t>
      </w:r>
      <w:r>
        <w:rPr>
          <w:rFonts w:hint="eastAsia" w:ascii="宋体" w:hAnsi="宋体" w:cs="宋体"/>
          <w:color w:val="000000"/>
          <w:sz w:val="21"/>
          <w:szCs w:val="21"/>
          <w:u w:val="single"/>
        </w:rPr>
        <w:t xml:space="preserve">                              </w:t>
      </w:r>
    </w:p>
    <w:p w14:paraId="05EDDF60">
      <w:pPr>
        <w:spacing w:line="360" w:lineRule="auto"/>
        <w:ind w:firstLine="422" w:firstLineChars="200"/>
        <w:rPr>
          <w:rFonts w:hint="eastAsia" w:ascii="宋体" w:hAnsi="宋体" w:cs="宋体"/>
          <w:b/>
          <w:bCs/>
          <w:color w:val="000000"/>
          <w:sz w:val="21"/>
          <w:szCs w:val="21"/>
        </w:rPr>
      </w:pPr>
      <w:r>
        <w:rPr>
          <w:rFonts w:hint="eastAsia" w:ascii="宋体" w:hAnsi="宋体" w:cs="宋体"/>
          <w:b/>
          <w:bCs/>
          <w:color w:val="000000"/>
          <w:sz w:val="21"/>
          <w:szCs w:val="21"/>
        </w:rPr>
        <w:t>二、合同的组成部分：</w:t>
      </w:r>
    </w:p>
    <w:p w14:paraId="5CD8C8A2">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1、乙方成交的</w:t>
      </w:r>
      <w:r>
        <w:rPr>
          <w:rFonts w:hint="eastAsia" w:ascii="宋体" w:hAnsi="宋体" w:cs="宋体"/>
          <w:color w:val="000000"/>
          <w:sz w:val="21"/>
          <w:szCs w:val="21"/>
          <w:lang w:val="en-US" w:eastAsia="zh-CN"/>
        </w:rPr>
        <w:t>报价</w:t>
      </w:r>
      <w:r>
        <w:rPr>
          <w:rFonts w:hint="eastAsia" w:ascii="宋体" w:hAnsi="宋体" w:cs="宋体"/>
          <w:color w:val="000000"/>
          <w:sz w:val="21"/>
          <w:szCs w:val="21"/>
        </w:rPr>
        <w:t>文件；</w:t>
      </w:r>
    </w:p>
    <w:p w14:paraId="774C2B70">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w:t>
      </w:r>
      <w:r>
        <w:rPr>
          <w:rFonts w:hint="eastAsia" w:ascii="宋体" w:hAnsi="宋体" w:cs="宋体"/>
          <w:color w:val="000000"/>
          <w:sz w:val="21"/>
          <w:szCs w:val="21"/>
          <w:lang w:val="en-US" w:eastAsia="zh-CN"/>
        </w:rPr>
        <w:t>招标</w:t>
      </w:r>
      <w:r>
        <w:rPr>
          <w:rFonts w:hint="eastAsia" w:ascii="宋体" w:hAnsi="宋体" w:cs="宋体"/>
          <w:color w:val="000000"/>
          <w:sz w:val="21"/>
          <w:szCs w:val="21"/>
        </w:rPr>
        <w:t>文件及补充文件；</w:t>
      </w:r>
    </w:p>
    <w:p w14:paraId="1783343C">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3、标准、规范和有关技术资料；</w:t>
      </w:r>
    </w:p>
    <w:p w14:paraId="4BDA7345">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4、其他有关文件。</w:t>
      </w:r>
    </w:p>
    <w:p w14:paraId="63345905">
      <w:pPr>
        <w:spacing w:line="360" w:lineRule="auto"/>
        <w:ind w:firstLine="422" w:firstLineChars="200"/>
        <w:rPr>
          <w:rFonts w:hint="eastAsia" w:ascii="宋体" w:hAnsi="宋体" w:cs="宋体"/>
          <w:b/>
          <w:bCs/>
          <w:color w:val="000000"/>
          <w:sz w:val="21"/>
          <w:szCs w:val="21"/>
        </w:rPr>
      </w:pPr>
      <w:r>
        <w:rPr>
          <w:rFonts w:hint="eastAsia" w:ascii="宋体" w:hAnsi="宋体" w:cs="宋体"/>
          <w:b/>
          <w:bCs/>
          <w:color w:val="000000"/>
          <w:sz w:val="21"/>
          <w:szCs w:val="21"/>
        </w:rPr>
        <w:t>三、双方的权利及义务</w:t>
      </w:r>
    </w:p>
    <w:p w14:paraId="7ABD8F3A">
      <w:pPr>
        <w:spacing w:line="360" w:lineRule="auto"/>
        <w:ind w:firstLine="422" w:firstLineChars="200"/>
        <w:rPr>
          <w:rFonts w:hint="eastAsia" w:ascii="宋体" w:hAnsi="宋体" w:cs="宋体"/>
          <w:b/>
          <w:color w:val="000000"/>
          <w:sz w:val="21"/>
          <w:szCs w:val="21"/>
        </w:rPr>
      </w:pPr>
      <w:r>
        <w:rPr>
          <w:rFonts w:hint="eastAsia" w:ascii="宋体" w:hAnsi="宋体" w:cs="宋体"/>
          <w:b/>
          <w:color w:val="000000"/>
          <w:sz w:val="21"/>
          <w:szCs w:val="21"/>
        </w:rPr>
        <w:t>1、甲方的权利和义务</w:t>
      </w:r>
    </w:p>
    <w:p w14:paraId="4CD8066D">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1.1有权随时检查、监督现场及工程进度、质量和安全；</w:t>
      </w:r>
    </w:p>
    <w:p w14:paraId="610BC251">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1.2有对现场工作的认定权；</w:t>
      </w:r>
    </w:p>
    <w:p w14:paraId="6F4C755A">
      <w:pPr>
        <w:spacing w:line="360" w:lineRule="auto"/>
        <w:ind w:firstLine="422" w:firstLineChars="200"/>
        <w:rPr>
          <w:rFonts w:hint="eastAsia" w:ascii="宋体" w:hAnsi="宋体" w:cs="宋体"/>
          <w:b/>
          <w:color w:val="000000"/>
          <w:sz w:val="21"/>
          <w:szCs w:val="21"/>
        </w:rPr>
      </w:pPr>
      <w:r>
        <w:rPr>
          <w:rFonts w:hint="eastAsia" w:ascii="宋体" w:hAnsi="宋体" w:cs="宋体"/>
          <w:b/>
          <w:color w:val="000000"/>
          <w:sz w:val="21"/>
          <w:szCs w:val="21"/>
        </w:rPr>
        <w:t>2、乙方的权利和义务：</w:t>
      </w:r>
    </w:p>
    <w:p w14:paraId="0D34808E">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2.1乙方有权按投标书中的承诺获得约定的工程费；</w:t>
      </w:r>
    </w:p>
    <w:p w14:paraId="3EC699FB">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2.2乙方不得将工程转包，渣土外运所发生的一切费用由乙方负责，乙方严格按照高新区建筑垃圾内倒相关规定做好清运工作及治污减霾措施，并自行承担相关费用；</w:t>
      </w:r>
    </w:p>
    <w:p w14:paraId="516CBEAA">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2.3接受发包人和各级建设主管部门的监督和管理；</w:t>
      </w:r>
    </w:p>
    <w:p w14:paraId="111E02C1">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2.4乙方按照合同的规定承担认定范围内的相关任务；</w:t>
      </w:r>
    </w:p>
    <w:p w14:paraId="7DAC593D">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2.5乙方要按合同约定制定施工方案，确保按规定实施；</w:t>
      </w:r>
    </w:p>
    <w:p w14:paraId="098D1B5F">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2.6乙方按有关部门的规定装载，严禁超载，要做好</w:t>
      </w:r>
      <w:r>
        <w:rPr>
          <w:rFonts w:hint="eastAsia" w:ascii="宋体" w:hAnsi="宋体" w:cs="宋体"/>
          <w:color w:val="000000"/>
          <w:sz w:val="21"/>
          <w:szCs w:val="21"/>
          <w:lang w:eastAsia="zh-CN"/>
        </w:rPr>
        <w:t>篷</w:t>
      </w:r>
      <w:r>
        <w:rPr>
          <w:rFonts w:hint="eastAsia" w:ascii="宋体" w:hAnsi="宋体" w:cs="宋体"/>
          <w:color w:val="000000"/>
          <w:sz w:val="21"/>
          <w:szCs w:val="21"/>
        </w:rPr>
        <w:t>盖；</w:t>
      </w:r>
    </w:p>
    <w:p w14:paraId="3449DAD2">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2.7</w:t>
      </w:r>
      <w:r>
        <w:rPr>
          <w:rFonts w:hint="eastAsia" w:ascii="宋体" w:hAnsi="宋体" w:cs="宋体"/>
          <w:color w:val="000000"/>
          <w:sz w:val="21"/>
          <w:szCs w:val="21"/>
          <w:lang w:val="en-US" w:eastAsia="zh-CN"/>
        </w:rPr>
        <w:t>乙方</w:t>
      </w:r>
      <w:r>
        <w:rPr>
          <w:rFonts w:hint="eastAsia" w:ascii="宋体" w:hAnsi="宋体" w:cs="宋体"/>
          <w:color w:val="000000"/>
          <w:sz w:val="21"/>
          <w:szCs w:val="21"/>
        </w:rPr>
        <w:t>必须按规定</w:t>
      </w:r>
      <w:r>
        <w:rPr>
          <w:rFonts w:hint="eastAsia" w:ascii="宋体" w:hAnsi="宋体" w:cs="宋体"/>
          <w:color w:val="000000"/>
          <w:sz w:val="21"/>
          <w:szCs w:val="21"/>
          <w:lang w:val="en-US" w:eastAsia="zh-CN"/>
        </w:rPr>
        <w:t>及时清理垃圾并严格按照施工技术要求运送到指定位置</w:t>
      </w:r>
      <w:r>
        <w:rPr>
          <w:rFonts w:hint="eastAsia" w:ascii="宋体" w:hAnsi="宋体" w:cs="宋体"/>
          <w:color w:val="000000"/>
          <w:sz w:val="21"/>
          <w:szCs w:val="21"/>
        </w:rPr>
        <w:t>，不得随意堆放和处理；</w:t>
      </w:r>
    </w:p>
    <w:p w14:paraId="3E3A659B">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2.8加强易燃、易爆物品的管理；</w:t>
      </w:r>
    </w:p>
    <w:p w14:paraId="771BCEA9">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2.9工程完成后，须及时向有关部门提出工程验收申请，如验收不合格，则必须在限期内整改完毕并达到合格标准；</w:t>
      </w:r>
    </w:p>
    <w:p w14:paraId="1B0007AC">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w:t>
      </w:r>
      <w:r>
        <w:rPr>
          <w:rFonts w:hint="eastAsia" w:ascii="宋体" w:hAnsi="宋体" w:cs="宋体"/>
          <w:color w:val="000000"/>
          <w:sz w:val="21"/>
          <w:szCs w:val="21"/>
          <w:lang w:val="en-US" w:eastAsia="zh-CN"/>
        </w:rPr>
        <w:t>0</w:t>
      </w:r>
      <w:r>
        <w:rPr>
          <w:rFonts w:hint="eastAsia" w:ascii="宋体" w:hAnsi="宋体" w:cs="宋体"/>
          <w:color w:val="000000"/>
          <w:sz w:val="21"/>
          <w:szCs w:val="21"/>
        </w:rPr>
        <w:t>要切实做好安全与文明施工，乙方要制定安全生产责任制，责任落实到人，乙方要与有关部门签订安全责任书，如发生安全问题完全由乙方负责；</w:t>
      </w:r>
    </w:p>
    <w:p w14:paraId="4BCA325B">
      <w:pPr>
        <w:spacing w:line="360" w:lineRule="auto"/>
        <w:ind w:firstLine="420" w:firstLineChars="200"/>
        <w:rPr>
          <w:rFonts w:hint="eastAsia" w:ascii="宋体" w:hAnsi="宋体" w:cs="宋体"/>
          <w:smallCaps/>
          <w:color w:val="000000"/>
          <w:sz w:val="21"/>
          <w:szCs w:val="21"/>
        </w:rPr>
      </w:pPr>
      <w:r>
        <w:rPr>
          <w:rFonts w:hint="eastAsia" w:ascii="宋体" w:hAnsi="宋体" w:cs="宋体"/>
          <w:color w:val="000000"/>
          <w:sz w:val="21"/>
          <w:szCs w:val="21"/>
        </w:rPr>
        <w:t>2.1</w:t>
      </w:r>
      <w:r>
        <w:rPr>
          <w:rFonts w:hint="eastAsia" w:ascii="宋体" w:hAnsi="宋体" w:cs="宋体"/>
          <w:color w:val="000000"/>
          <w:sz w:val="21"/>
          <w:szCs w:val="21"/>
          <w:lang w:val="en-US" w:eastAsia="zh-CN"/>
        </w:rPr>
        <w:t>1</w:t>
      </w:r>
      <w:r>
        <w:rPr>
          <w:rFonts w:hint="eastAsia" w:ascii="宋体" w:hAnsi="宋体" w:cs="宋体"/>
          <w:color w:val="000000"/>
          <w:sz w:val="21"/>
          <w:szCs w:val="21"/>
        </w:rPr>
        <w:t>要切实加强各类管线的防护工作，按甲方和管线单位的要求做好防护措施（各项防护措施费已包括在投标单价内，结算时不再另行计算）；</w:t>
      </w:r>
    </w:p>
    <w:p w14:paraId="178C7057">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w:t>
      </w:r>
      <w:r>
        <w:rPr>
          <w:rFonts w:hint="eastAsia" w:ascii="宋体" w:hAnsi="宋体" w:cs="宋体"/>
          <w:color w:val="000000"/>
          <w:sz w:val="21"/>
          <w:szCs w:val="21"/>
          <w:lang w:val="en-US" w:eastAsia="zh-CN"/>
        </w:rPr>
        <w:t>2</w:t>
      </w:r>
      <w:r>
        <w:rPr>
          <w:rFonts w:hint="eastAsia" w:ascii="宋体" w:hAnsi="宋体" w:cs="宋体"/>
          <w:color w:val="000000"/>
          <w:sz w:val="21"/>
          <w:szCs w:val="21"/>
        </w:rPr>
        <w:t xml:space="preserve"> 乙方应在现场设置项目经理部，项目经理部常驻人员名单应在开工前向甲方提交；项目经理应具有二级及以上注册建造师资格；本工程项目经理为</w:t>
      </w:r>
      <w:r>
        <w:rPr>
          <w:rFonts w:hint="eastAsia" w:ascii="宋体" w:hAnsi="宋体" w:cs="宋体"/>
          <w:color w:val="000000"/>
          <w:sz w:val="21"/>
          <w:szCs w:val="21"/>
          <w:u w:val="single"/>
        </w:rPr>
        <w:t xml:space="preserve">    </w:t>
      </w:r>
      <w:r>
        <w:rPr>
          <w:rFonts w:hint="eastAsia" w:ascii="宋体" w:hAnsi="宋体" w:cs="宋体"/>
          <w:color w:val="000000"/>
          <w:sz w:val="21"/>
          <w:szCs w:val="21"/>
        </w:rPr>
        <w:t>，注册证号</w:t>
      </w:r>
      <w:r>
        <w:rPr>
          <w:rFonts w:hint="eastAsia" w:ascii="宋体" w:hAnsi="宋体" w:cs="宋体"/>
          <w:color w:val="000000"/>
          <w:sz w:val="21"/>
          <w:szCs w:val="21"/>
          <w:u w:val="single"/>
        </w:rPr>
        <w:t xml:space="preserve">      </w:t>
      </w:r>
      <w:r>
        <w:rPr>
          <w:rFonts w:hint="eastAsia" w:ascii="宋体" w:hAnsi="宋体" w:cs="宋体"/>
          <w:color w:val="000000"/>
          <w:sz w:val="21"/>
          <w:szCs w:val="21"/>
        </w:rPr>
        <w:t>，安全考核合格证号</w:t>
      </w:r>
      <w:r>
        <w:rPr>
          <w:rFonts w:hint="eastAsia" w:ascii="宋体" w:hAnsi="宋体" w:cs="宋体"/>
          <w:color w:val="000000"/>
          <w:sz w:val="21"/>
          <w:szCs w:val="21"/>
          <w:u w:val="single"/>
        </w:rPr>
        <w:t xml:space="preserve">           </w:t>
      </w:r>
      <w:r>
        <w:rPr>
          <w:rFonts w:hint="eastAsia" w:ascii="宋体" w:hAnsi="宋体" w:cs="宋体"/>
          <w:color w:val="000000"/>
          <w:sz w:val="21"/>
          <w:szCs w:val="21"/>
        </w:rPr>
        <w:t>。</w:t>
      </w:r>
    </w:p>
    <w:p w14:paraId="69BC6B6C">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w:t>
      </w:r>
      <w:r>
        <w:rPr>
          <w:rFonts w:hint="eastAsia" w:ascii="宋体" w:hAnsi="宋体" w:cs="宋体"/>
          <w:color w:val="000000"/>
          <w:sz w:val="21"/>
          <w:szCs w:val="21"/>
          <w:lang w:val="en-US" w:eastAsia="zh-CN"/>
        </w:rPr>
        <w:t>3</w:t>
      </w:r>
      <w:r>
        <w:rPr>
          <w:rFonts w:hint="eastAsia" w:ascii="宋体" w:hAnsi="宋体" w:cs="宋体"/>
          <w:color w:val="000000"/>
          <w:sz w:val="21"/>
          <w:szCs w:val="21"/>
        </w:rPr>
        <w:t xml:space="preserve"> 乙方未经甲方同意，不得擅自更换甲方认定的本工程施工负责人（项目经理）及管理机构人员；</w:t>
      </w:r>
    </w:p>
    <w:p w14:paraId="2AE0B336">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w:t>
      </w:r>
      <w:r>
        <w:rPr>
          <w:rFonts w:hint="eastAsia" w:ascii="宋体" w:hAnsi="宋体" w:cs="宋体"/>
          <w:color w:val="000000"/>
          <w:sz w:val="21"/>
          <w:szCs w:val="21"/>
          <w:lang w:val="en-US" w:eastAsia="zh-CN"/>
        </w:rPr>
        <w:t>4</w:t>
      </w:r>
      <w:r>
        <w:rPr>
          <w:rFonts w:hint="eastAsia" w:ascii="宋体" w:hAnsi="宋体" w:cs="宋体"/>
          <w:color w:val="000000"/>
          <w:sz w:val="21"/>
          <w:szCs w:val="21"/>
        </w:rPr>
        <w:t>乙方必须自行施工，不得转包，确需分包个别子项时，须征得甲方同意；</w:t>
      </w:r>
    </w:p>
    <w:p w14:paraId="41DB49B7">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w:t>
      </w:r>
      <w:r>
        <w:rPr>
          <w:rFonts w:hint="eastAsia" w:ascii="宋体" w:hAnsi="宋体" w:cs="宋体"/>
          <w:color w:val="000000"/>
          <w:sz w:val="21"/>
          <w:szCs w:val="21"/>
          <w:lang w:val="en-US" w:eastAsia="zh-CN"/>
        </w:rPr>
        <w:t>5</w:t>
      </w:r>
      <w:r>
        <w:rPr>
          <w:rFonts w:hint="eastAsia" w:ascii="宋体" w:hAnsi="宋体" w:cs="宋体"/>
          <w:color w:val="000000"/>
          <w:sz w:val="21"/>
          <w:szCs w:val="21"/>
        </w:rPr>
        <w:t xml:space="preserve"> 乙方在施工过程中所发生的由自身原因造成的损失和后果自负；</w:t>
      </w:r>
    </w:p>
    <w:p w14:paraId="0E58BC0C">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w:t>
      </w:r>
      <w:r>
        <w:rPr>
          <w:rFonts w:hint="eastAsia" w:ascii="宋体" w:hAnsi="宋体" w:cs="宋体"/>
          <w:color w:val="000000"/>
          <w:sz w:val="21"/>
          <w:szCs w:val="21"/>
          <w:lang w:val="en-US" w:eastAsia="zh-CN"/>
        </w:rPr>
        <w:t>6</w:t>
      </w:r>
      <w:r>
        <w:rPr>
          <w:rFonts w:hint="eastAsia" w:ascii="宋体" w:hAnsi="宋体" w:cs="宋体"/>
          <w:color w:val="000000"/>
          <w:sz w:val="21"/>
          <w:szCs w:val="21"/>
        </w:rPr>
        <w:t>工程结算时，乙方须按高新区财政结算评审相关规定提供结算所需资料； 乙方负责确保工程结算、评审、审计的资料齐全，因资料不全无法进行工程结算、评审、审计的，乙方自行承担责任。</w:t>
      </w:r>
    </w:p>
    <w:p w14:paraId="0DABAEA1">
      <w:pPr>
        <w:spacing w:line="360" w:lineRule="auto"/>
        <w:ind w:firstLine="420" w:firstLineChars="200"/>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2.17</w:t>
      </w:r>
      <w:r>
        <w:rPr>
          <w:rFonts w:hint="eastAsia" w:ascii="宋体" w:hAnsi="宋体" w:cs="宋体"/>
          <w:color w:val="000000"/>
          <w:sz w:val="22"/>
          <w:szCs w:val="18"/>
          <w:lang w:val="en-US" w:eastAsia="zh-CN"/>
        </w:rPr>
        <w:t>在项目用地正式交付前，看护责任全部由乙方承担，如用地范围内出现垃圾等废弃物，乙方应及时进行清理，相关费用由乙方自行承担。</w:t>
      </w:r>
    </w:p>
    <w:p w14:paraId="57677B61">
      <w:pPr>
        <w:spacing w:line="360" w:lineRule="auto"/>
        <w:ind w:firstLine="422" w:firstLineChars="200"/>
        <w:rPr>
          <w:rFonts w:hint="eastAsia" w:ascii="宋体" w:hAnsi="宋体" w:cs="宋体"/>
          <w:b/>
          <w:bCs/>
          <w:color w:val="000000"/>
          <w:sz w:val="21"/>
          <w:szCs w:val="21"/>
        </w:rPr>
      </w:pPr>
      <w:r>
        <w:rPr>
          <w:rFonts w:hint="eastAsia" w:ascii="宋体" w:hAnsi="宋体" w:cs="宋体"/>
          <w:b/>
          <w:bCs/>
          <w:color w:val="000000"/>
          <w:sz w:val="21"/>
          <w:szCs w:val="21"/>
        </w:rPr>
        <w:t>四、合同价款和付款方式：</w:t>
      </w:r>
    </w:p>
    <w:p w14:paraId="42092CB2">
      <w:pPr>
        <w:spacing w:line="360" w:lineRule="auto"/>
        <w:ind w:firstLine="422" w:firstLineChars="200"/>
        <w:rPr>
          <w:rFonts w:hint="eastAsia" w:ascii="宋体" w:hAnsi="宋体" w:cs="宋体"/>
          <w:b/>
          <w:color w:val="000000"/>
          <w:sz w:val="21"/>
          <w:szCs w:val="21"/>
        </w:rPr>
      </w:pPr>
      <w:r>
        <w:rPr>
          <w:rFonts w:hint="eastAsia" w:ascii="宋体" w:hAnsi="宋体" w:cs="宋体"/>
          <w:b/>
          <w:color w:val="000000"/>
          <w:sz w:val="21"/>
          <w:szCs w:val="21"/>
        </w:rPr>
        <w:t>（一）合同价款</w:t>
      </w:r>
    </w:p>
    <w:p w14:paraId="65319BBA">
      <w:pPr>
        <w:spacing w:line="360" w:lineRule="auto"/>
        <w:ind w:firstLine="420" w:firstLineChars="200"/>
        <w:rPr>
          <w:rFonts w:ascii="宋体" w:hAnsi="宋体" w:cs="宋体"/>
          <w:color w:val="000000"/>
          <w:sz w:val="21"/>
          <w:szCs w:val="21"/>
        </w:rPr>
      </w:pPr>
      <w:r>
        <w:rPr>
          <w:rFonts w:hint="eastAsia" w:ascii="宋体" w:hAnsi="宋体" w:cs="宋体"/>
          <w:color w:val="000000"/>
          <w:sz w:val="21"/>
          <w:szCs w:val="21"/>
        </w:rPr>
        <w:t>1、本工程采用固定综合单价合同方式，单价：</w:t>
      </w:r>
    </w:p>
    <w:tbl>
      <w:tblPr>
        <w:tblStyle w:val="6"/>
        <w:tblW w:w="7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081"/>
        <w:gridCol w:w="836"/>
        <w:gridCol w:w="1299"/>
        <w:gridCol w:w="2017"/>
        <w:gridCol w:w="818"/>
      </w:tblGrid>
      <w:tr w14:paraId="483A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17" w:type="dxa"/>
            <w:vAlign w:val="center"/>
          </w:tcPr>
          <w:p w14:paraId="33181571">
            <w:pPr>
              <w:snapToGrid w:val="0"/>
              <w:spacing w:line="240" w:lineRule="auto"/>
              <w:ind w:left="0" w:leftChars="0" w:right="0" w:rightChars="0" w:firstLine="0" w:firstLineChars="0"/>
              <w:jc w:val="center"/>
              <w:rPr>
                <w:rFonts w:ascii="宋体" w:hAnsi="宋体"/>
                <w:b/>
                <w:sz w:val="22"/>
                <w:szCs w:val="20"/>
              </w:rPr>
            </w:pPr>
            <w:r>
              <w:rPr>
                <w:rFonts w:hint="eastAsia" w:ascii="宋体" w:hAnsi="宋体"/>
                <w:b/>
                <w:sz w:val="22"/>
                <w:szCs w:val="20"/>
              </w:rPr>
              <w:t>序号</w:t>
            </w:r>
          </w:p>
        </w:tc>
        <w:tc>
          <w:tcPr>
            <w:tcW w:w="2081" w:type="dxa"/>
            <w:vAlign w:val="center"/>
          </w:tcPr>
          <w:p w14:paraId="58FB9871">
            <w:pPr>
              <w:snapToGrid w:val="0"/>
              <w:spacing w:line="240" w:lineRule="auto"/>
              <w:ind w:left="0" w:leftChars="0" w:right="0" w:rightChars="0" w:firstLine="0" w:firstLineChars="0"/>
              <w:jc w:val="center"/>
              <w:rPr>
                <w:rFonts w:ascii="宋体" w:hAnsi="宋体"/>
                <w:b/>
                <w:sz w:val="22"/>
                <w:szCs w:val="20"/>
              </w:rPr>
            </w:pPr>
            <w:r>
              <w:rPr>
                <w:rFonts w:hint="eastAsia" w:ascii="宋体" w:hAnsi="宋体"/>
                <w:b/>
                <w:sz w:val="22"/>
                <w:szCs w:val="20"/>
              </w:rPr>
              <w:t>文勘机械</w:t>
            </w:r>
          </w:p>
        </w:tc>
        <w:tc>
          <w:tcPr>
            <w:tcW w:w="836" w:type="dxa"/>
            <w:vAlign w:val="center"/>
          </w:tcPr>
          <w:p w14:paraId="40CBA193">
            <w:pPr>
              <w:snapToGrid w:val="0"/>
              <w:spacing w:line="240" w:lineRule="auto"/>
              <w:ind w:left="0" w:leftChars="0" w:right="0" w:rightChars="0" w:firstLine="0" w:firstLineChars="0"/>
              <w:jc w:val="center"/>
              <w:rPr>
                <w:rFonts w:ascii="宋体" w:hAnsi="宋体"/>
                <w:b/>
                <w:sz w:val="22"/>
                <w:szCs w:val="20"/>
              </w:rPr>
            </w:pPr>
            <w:r>
              <w:rPr>
                <w:rFonts w:hint="eastAsia" w:ascii="宋体" w:hAnsi="宋体"/>
                <w:b/>
                <w:sz w:val="22"/>
                <w:szCs w:val="20"/>
              </w:rPr>
              <w:t>单位</w:t>
            </w:r>
          </w:p>
        </w:tc>
        <w:tc>
          <w:tcPr>
            <w:tcW w:w="1299" w:type="dxa"/>
            <w:vAlign w:val="center"/>
          </w:tcPr>
          <w:p w14:paraId="3799CAFC">
            <w:pPr>
              <w:snapToGrid w:val="0"/>
              <w:spacing w:line="240" w:lineRule="auto"/>
              <w:ind w:left="0" w:leftChars="0" w:right="0" w:rightChars="0" w:firstLine="0" w:firstLineChars="0"/>
              <w:jc w:val="center"/>
              <w:rPr>
                <w:rFonts w:hint="eastAsia" w:ascii="宋体" w:hAnsi="宋体"/>
                <w:b/>
                <w:sz w:val="22"/>
                <w:szCs w:val="20"/>
              </w:rPr>
            </w:pPr>
            <w:r>
              <w:rPr>
                <w:rFonts w:hint="eastAsia" w:ascii="宋体" w:hAnsi="宋体"/>
                <w:b/>
                <w:sz w:val="22"/>
                <w:szCs w:val="20"/>
              </w:rPr>
              <w:t>台班数量</w:t>
            </w:r>
          </w:p>
          <w:p w14:paraId="752F0C85">
            <w:pPr>
              <w:snapToGrid w:val="0"/>
              <w:spacing w:line="240" w:lineRule="auto"/>
              <w:ind w:left="0" w:leftChars="0" w:right="0" w:rightChars="0" w:firstLine="0" w:firstLineChars="0"/>
              <w:jc w:val="center"/>
              <w:rPr>
                <w:rFonts w:ascii="宋体" w:hAnsi="宋体"/>
                <w:b/>
                <w:sz w:val="22"/>
                <w:szCs w:val="20"/>
              </w:rPr>
            </w:pPr>
            <w:r>
              <w:rPr>
                <w:rFonts w:hint="eastAsia" w:ascii="宋体" w:hAnsi="宋体"/>
                <w:b/>
                <w:sz w:val="22"/>
                <w:szCs w:val="20"/>
              </w:rPr>
              <w:t>(预估)</w:t>
            </w:r>
          </w:p>
        </w:tc>
        <w:tc>
          <w:tcPr>
            <w:tcW w:w="2017" w:type="dxa"/>
            <w:vAlign w:val="center"/>
          </w:tcPr>
          <w:p w14:paraId="1306498C">
            <w:pPr>
              <w:snapToGrid w:val="0"/>
              <w:spacing w:before="255" w:line="240" w:lineRule="auto"/>
              <w:ind w:left="0" w:leftChars="0" w:right="0" w:rightChars="0" w:firstLine="0" w:firstLineChars="0"/>
              <w:jc w:val="center"/>
              <w:rPr>
                <w:rFonts w:hint="eastAsia" w:ascii="宋体" w:hAnsi="宋体"/>
                <w:b/>
                <w:sz w:val="22"/>
                <w:szCs w:val="20"/>
              </w:rPr>
            </w:pPr>
            <w:r>
              <w:rPr>
                <w:rFonts w:hint="eastAsia" w:ascii="宋体" w:hAnsi="宋体"/>
                <w:b/>
                <w:sz w:val="22"/>
                <w:szCs w:val="20"/>
              </w:rPr>
              <w:t>全费用含税单价</w:t>
            </w:r>
          </w:p>
          <w:p w14:paraId="5E813BF7">
            <w:pPr>
              <w:snapToGrid w:val="0"/>
              <w:spacing w:before="255" w:line="240" w:lineRule="auto"/>
              <w:ind w:left="0" w:leftChars="0" w:right="0" w:rightChars="0" w:firstLine="0" w:firstLineChars="0"/>
              <w:jc w:val="center"/>
              <w:rPr>
                <w:rFonts w:ascii="宋体" w:hAnsi="宋体"/>
                <w:b/>
                <w:sz w:val="22"/>
                <w:szCs w:val="20"/>
              </w:rPr>
            </w:pPr>
            <w:r>
              <w:rPr>
                <w:rFonts w:hint="eastAsia" w:ascii="宋体" w:hAnsi="宋体"/>
                <w:b/>
                <w:sz w:val="22"/>
                <w:szCs w:val="20"/>
              </w:rPr>
              <w:t>(元)</w:t>
            </w:r>
          </w:p>
        </w:tc>
        <w:tc>
          <w:tcPr>
            <w:tcW w:w="818" w:type="dxa"/>
            <w:vAlign w:val="center"/>
          </w:tcPr>
          <w:p w14:paraId="130E5778">
            <w:pPr>
              <w:snapToGrid w:val="0"/>
              <w:spacing w:line="240" w:lineRule="auto"/>
              <w:ind w:left="0" w:leftChars="0" w:right="0" w:rightChars="0" w:firstLine="0" w:firstLineChars="0"/>
              <w:jc w:val="center"/>
              <w:rPr>
                <w:rFonts w:hint="eastAsia" w:ascii="宋体" w:hAnsi="宋体"/>
                <w:b/>
                <w:sz w:val="22"/>
                <w:szCs w:val="20"/>
              </w:rPr>
            </w:pPr>
            <w:r>
              <w:rPr>
                <w:rFonts w:hint="eastAsia" w:ascii="宋体" w:hAnsi="宋体"/>
                <w:b/>
                <w:sz w:val="22"/>
                <w:szCs w:val="20"/>
              </w:rPr>
              <w:t>合价</w:t>
            </w:r>
          </w:p>
          <w:p w14:paraId="3803EC35">
            <w:pPr>
              <w:snapToGrid w:val="0"/>
              <w:spacing w:line="240" w:lineRule="auto"/>
              <w:ind w:left="0" w:leftChars="0" w:right="0" w:rightChars="0" w:firstLine="0" w:firstLineChars="0"/>
              <w:jc w:val="center"/>
              <w:rPr>
                <w:rFonts w:ascii="宋体" w:hAnsi="宋体"/>
                <w:b/>
                <w:sz w:val="22"/>
                <w:szCs w:val="20"/>
              </w:rPr>
            </w:pPr>
            <w:r>
              <w:rPr>
                <w:rFonts w:hint="eastAsia" w:ascii="宋体" w:hAnsi="宋体"/>
                <w:b/>
                <w:sz w:val="22"/>
                <w:szCs w:val="20"/>
              </w:rPr>
              <w:t>(元)</w:t>
            </w:r>
          </w:p>
        </w:tc>
      </w:tr>
      <w:tr w14:paraId="5B242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27D5A687">
            <w:pPr>
              <w:snapToGrid w:val="0"/>
              <w:spacing w:line="240" w:lineRule="auto"/>
              <w:ind w:left="0" w:leftChars="0" w:right="0" w:rightChars="0" w:firstLine="0" w:firstLineChars="0"/>
              <w:jc w:val="center"/>
              <w:rPr>
                <w:rFonts w:ascii="宋体" w:hAnsi="宋体" w:eastAsia="宋体"/>
                <w:sz w:val="22"/>
                <w:szCs w:val="20"/>
              </w:rPr>
            </w:pPr>
            <w:r>
              <w:rPr>
                <w:rFonts w:hint="eastAsia" w:ascii="宋体" w:hAnsi="宋体" w:eastAsia="宋体"/>
                <w:sz w:val="22"/>
                <w:szCs w:val="20"/>
              </w:rPr>
              <w:t>1</w:t>
            </w:r>
          </w:p>
        </w:tc>
        <w:tc>
          <w:tcPr>
            <w:tcW w:w="2081" w:type="dxa"/>
            <w:vAlign w:val="center"/>
          </w:tcPr>
          <w:p w14:paraId="2D470C83">
            <w:pPr>
              <w:snapToGrid w:val="0"/>
              <w:spacing w:line="240" w:lineRule="auto"/>
              <w:ind w:left="0" w:leftChars="0" w:right="0" w:rightChars="0" w:firstLine="0" w:firstLineChars="0"/>
              <w:jc w:val="left"/>
              <w:rPr>
                <w:rFonts w:ascii="宋体" w:hAnsi="宋体" w:eastAsia="宋体"/>
                <w:spacing w:val="5"/>
                <w:sz w:val="22"/>
                <w:szCs w:val="20"/>
              </w:rPr>
            </w:pPr>
            <w:r>
              <w:rPr>
                <w:rFonts w:hint="eastAsia" w:ascii="宋体" w:hAnsi="宋体" w:eastAsia="宋体"/>
                <w:spacing w:val="5"/>
                <w:sz w:val="24"/>
                <w:szCs w:val="21"/>
              </w:rPr>
              <w:t>挖掘机(350型)</w:t>
            </w:r>
          </w:p>
        </w:tc>
        <w:tc>
          <w:tcPr>
            <w:tcW w:w="836" w:type="dxa"/>
            <w:vAlign w:val="center"/>
          </w:tcPr>
          <w:p w14:paraId="7CA13F99">
            <w:pPr>
              <w:snapToGrid w:val="0"/>
              <w:spacing w:line="240" w:lineRule="auto"/>
              <w:ind w:left="0" w:leftChars="0" w:right="0" w:rightChars="0" w:firstLine="0" w:firstLineChars="0"/>
              <w:jc w:val="center"/>
              <w:rPr>
                <w:rFonts w:ascii="宋体" w:hAnsi="宋体" w:eastAsia="宋体"/>
                <w:spacing w:val="5"/>
                <w:sz w:val="22"/>
                <w:szCs w:val="20"/>
              </w:rPr>
            </w:pPr>
            <w:r>
              <w:rPr>
                <w:rFonts w:hint="eastAsia" w:ascii="宋体" w:hAnsi="宋体" w:eastAsia="宋体"/>
                <w:spacing w:val="5"/>
                <w:sz w:val="24"/>
                <w:szCs w:val="21"/>
              </w:rPr>
              <w:t>台班</w:t>
            </w:r>
          </w:p>
        </w:tc>
        <w:tc>
          <w:tcPr>
            <w:tcW w:w="1299" w:type="dxa"/>
            <w:vAlign w:val="center"/>
          </w:tcPr>
          <w:p w14:paraId="5BEFBA39">
            <w:pPr>
              <w:snapToGrid w:val="0"/>
              <w:spacing w:line="240" w:lineRule="auto"/>
              <w:ind w:left="0" w:leftChars="0" w:right="0" w:rightChars="0" w:firstLine="0" w:firstLineChars="0"/>
              <w:jc w:val="right"/>
              <w:rPr>
                <w:rFonts w:hint="default" w:ascii="宋体" w:hAnsi="宋体" w:eastAsia="宋体"/>
                <w:sz w:val="22"/>
                <w:szCs w:val="20"/>
                <w:lang w:val="en-US" w:eastAsia="zh-CN"/>
              </w:rPr>
            </w:pPr>
            <w:r>
              <w:rPr>
                <w:rFonts w:hint="eastAsia" w:ascii="宋体" w:hAnsi="宋体"/>
                <w:spacing w:val="-2"/>
                <w:sz w:val="24"/>
                <w:szCs w:val="21"/>
                <w:lang w:val="en-US" w:eastAsia="zh-CN"/>
              </w:rPr>
              <w:t>294</w:t>
            </w:r>
          </w:p>
        </w:tc>
        <w:tc>
          <w:tcPr>
            <w:tcW w:w="2017" w:type="dxa"/>
            <w:vAlign w:val="center"/>
          </w:tcPr>
          <w:p w14:paraId="41B99333">
            <w:pPr>
              <w:snapToGrid w:val="0"/>
              <w:spacing w:line="240" w:lineRule="auto"/>
              <w:ind w:left="0" w:leftChars="0" w:right="0" w:rightChars="0" w:firstLine="0" w:firstLineChars="0"/>
              <w:jc w:val="center"/>
              <w:rPr>
                <w:rFonts w:ascii="宋体" w:hAnsi="宋体" w:eastAsia="宋体"/>
                <w:sz w:val="22"/>
                <w:szCs w:val="20"/>
              </w:rPr>
            </w:pPr>
          </w:p>
        </w:tc>
        <w:tc>
          <w:tcPr>
            <w:tcW w:w="818" w:type="dxa"/>
            <w:vAlign w:val="center"/>
          </w:tcPr>
          <w:p w14:paraId="559767D2">
            <w:pPr>
              <w:snapToGrid w:val="0"/>
              <w:spacing w:line="240" w:lineRule="auto"/>
              <w:ind w:left="0" w:leftChars="0" w:right="0" w:rightChars="0" w:firstLine="0" w:firstLineChars="0"/>
              <w:jc w:val="center"/>
              <w:rPr>
                <w:rFonts w:ascii="宋体" w:hAnsi="宋体" w:eastAsia="宋体"/>
                <w:sz w:val="22"/>
                <w:szCs w:val="20"/>
              </w:rPr>
            </w:pPr>
          </w:p>
        </w:tc>
      </w:tr>
      <w:tr w14:paraId="35D9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449E577A">
            <w:pPr>
              <w:snapToGrid w:val="0"/>
              <w:spacing w:line="240" w:lineRule="auto"/>
              <w:ind w:left="0" w:leftChars="0" w:right="0" w:rightChars="0" w:firstLine="0" w:firstLineChars="0"/>
              <w:jc w:val="center"/>
              <w:rPr>
                <w:rFonts w:ascii="宋体" w:hAnsi="宋体" w:eastAsia="宋体"/>
                <w:sz w:val="22"/>
                <w:szCs w:val="20"/>
              </w:rPr>
            </w:pPr>
            <w:r>
              <w:rPr>
                <w:rFonts w:hint="eastAsia" w:ascii="宋体" w:hAnsi="宋体" w:eastAsia="宋体"/>
                <w:sz w:val="22"/>
                <w:szCs w:val="20"/>
              </w:rPr>
              <w:t>2</w:t>
            </w:r>
          </w:p>
        </w:tc>
        <w:tc>
          <w:tcPr>
            <w:tcW w:w="2081" w:type="dxa"/>
            <w:vAlign w:val="center"/>
          </w:tcPr>
          <w:p w14:paraId="71A277E5">
            <w:pPr>
              <w:snapToGrid w:val="0"/>
              <w:spacing w:line="240" w:lineRule="auto"/>
              <w:ind w:left="0" w:leftChars="0" w:right="0" w:rightChars="0" w:firstLine="0" w:firstLineChars="0"/>
              <w:jc w:val="left"/>
              <w:rPr>
                <w:rFonts w:ascii="宋体" w:hAnsi="宋体" w:eastAsia="宋体"/>
                <w:spacing w:val="5"/>
                <w:sz w:val="22"/>
                <w:szCs w:val="20"/>
              </w:rPr>
            </w:pPr>
            <w:r>
              <w:rPr>
                <w:rFonts w:hint="eastAsia" w:ascii="宋体" w:hAnsi="宋体" w:eastAsia="宋体"/>
                <w:spacing w:val="5"/>
                <w:sz w:val="24"/>
                <w:szCs w:val="21"/>
              </w:rPr>
              <w:t>挖掘机(225型)</w:t>
            </w:r>
          </w:p>
        </w:tc>
        <w:tc>
          <w:tcPr>
            <w:tcW w:w="836" w:type="dxa"/>
            <w:vAlign w:val="center"/>
          </w:tcPr>
          <w:p w14:paraId="1565D79A">
            <w:pPr>
              <w:snapToGrid w:val="0"/>
              <w:spacing w:line="240" w:lineRule="auto"/>
              <w:ind w:left="0" w:leftChars="0" w:right="0" w:rightChars="0" w:firstLine="0" w:firstLineChars="0"/>
              <w:jc w:val="center"/>
              <w:rPr>
                <w:rFonts w:ascii="宋体" w:hAnsi="宋体" w:eastAsia="宋体"/>
                <w:spacing w:val="5"/>
                <w:sz w:val="22"/>
                <w:szCs w:val="20"/>
              </w:rPr>
            </w:pPr>
            <w:r>
              <w:rPr>
                <w:rFonts w:hint="eastAsia" w:ascii="宋体" w:hAnsi="宋体" w:eastAsia="宋体"/>
                <w:spacing w:val="5"/>
                <w:sz w:val="24"/>
                <w:szCs w:val="21"/>
              </w:rPr>
              <w:t>台班</w:t>
            </w:r>
          </w:p>
        </w:tc>
        <w:tc>
          <w:tcPr>
            <w:tcW w:w="1299" w:type="dxa"/>
            <w:vAlign w:val="center"/>
          </w:tcPr>
          <w:p w14:paraId="3592916E">
            <w:pPr>
              <w:snapToGrid w:val="0"/>
              <w:spacing w:line="240" w:lineRule="auto"/>
              <w:ind w:left="0" w:leftChars="0" w:right="0" w:rightChars="0" w:firstLine="0" w:firstLineChars="0"/>
              <w:jc w:val="right"/>
              <w:rPr>
                <w:rFonts w:hint="default" w:ascii="宋体" w:hAnsi="宋体" w:eastAsia="宋体"/>
                <w:sz w:val="22"/>
                <w:szCs w:val="20"/>
                <w:lang w:val="en-US" w:eastAsia="zh-CN"/>
              </w:rPr>
            </w:pPr>
            <w:r>
              <w:rPr>
                <w:rFonts w:hint="eastAsia" w:ascii="宋体" w:hAnsi="宋体"/>
                <w:sz w:val="24"/>
                <w:szCs w:val="21"/>
                <w:lang w:val="en-US" w:eastAsia="zh-CN"/>
              </w:rPr>
              <w:t>294</w:t>
            </w:r>
          </w:p>
        </w:tc>
        <w:tc>
          <w:tcPr>
            <w:tcW w:w="2017" w:type="dxa"/>
            <w:vAlign w:val="center"/>
          </w:tcPr>
          <w:p w14:paraId="02595372">
            <w:pPr>
              <w:snapToGrid w:val="0"/>
              <w:spacing w:line="240" w:lineRule="auto"/>
              <w:ind w:left="0" w:leftChars="0" w:right="0" w:rightChars="0" w:firstLine="0" w:firstLineChars="0"/>
              <w:jc w:val="center"/>
              <w:rPr>
                <w:rFonts w:ascii="宋体" w:hAnsi="宋体" w:eastAsia="宋体"/>
                <w:sz w:val="22"/>
                <w:szCs w:val="20"/>
              </w:rPr>
            </w:pPr>
          </w:p>
        </w:tc>
        <w:tc>
          <w:tcPr>
            <w:tcW w:w="818" w:type="dxa"/>
            <w:vAlign w:val="center"/>
          </w:tcPr>
          <w:p w14:paraId="304813F0">
            <w:pPr>
              <w:snapToGrid w:val="0"/>
              <w:spacing w:line="240" w:lineRule="auto"/>
              <w:ind w:left="0" w:leftChars="0" w:right="0" w:rightChars="0" w:firstLine="0" w:firstLineChars="0"/>
              <w:jc w:val="center"/>
              <w:rPr>
                <w:rFonts w:ascii="宋体" w:hAnsi="宋体" w:eastAsia="宋体"/>
                <w:sz w:val="22"/>
                <w:szCs w:val="20"/>
              </w:rPr>
            </w:pPr>
          </w:p>
        </w:tc>
      </w:tr>
      <w:tr w14:paraId="2965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4FF8436C">
            <w:pPr>
              <w:snapToGrid w:val="0"/>
              <w:spacing w:line="240" w:lineRule="auto"/>
              <w:ind w:left="0" w:leftChars="0" w:right="0" w:rightChars="0" w:firstLine="0" w:firstLineChars="0"/>
              <w:jc w:val="center"/>
              <w:rPr>
                <w:rFonts w:ascii="宋体" w:hAnsi="宋体" w:eastAsia="宋体"/>
                <w:sz w:val="22"/>
                <w:szCs w:val="20"/>
              </w:rPr>
            </w:pPr>
            <w:r>
              <w:rPr>
                <w:rFonts w:hint="eastAsia" w:ascii="宋体" w:hAnsi="宋体" w:eastAsia="宋体"/>
                <w:sz w:val="22"/>
                <w:szCs w:val="20"/>
              </w:rPr>
              <w:t>3</w:t>
            </w:r>
          </w:p>
        </w:tc>
        <w:tc>
          <w:tcPr>
            <w:tcW w:w="2081" w:type="dxa"/>
            <w:vAlign w:val="center"/>
          </w:tcPr>
          <w:p w14:paraId="3099E9F5">
            <w:pPr>
              <w:snapToGrid w:val="0"/>
              <w:spacing w:line="240" w:lineRule="auto"/>
              <w:ind w:left="0" w:leftChars="0" w:right="0" w:rightChars="0" w:firstLine="0" w:firstLineChars="0"/>
              <w:jc w:val="left"/>
              <w:rPr>
                <w:rFonts w:ascii="宋体" w:hAnsi="宋体" w:eastAsia="宋体"/>
                <w:spacing w:val="5"/>
                <w:sz w:val="22"/>
                <w:szCs w:val="20"/>
              </w:rPr>
            </w:pPr>
            <w:r>
              <w:rPr>
                <w:rFonts w:hint="eastAsia" w:ascii="宋体" w:hAnsi="宋体" w:eastAsia="宋体"/>
                <w:spacing w:val="5"/>
                <w:sz w:val="24"/>
                <w:szCs w:val="21"/>
              </w:rPr>
              <w:t>推土机(</w:t>
            </w:r>
            <w:r>
              <w:rPr>
                <w:rFonts w:hint="eastAsia" w:ascii="宋体" w:hAnsi="宋体"/>
                <w:spacing w:val="5"/>
                <w:sz w:val="24"/>
                <w:szCs w:val="21"/>
                <w:lang w:val="en-US" w:eastAsia="zh-CN"/>
              </w:rPr>
              <w:t>180型</w:t>
            </w:r>
            <w:r>
              <w:rPr>
                <w:rFonts w:hint="eastAsia" w:ascii="宋体" w:hAnsi="宋体" w:eastAsia="宋体"/>
                <w:spacing w:val="5"/>
                <w:sz w:val="24"/>
                <w:szCs w:val="21"/>
              </w:rPr>
              <w:t>)</w:t>
            </w:r>
          </w:p>
        </w:tc>
        <w:tc>
          <w:tcPr>
            <w:tcW w:w="836" w:type="dxa"/>
            <w:vAlign w:val="center"/>
          </w:tcPr>
          <w:p w14:paraId="0DD8D767">
            <w:pPr>
              <w:snapToGrid w:val="0"/>
              <w:spacing w:line="240" w:lineRule="auto"/>
              <w:ind w:left="0" w:leftChars="0" w:right="0" w:rightChars="0" w:firstLine="0" w:firstLineChars="0"/>
              <w:jc w:val="center"/>
              <w:rPr>
                <w:rFonts w:ascii="宋体" w:hAnsi="宋体" w:eastAsia="宋体"/>
                <w:spacing w:val="5"/>
                <w:sz w:val="22"/>
                <w:szCs w:val="20"/>
              </w:rPr>
            </w:pPr>
            <w:r>
              <w:rPr>
                <w:rFonts w:hint="eastAsia" w:ascii="宋体" w:hAnsi="宋体" w:eastAsia="宋体"/>
                <w:spacing w:val="5"/>
                <w:sz w:val="24"/>
                <w:szCs w:val="21"/>
              </w:rPr>
              <w:t>台班</w:t>
            </w:r>
          </w:p>
        </w:tc>
        <w:tc>
          <w:tcPr>
            <w:tcW w:w="1299" w:type="dxa"/>
            <w:vAlign w:val="center"/>
          </w:tcPr>
          <w:p w14:paraId="00647F8B">
            <w:pPr>
              <w:snapToGrid w:val="0"/>
              <w:spacing w:line="240" w:lineRule="auto"/>
              <w:ind w:left="0" w:leftChars="0" w:right="0" w:rightChars="0" w:firstLine="0" w:firstLineChars="0"/>
              <w:jc w:val="right"/>
              <w:rPr>
                <w:rFonts w:hint="default" w:ascii="宋体" w:hAnsi="宋体" w:eastAsia="宋体"/>
                <w:sz w:val="22"/>
                <w:szCs w:val="20"/>
                <w:lang w:val="en-US" w:eastAsia="zh-CN"/>
              </w:rPr>
            </w:pPr>
            <w:r>
              <w:rPr>
                <w:rFonts w:hint="eastAsia" w:ascii="宋体" w:hAnsi="宋体"/>
                <w:sz w:val="24"/>
                <w:szCs w:val="21"/>
                <w:lang w:val="en-US" w:eastAsia="zh-CN"/>
              </w:rPr>
              <w:t>779</w:t>
            </w:r>
          </w:p>
        </w:tc>
        <w:tc>
          <w:tcPr>
            <w:tcW w:w="2017" w:type="dxa"/>
            <w:vAlign w:val="center"/>
          </w:tcPr>
          <w:p w14:paraId="1AE300FA">
            <w:pPr>
              <w:snapToGrid w:val="0"/>
              <w:spacing w:line="240" w:lineRule="auto"/>
              <w:ind w:left="0" w:leftChars="0" w:right="0" w:rightChars="0" w:firstLine="0" w:firstLineChars="0"/>
              <w:jc w:val="center"/>
              <w:rPr>
                <w:rFonts w:ascii="宋体" w:hAnsi="宋体" w:eastAsia="宋体"/>
                <w:sz w:val="22"/>
                <w:szCs w:val="20"/>
              </w:rPr>
            </w:pPr>
          </w:p>
        </w:tc>
        <w:tc>
          <w:tcPr>
            <w:tcW w:w="818" w:type="dxa"/>
            <w:vAlign w:val="center"/>
          </w:tcPr>
          <w:p w14:paraId="4B353ED9">
            <w:pPr>
              <w:snapToGrid w:val="0"/>
              <w:spacing w:line="240" w:lineRule="auto"/>
              <w:ind w:left="0" w:leftChars="0" w:right="0" w:rightChars="0" w:firstLine="0" w:firstLineChars="0"/>
              <w:jc w:val="center"/>
              <w:rPr>
                <w:rFonts w:ascii="宋体" w:hAnsi="宋体" w:eastAsia="宋体"/>
                <w:sz w:val="22"/>
                <w:szCs w:val="20"/>
              </w:rPr>
            </w:pPr>
          </w:p>
        </w:tc>
      </w:tr>
      <w:tr w14:paraId="0884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59C26317">
            <w:pPr>
              <w:snapToGrid w:val="0"/>
              <w:spacing w:line="240" w:lineRule="auto"/>
              <w:ind w:left="0" w:leftChars="0" w:right="0" w:rightChars="0" w:firstLine="0" w:firstLineChars="0"/>
              <w:jc w:val="center"/>
              <w:rPr>
                <w:rFonts w:ascii="宋体" w:hAnsi="宋体" w:eastAsia="宋体"/>
                <w:sz w:val="22"/>
                <w:szCs w:val="20"/>
              </w:rPr>
            </w:pPr>
            <w:r>
              <w:rPr>
                <w:rFonts w:hint="eastAsia" w:ascii="宋体" w:hAnsi="宋体" w:eastAsia="宋体"/>
                <w:sz w:val="22"/>
                <w:szCs w:val="20"/>
              </w:rPr>
              <w:t>4</w:t>
            </w:r>
          </w:p>
        </w:tc>
        <w:tc>
          <w:tcPr>
            <w:tcW w:w="2081" w:type="dxa"/>
            <w:vAlign w:val="center"/>
          </w:tcPr>
          <w:p w14:paraId="22440547">
            <w:pPr>
              <w:snapToGrid w:val="0"/>
              <w:spacing w:line="240" w:lineRule="auto"/>
              <w:ind w:left="0" w:leftChars="0" w:right="0" w:rightChars="0" w:firstLine="0" w:firstLineChars="0"/>
              <w:jc w:val="left"/>
              <w:rPr>
                <w:rFonts w:ascii="宋体" w:hAnsi="宋体" w:eastAsia="宋体"/>
                <w:spacing w:val="5"/>
                <w:sz w:val="22"/>
                <w:szCs w:val="20"/>
              </w:rPr>
            </w:pPr>
            <w:r>
              <w:rPr>
                <w:rFonts w:hint="eastAsia" w:ascii="宋体" w:hAnsi="宋体" w:eastAsia="宋体"/>
                <w:spacing w:val="5"/>
                <w:sz w:val="24"/>
                <w:szCs w:val="21"/>
              </w:rPr>
              <w:t>渣土车(满载)</w:t>
            </w:r>
            <w:r>
              <w:rPr>
                <w:rFonts w:hint="eastAsia" w:ascii="宋体" w:hAnsi="宋体" w:eastAsia="宋体"/>
                <w:sz w:val="24"/>
                <w:szCs w:val="21"/>
              </w:rPr>
              <w:t>容量：15m³</w:t>
            </w:r>
          </w:p>
        </w:tc>
        <w:tc>
          <w:tcPr>
            <w:tcW w:w="836" w:type="dxa"/>
            <w:vAlign w:val="center"/>
          </w:tcPr>
          <w:p w14:paraId="1C783622">
            <w:pPr>
              <w:snapToGrid w:val="0"/>
              <w:spacing w:line="240" w:lineRule="auto"/>
              <w:ind w:left="0" w:leftChars="0" w:right="0" w:rightChars="0" w:firstLine="0" w:firstLineChars="0"/>
              <w:jc w:val="center"/>
              <w:rPr>
                <w:rFonts w:ascii="宋体" w:hAnsi="宋体" w:eastAsia="宋体"/>
                <w:spacing w:val="5"/>
                <w:sz w:val="22"/>
                <w:szCs w:val="20"/>
              </w:rPr>
            </w:pPr>
            <w:r>
              <w:rPr>
                <w:rFonts w:hint="eastAsia" w:ascii="宋体" w:hAnsi="宋体" w:eastAsia="宋体"/>
                <w:spacing w:val="5"/>
                <w:sz w:val="24"/>
                <w:szCs w:val="21"/>
              </w:rPr>
              <w:t>台班</w:t>
            </w:r>
          </w:p>
        </w:tc>
        <w:tc>
          <w:tcPr>
            <w:tcW w:w="1299" w:type="dxa"/>
            <w:vAlign w:val="center"/>
          </w:tcPr>
          <w:p w14:paraId="65CBC74D">
            <w:pPr>
              <w:snapToGrid w:val="0"/>
              <w:spacing w:line="240" w:lineRule="auto"/>
              <w:ind w:left="0" w:leftChars="0" w:right="0" w:rightChars="0" w:firstLine="0" w:firstLineChars="0"/>
              <w:jc w:val="right"/>
              <w:rPr>
                <w:rFonts w:hint="default" w:ascii="宋体" w:hAnsi="宋体" w:eastAsia="宋体"/>
                <w:sz w:val="22"/>
                <w:szCs w:val="20"/>
                <w:lang w:val="en-US" w:eastAsia="zh-CN"/>
              </w:rPr>
            </w:pPr>
            <w:r>
              <w:rPr>
                <w:rFonts w:hint="eastAsia" w:ascii="宋体" w:hAnsi="宋体"/>
                <w:spacing w:val="-7"/>
                <w:sz w:val="24"/>
                <w:szCs w:val="21"/>
                <w:lang w:val="en-US" w:eastAsia="zh-CN"/>
              </w:rPr>
              <w:t>331</w:t>
            </w:r>
          </w:p>
        </w:tc>
        <w:tc>
          <w:tcPr>
            <w:tcW w:w="2017" w:type="dxa"/>
            <w:vAlign w:val="center"/>
          </w:tcPr>
          <w:p w14:paraId="4F3611CD">
            <w:pPr>
              <w:snapToGrid w:val="0"/>
              <w:spacing w:line="240" w:lineRule="auto"/>
              <w:ind w:left="0" w:leftChars="0" w:right="0" w:rightChars="0" w:firstLine="0" w:firstLineChars="0"/>
              <w:jc w:val="center"/>
              <w:rPr>
                <w:rFonts w:ascii="宋体" w:hAnsi="宋体" w:eastAsia="宋体"/>
                <w:sz w:val="22"/>
                <w:szCs w:val="20"/>
              </w:rPr>
            </w:pPr>
          </w:p>
        </w:tc>
        <w:tc>
          <w:tcPr>
            <w:tcW w:w="818" w:type="dxa"/>
            <w:vAlign w:val="center"/>
          </w:tcPr>
          <w:p w14:paraId="2D3FA36A">
            <w:pPr>
              <w:snapToGrid w:val="0"/>
              <w:spacing w:line="240" w:lineRule="auto"/>
              <w:ind w:left="0" w:leftChars="0" w:right="0" w:rightChars="0" w:firstLine="0" w:firstLineChars="0"/>
              <w:jc w:val="center"/>
              <w:rPr>
                <w:rFonts w:ascii="宋体" w:hAnsi="宋体" w:eastAsia="宋体"/>
                <w:sz w:val="22"/>
                <w:szCs w:val="20"/>
              </w:rPr>
            </w:pPr>
          </w:p>
        </w:tc>
      </w:tr>
      <w:tr w14:paraId="541B6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21227FC6">
            <w:pPr>
              <w:snapToGrid w:val="0"/>
              <w:spacing w:line="240" w:lineRule="auto"/>
              <w:ind w:left="0" w:leftChars="0" w:right="0" w:rightChars="0" w:firstLine="0" w:firstLineChars="0"/>
              <w:jc w:val="center"/>
              <w:rPr>
                <w:rFonts w:ascii="宋体" w:hAnsi="宋体" w:eastAsia="宋体"/>
                <w:sz w:val="22"/>
                <w:szCs w:val="20"/>
              </w:rPr>
            </w:pPr>
            <w:r>
              <w:rPr>
                <w:rFonts w:hint="eastAsia" w:ascii="宋体" w:hAnsi="宋体" w:eastAsia="宋体"/>
                <w:sz w:val="22"/>
                <w:szCs w:val="20"/>
              </w:rPr>
              <w:t>5</w:t>
            </w:r>
          </w:p>
        </w:tc>
        <w:tc>
          <w:tcPr>
            <w:tcW w:w="2081" w:type="dxa"/>
            <w:vAlign w:val="center"/>
          </w:tcPr>
          <w:p w14:paraId="42DAB93F">
            <w:pPr>
              <w:snapToGrid w:val="0"/>
              <w:spacing w:line="240" w:lineRule="auto"/>
              <w:ind w:left="0" w:leftChars="0" w:right="0" w:rightChars="0" w:firstLine="0" w:firstLineChars="0"/>
              <w:jc w:val="left"/>
              <w:rPr>
                <w:rFonts w:ascii="宋体" w:hAnsi="宋体" w:eastAsia="宋体"/>
                <w:spacing w:val="5"/>
                <w:sz w:val="22"/>
                <w:szCs w:val="20"/>
              </w:rPr>
            </w:pPr>
            <w:r>
              <w:rPr>
                <w:rFonts w:hint="eastAsia" w:ascii="宋体" w:hAnsi="宋体" w:eastAsia="宋体"/>
                <w:spacing w:val="5"/>
                <w:sz w:val="24"/>
                <w:szCs w:val="21"/>
              </w:rPr>
              <w:t>渣土车(满载)</w:t>
            </w:r>
            <w:r>
              <w:rPr>
                <w:rFonts w:hint="eastAsia" w:ascii="宋体" w:hAnsi="宋体" w:eastAsia="宋体"/>
                <w:sz w:val="24"/>
                <w:szCs w:val="21"/>
              </w:rPr>
              <w:t>容量：10m³以内</w:t>
            </w:r>
          </w:p>
        </w:tc>
        <w:tc>
          <w:tcPr>
            <w:tcW w:w="836" w:type="dxa"/>
            <w:vAlign w:val="center"/>
          </w:tcPr>
          <w:p w14:paraId="52936EFA">
            <w:pPr>
              <w:snapToGrid w:val="0"/>
              <w:spacing w:line="240" w:lineRule="auto"/>
              <w:ind w:left="0" w:leftChars="0" w:right="0" w:rightChars="0" w:firstLine="0" w:firstLineChars="0"/>
              <w:jc w:val="center"/>
              <w:rPr>
                <w:rFonts w:ascii="宋体" w:hAnsi="宋体" w:eastAsia="宋体"/>
                <w:spacing w:val="5"/>
                <w:sz w:val="22"/>
                <w:szCs w:val="20"/>
              </w:rPr>
            </w:pPr>
            <w:r>
              <w:rPr>
                <w:rFonts w:hint="eastAsia" w:ascii="宋体" w:hAnsi="宋体" w:eastAsia="宋体"/>
                <w:spacing w:val="5"/>
                <w:sz w:val="24"/>
                <w:szCs w:val="21"/>
              </w:rPr>
              <w:t>台班</w:t>
            </w:r>
          </w:p>
        </w:tc>
        <w:tc>
          <w:tcPr>
            <w:tcW w:w="1299" w:type="dxa"/>
            <w:vAlign w:val="center"/>
          </w:tcPr>
          <w:p w14:paraId="420AA8BD">
            <w:pPr>
              <w:snapToGrid w:val="0"/>
              <w:spacing w:line="240" w:lineRule="auto"/>
              <w:ind w:left="0" w:leftChars="0" w:right="0" w:rightChars="0" w:firstLine="0" w:firstLineChars="0"/>
              <w:jc w:val="right"/>
              <w:rPr>
                <w:rFonts w:hint="default" w:ascii="宋体" w:hAnsi="宋体" w:eastAsia="宋体"/>
                <w:sz w:val="22"/>
                <w:szCs w:val="20"/>
                <w:lang w:val="en-US" w:eastAsia="zh-CN"/>
              </w:rPr>
            </w:pPr>
            <w:r>
              <w:rPr>
                <w:rFonts w:hint="eastAsia" w:ascii="宋体" w:hAnsi="宋体"/>
                <w:spacing w:val="-7"/>
                <w:sz w:val="24"/>
                <w:szCs w:val="21"/>
                <w:lang w:val="en-US" w:eastAsia="zh-CN"/>
              </w:rPr>
              <w:t>331</w:t>
            </w:r>
          </w:p>
        </w:tc>
        <w:tc>
          <w:tcPr>
            <w:tcW w:w="2017" w:type="dxa"/>
            <w:vAlign w:val="center"/>
          </w:tcPr>
          <w:p w14:paraId="3D31F256">
            <w:pPr>
              <w:snapToGrid w:val="0"/>
              <w:spacing w:line="240" w:lineRule="auto"/>
              <w:ind w:left="0" w:leftChars="0" w:right="0" w:rightChars="0" w:firstLine="0" w:firstLineChars="0"/>
              <w:jc w:val="center"/>
              <w:rPr>
                <w:rFonts w:ascii="宋体" w:hAnsi="宋体" w:eastAsia="宋体"/>
                <w:sz w:val="22"/>
                <w:szCs w:val="20"/>
              </w:rPr>
            </w:pPr>
          </w:p>
        </w:tc>
        <w:tc>
          <w:tcPr>
            <w:tcW w:w="818" w:type="dxa"/>
            <w:vAlign w:val="center"/>
          </w:tcPr>
          <w:p w14:paraId="0A03D3C4">
            <w:pPr>
              <w:snapToGrid w:val="0"/>
              <w:spacing w:line="240" w:lineRule="auto"/>
              <w:ind w:left="0" w:leftChars="0" w:right="0" w:rightChars="0" w:firstLine="0" w:firstLineChars="0"/>
              <w:jc w:val="center"/>
              <w:rPr>
                <w:rFonts w:ascii="宋体" w:hAnsi="宋体" w:eastAsia="宋体"/>
                <w:sz w:val="22"/>
                <w:szCs w:val="20"/>
              </w:rPr>
            </w:pPr>
          </w:p>
        </w:tc>
      </w:tr>
      <w:tr w14:paraId="6DC6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2AF2064C">
            <w:pPr>
              <w:snapToGrid w:val="0"/>
              <w:spacing w:line="240" w:lineRule="auto"/>
              <w:ind w:left="0" w:leftChars="0" w:right="0" w:rightChars="0" w:firstLine="0" w:firstLineChars="0"/>
              <w:jc w:val="center"/>
              <w:rPr>
                <w:rFonts w:ascii="宋体" w:hAnsi="Arial" w:eastAsia="宋体"/>
                <w:sz w:val="22"/>
                <w:szCs w:val="20"/>
              </w:rPr>
            </w:pPr>
            <w:r>
              <w:rPr>
                <w:rFonts w:hint="eastAsia" w:ascii="宋体" w:hAnsi="Arial" w:eastAsia="宋体"/>
                <w:sz w:val="22"/>
                <w:szCs w:val="20"/>
              </w:rPr>
              <w:t>6</w:t>
            </w:r>
          </w:p>
        </w:tc>
        <w:tc>
          <w:tcPr>
            <w:tcW w:w="2081" w:type="dxa"/>
            <w:vAlign w:val="center"/>
          </w:tcPr>
          <w:p w14:paraId="7D0F9C9E">
            <w:pPr>
              <w:snapToGrid w:val="0"/>
              <w:spacing w:line="240" w:lineRule="auto"/>
              <w:ind w:left="0" w:leftChars="0" w:right="0" w:rightChars="0" w:firstLine="0" w:firstLineChars="0"/>
              <w:jc w:val="left"/>
              <w:rPr>
                <w:rFonts w:ascii="宋体" w:hAnsi="宋体" w:eastAsia="宋体"/>
                <w:spacing w:val="5"/>
                <w:sz w:val="22"/>
                <w:szCs w:val="20"/>
              </w:rPr>
            </w:pPr>
            <w:r>
              <w:rPr>
                <w:rFonts w:hint="eastAsia" w:ascii="宋体" w:hAnsi="宋体" w:eastAsia="宋体"/>
                <w:spacing w:val="5"/>
                <w:sz w:val="24"/>
                <w:szCs w:val="21"/>
              </w:rPr>
              <w:t>光轮压路机(内燃)机械双筒</w:t>
            </w:r>
            <w:r>
              <w:rPr>
                <w:rFonts w:hint="eastAsia" w:ascii="宋体" w:hAnsi="宋体"/>
                <w:spacing w:val="5"/>
                <w:sz w:val="24"/>
                <w:szCs w:val="21"/>
                <w:lang w:val="en-US" w:eastAsia="zh-CN"/>
              </w:rPr>
              <w:t>22T</w:t>
            </w:r>
          </w:p>
        </w:tc>
        <w:tc>
          <w:tcPr>
            <w:tcW w:w="836" w:type="dxa"/>
            <w:vAlign w:val="center"/>
          </w:tcPr>
          <w:p w14:paraId="65552203">
            <w:pPr>
              <w:snapToGrid w:val="0"/>
              <w:spacing w:line="240" w:lineRule="auto"/>
              <w:ind w:left="0" w:leftChars="0" w:right="0" w:rightChars="0" w:firstLine="0" w:firstLineChars="0"/>
              <w:jc w:val="center"/>
              <w:rPr>
                <w:rFonts w:ascii="宋体" w:hAnsi="宋体" w:eastAsia="宋体"/>
                <w:spacing w:val="5"/>
                <w:sz w:val="22"/>
                <w:szCs w:val="20"/>
              </w:rPr>
            </w:pPr>
            <w:r>
              <w:rPr>
                <w:rFonts w:hint="eastAsia" w:ascii="宋体" w:hAnsi="宋体" w:eastAsia="宋体"/>
                <w:spacing w:val="5"/>
                <w:sz w:val="24"/>
                <w:szCs w:val="21"/>
              </w:rPr>
              <w:t>台班</w:t>
            </w:r>
          </w:p>
        </w:tc>
        <w:tc>
          <w:tcPr>
            <w:tcW w:w="1299" w:type="dxa"/>
            <w:vAlign w:val="center"/>
          </w:tcPr>
          <w:p w14:paraId="4731CD58">
            <w:pPr>
              <w:snapToGrid w:val="0"/>
              <w:spacing w:line="240" w:lineRule="auto"/>
              <w:ind w:left="0" w:leftChars="0" w:right="0" w:rightChars="0" w:firstLine="0" w:firstLineChars="0"/>
              <w:jc w:val="right"/>
              <w:rPr>
                <w:rFonts w:hint="default" w:ascii="宋体" w:hAnsi="Arial" w:eastAsia="宋体"/>
                <w:sz w:val="22"/>
                <w:szCs w:val="20"/>
                <w:lang w:val="en-US" w:eastAsia="zh-CN"/>
              </w:rPr>
            </w:pPr>
            <w:r>
              <w:rPr>
                <w:rFonts w:hint="eastAsia" w:ascii="宋体" w:hAnsi="宋体"/>
                <w:spacing w:val="-7"/>
                <w:sz w:val="24"/>
                <w:szCs w:val="21"/>
                <w:lang w:val="en-US" w:eastAsia="zh-CN"/>
              </w:rPr>
              <w:t>662</w:t>
            </w:r>
          </w:p>
        </w:tc>
        <w:tc>
          <w:tcPr>
            <w:tcW w:w="2017" w:type="dxa"/>
            <w:vAlign w:val="center"/>
          </w:tcPr>
          <w:p w14:paraId="47985F51">
            <w:pPr>
              <w:snapToGrid w:val="0"/>
              <w:spacing w:line="240" w:lineRule="auto"/>
              <w:ind w:left="0" w:leftChars="0" w:right="0" w:rightChars="0" w:firstLine="0" w:firstLineChars="0"/>
              <w:jc w:val="center"/>
              <w:rPr>
                <w:rFonts w:ascii="宋体" w:hAnsi="宋体" w:eastAsia="宋体"/>
                <w:sz w:val="22"/>
                <w:szCs w:val="20"/>
              </w:rPr>
            </w:pPr>
          </w:p>
        </w:tc>
        <w:tc>
          <w:tcPr>
            <w:tcW w:w="818" w:type="dxa"/>
            <w:vAlign w:val="center"/>
          </w:tcPr>
          <w:p w14:paraId="142412F0">
            <w:pPr>
              <w:snapToGrid w:val="0"/>
              <w:spacing w:line="240" w:lineRule="auto"/>
              <w:ind w:left="0" w:leftChars="0" w:right="0" w:rightChars="0" w:firstLine="0" w:firstLineChars="0"/>
              <w:jc w:val="center"/>
              <w:rPr>
                <w:rFonts w:ascii="宋体" w:hAnsi="宋体" w:eastAsia="宋体"/>
                <w:sz w:val="22"/>
                <w:szCs w:val="20"/>
              </w:rPr>
            </w:pPr>
          </w:p>
        </w:tc>
      </w:tr>
      <w:tr w14:paraId="4B836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59621A4F">
            <w:pPr>
              <w:snapToGrid w:val="0"/>
              <w:spacing w:line="240" w:lineRule="auto"/>
              <w:ind w:left="0" w:leftChars="0" w:right="0" w:rightChars="0" w:firstLine="0" w:firstLineChars="0"/>
              <w:jc w:val="center"/>
              <w:rPr>
                <w:rFonts w:ascii="宋体" w:hAnsi="Arial" w:eastAsia="宋体"/>
                <w:sz w:val="22"/>
                <w:szCs w:val="20"/>
              </w:rPr>
            </w:pPr>
            <w:r>
              <w:rPr>
                <w:rFonts w:hint="eastAsia" w:ascii="宋体" w:hAnsi="Arial" w:eastAsia="宋体"/>
                <w:sz w:val="22"/>
                <w:szCs w:val="20"/>
              </w:rPr>
              <w:t>7</w:t>
            </w:r>
          </w:p>
        </w:tc>
        <w:tc>
          <w:tcPr>
            <w:tcW w:w="2081" w:type="dxa"/>
            <w:vAlign w:val="center"/>
          </w:tcPr>
          <w:p w14:paraId="66F8C774">
            <w:pPr>
              <w:snapToGrid w:val="0"/>
              <w:spacing w:line="240" w:lineRule="auto"/>
              <w:ind w:left="0" w:leftChars="0" w:right="0" w:rightChars="0" w:firstLine="0" w:firstLineChars="0"/>
              <w:jc w:val="left"/>
              <w:rPr>
                <w:rFonts w:ascii="宋体" w:hAnsi="宋体" w:eastAsia="宋体"/>
                <w:spacing w:val="5"/>
                <w:sz w:val="22"/>
                <w:szCs w:val="20"/>
              </w:rPr>
            </w:pPr>
            <w:r>
              <w:rPr>
                <w:rFonts w:hint="eastAsia" w:ascii="宋体" w:hAnsi="宋体" w:eastAsia="宋体"/>
                <w:spacing w:val="5"/>
                <w:sz w:val="22"/>
                <w:szCs w:val="20"/>
              </w:rPr>
              <w:t>合计</w:t>
            </w:r>
          </w:p>
        </w:tc>
        <w:tc>
          <w:tcPr>
            <w:tcW w:w="836" w:type="dxa"/>
            <w:vAlign w:val="center"/>
          </w:tcPr>
          <w:p w14:paraId="02033FCD">
            <w:pPr>
              <w:snapToGrid w:val="0"/>
              <w:spacing w:line="240" w:lineRule="auto"/>
              <w:ind w:left="0" w:leftChars="0" w:right="0" w:rightChars="0" w:firstLine="0" w:firstLineChars="0"/>
              <w:jc w:val="center"/>
              <w:rPr>
                <w:rFonts w:ascii="宋体" w:hAnsi="宋体" w:eastAsia="宋体"/>
                <w:spacing w:val="5"/>
                <w:sz w:val="22"/>
                <w:szCs w:val="20"/>
              </w:rPr>
            </w:pPr>
          </w:p>
        </w:tc>
        <w:tc>
          <w:tcPr>
            <w:tcW w:w="1299" w:type="dxa"/>
            <w:vAlign w:val="center"/>
          </w:tcPr>
          <w:p w14:paraId="224B6C14">
            <w:pPr>
              <w:snapToGrid w:val="0"/>
              <w:spacing w:line="240" w:lineRule="auto"/>
              <w:ind w:left="0" w:leftChars="0" w:right="0" w:rightChars="0" w:firstLine="0" w:firstLineChars="0"/>
              <w:jc w:val="right"/>
              <w:rPr>
                <w:rFonts w:ascii="宋体" w:hAnsi="宋体" w:eastAsia="宋体"/>
                <w:spacing w:val="-2"/>
                <w:sz w:val="22"/>
                <w:szCs w:val="20"/>
              </w:rPr>
            </w:pPr>
          </w:p>
        </w:tc>
        <w:tc>
          <w:tcPr>
            <w:tcW w:w="2017" w:type="dxa"/>
            <w:vAlign w:val="center"/>
          </w:tcPr>
          <w:p w14:paraId="2519EEB6">
            <w:pPr>
              <w:snapToGrid w:val="0"/>
              <w:spacing w:line="240" w:lineRule="auto"/>
              <w:ind w:left="0" w:leftChars="0" w:right="0" w:rightChars="0" w:firstLine="0" w:firstLineChars="0"/>
              <w:jc w:val="center"/>
              <w:rPr>
                <w:rFonts w:ascii="宋体" w:hAnsi="宋体" w:eastAsia="宋体"/>
                <w:sz w:val="22"/>
                <w:szCs w:val="20"/>
              </w:rPr>
            </w:pPr>
          </w:p>
        </w:tc>
        <w:tc>
          <w:tcPr>
            <w:tcW w:w="818" w:type="dxa"/>
            <w:vAlign w:val="center"/>
          </w:tcPr>
          <w:p w14:paraId="49E8DF04">
            <w:pPr>
              <w:snapToGrid w:val="0"/>
              <w:spacing w:line="240" w:lineRule="auto"/>
              <w:ind w:left="0" w:leftChars="0" w:right="0" w:rightChars="0" w:firstLine="0" w:firstLineChars="0"/>
              <w:jc w:val="center"/>
              <w:rPr>
                <w:rFonts w:ascii="宋体" w:hAnsi="宋体" w:eastAsia="宋体"/>
                <w:sz w:val="22"/>
                <w:szCs w:val="20"/>
              </w:rPr>
            </w:pPr>
          </w:p>
        </w:tc>
      </w:tr>
    </w:tbl>
    <w:p w14:paraId="4126BEDF">
      <w:pPr>
        <w:numPr>
          <w:ilvl w:val="0"/>
          <w:numId w:val="1"/>
        </w:num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付款方式：</w:t>
      </w:r>
    </w:p>
    <w:p w14:paraId="06140BF7">
      <w:pPr>
        <w:pStyle w:val="8"/>
        <w:spacing w:line="360" w:lineRule="auto"/>
        <w:ind w:firstLine="495" w:firstLineChars="236"/>
        <w:rPr>
          <w:rFonts w:hint="eastAsia" w:ascii="宋体" w:hAnsi="宋体" w:cs="宋体"/>
          <w:color w:val="000000"/>
          <w:sz w:val="21"/>
          <w:szCs w:val="21"/>
        </w:rPr>
      </w:pPr>
      <w:r>
        <w:rPr>
          <w:rFonts w:hint="eastAsia" w:ascii="宋体" w:hAnsi="宋体" w:cs="宋体"/>
          <w:color w:val="000000"/>
          <w:sz w:val="21"/>
          <w:szCs w:val="21"/>
        </w:rPr>
        <w:t>当结算金额高于本合同金额时以本合同金额作为结算金额，当结算金额低于本合同金额时据实结算。</w:t>
      </w:r>
    </w:p>
    <w:p w14:paraId="61BCBBB5">
      <w:pPr>
        <w:spacing w:line="360" w:lineRule="auto"/>
        <w:ind w:firstLine="440" w:firstLineChars="200"/>
        <w:rPr>
          <w:rFonts w:hint="eastAsia" w:ascii="宋体" w:hAnsi="宋体" w:cs="宋体"/>
          <w:color w:val="000000"/>
          <w:sz w:val="22"/>
          <w:szCs w:val="18"/>
          <w:highlight w:val="none"/>
        </w:rPr>
      </w:pPr>
      <w:r>
        <w:rPr>
          <w:rFonts w:hint="eastAsia" w:ascii="宋体" w:hAnsi="宋体" w:cs="宋体"/>
          <w:color w:val="000000"/>
          <w:sz w:val="22"/>
          <w:szCs w:val="18"/>
          <w:highlight w:val="none"/>
        </w:rPr>
        <w:t>本合同订立后，</w:t>
      </w:r>
      <w:r>
        <w:rPr>
          <w:rFonts w:hint="eastAsia" w:ascii="宋体" w:hAnsi="宋体" w:cs="宋体"/>
          <w:color w:val="000000"/>
          <w:sz w:val="22"/>
          <w:szCs w:val="18"/>
          <w:highlight w:val="none"/>
          <w:lang w:val="en-US" w:eastAsia="zh-CN"/>
        </w:rPr>
        <w:t>待</w:t>
      </w:r>
      <w:r>
        <w:rPr>
          <w:rFonts w:hint="eastAsia" w:ascii="宋体" w:hAnsi="宋体" w:cs="宋体"/>
          <w:color w:val="000000"/>
          <w:sz w:val="22"/>
          <w:szCs w:val="18"/>
          <w:highlight w:val="none"/>
        </w:rPr>
        <w:t>乙方</w:t>
      </w:r>
      <w:r>
        <w:rPr>
          <w:rFonts w:hint="eastAsia" w:ascii="宋体" w:hAnsi="宋体" w:cs="宋体"/>
          <w:color w:val="000000"/>
          <w:sz w:val="22"/>
          <w:szCs w:val="18"/>
          <w:highlight w:val="none"/>
          <w:lang w:val="en-US" w:eastAsia="zh-CN"/>
        </w:rPr>
        <w:t>进场后甲方向乙方支付20%的预付款，</w:t>
      </w:r>
      <w:r>
        <w:rPr>
          <w:rFonts w:hint="eastAsia" w:ascii="宋体" w:hAnsi="宋体" w:cs="宋体"/>
          <w:color w:val="000000"/>
          <w:sz w:val="22"/>
          <w:szCs w:val="18"/>
          <w:highlight w:val="none"/>
        </w:rPr>
        <w:t>按本合同约定</w:t>
      </w:r>
      <w:r>
        <w:rPr>
          <w:rFonts w:hint="eastAsia" w:ascii="宋体" w:hAnsi="宋体" w:cs="宋体"/>
          <w:color w:val="000000"/>
          <w:sz w:val="22"/>
          <w:szCs w:val="18"/>
          <w:highlight w:val="none"/>
          <w:lang w:val="en-US" w:eastAsia="zh-CN"/>
        </w:rPr>
        <w:t>完成本</w:t>
      </w:r>
      <w:r>
        <w:rPr>
          <w:rFonts w:hint="eastAsia" w:ascii="宋体" w:hAnsi="宋体" w:cs="宋体"/>
          <w:color w:val="000000"/>
          <w:sz w:val="22"/>
          <w:szCs w:val="18"/>
          <w:highlight w:val="none"/>
        </w:rPr>
        <w:t>工程项目</w:t>
      </w:r>
      <w:r>
        <w:rPr>
          <w:rFonts w:hint="eastAsia" w:ascii="宋体" w:hAnsi="宋体" w:cs="宋体"/>
          <w:color w:val="000000"/>
          <w:sz w:val="22"/>
          <w:szCs w:val="18"/>
          <w:highlight w:val="none"/>
          <w:lang w:val="en-US" w:eastAsia="zh-CN"/>
        </w:rPr>
        <w:t>所有内容并验收合格后，</w:t>
      </w:r>
      <w:r>
        <w:rPr>
          <w:rFonts w:hint="eastAsia" w:ascii="宋体" w:hAnsi="宋体" w:cs="宋体"/>
          <w:color w:val="000000"/>
          <w:sz w:val="22"/>
          <w:szCs w:val="18"/>
          <w:highlight w:val="none"/>
        </w:rPr>
        <w:t>报送本工程的</w:t>
      </w:r>
      <w:bookmarkStart w:id="2" w:name="_GoBack"/>
      <w:bookmarkEnd w:id="2"/>
      <w:r>
        <w:rPr>
          <w:rFonts w:hint="eastAsia" w:ascii="宋体" w:hAnsi="宋体" w:cs="宋体"/>
          <w:color w:val="000000"/>
          <w:sz w:val="22"/>
          <w:szCs w:val="18"/>
          <w:highlight w:val="none"/>
        </w:rPr>
        <w:t>结算评审资料，由高新区财政局进行结算评审并出具结算报告和结算结果通知单后，乙方出具正式发票，甲方</w:t>
      </w:r>
      <w:r>
        <w:rPr>
          <w:rFonts w:hint="eastAsia" w:ascii="宋体" w:hAnsi="宋体" w:cs="宋体"/>
          <w:color w:val="000000"/>
          <w:sz w:val="22"/>
          <w:szCs w:val="18"/>
          <w:highlight w:val="none"/>
          <w:lang w:val="en-US" w:eastAsia="zh-CN"/>
        </w:rPr>
        <w:t>支付合同金额的</w:t>
      </w:r>
      <w:r>
        <w:rPr>
          <w:rFonts w:hint="eastAsia" w:ascii="宋体" w:hAnsi="宋体" w:cs="宋体"/>
          <w:color w:val="000000"/>
          <w:sz w:val="22"/>
          <w:szCs w:val="18"/>
          <w:highlight w:val="none"/>
        </w:rPr>
        <w:t>的</w:t>
      </w:r>
      <w:r>
        <w:rPr>
          <w:rFonts w:hint="eastAsia" w:ascii="宋体" w:hAnsi="宋体" w:cs="宋体"/>
          <w:color w:val="000000"/>
          <w:sz w:val="22"/>
          <w:szCs w:val="18"/>
          <w:highlight w:val="none"/>
          <w:lang w:val="en-US" w:eastAsia="zh-CN"/>
        </w:rPr>
        <w:t>70</w:t>
      </w:r>
      <w:r>
        <w:rPr>
          <w:rFonts w:hint="eastAsia" w:ascii="宋体" w:hAnsi="宋体" w:cs="宋体"/>
          <w:color w:val="000000"/>
          <w:sz w:val="22"/>
          <w:szCs w:val="18"/>
          <w:highlight w:val="none"/>
        </w:rPr>
        <w:t>%</w:t>
      </w:r>
      <w:r>
        <w:rPr>
          <w:rFonts w:hint="eastAsia" w:ascii="宋体" w:hAnsi="宋体" w:cs="宋体"/>
          <w:color w:val="000000"/>
          <w:sz w:val="22"/>
          <w:szCs w:val="18"/>
          <w:highlight w:val="none"/>
          <w:lang w:eastAsia="zh-CN"/>
        </w:rPr>
        <w:t>，</w:t>
      </w:r>
      <w:r>
        <w:rPr>
          <w:rFonts w:hint="eastAsia" w:ascii="宋体" w:hAnsi="宋体" w:cs="宋体"/>
          <w:color w:val="000000"/>
          <w:sz w:val="22"/>
          <w:szCs w:val="18"/>
          <w:highlight w:val="none"/>
          <w:lang w:val="en-US" w:eastAsia="zh-CN"/>
        </w:rPr>
        <w:t>剩余10%待项目用地正式交付后，甲方进行支付</w:t>
      </w:r>
      <w:r>
        <w:rPr>
          <w:rFonts w:hint="eastAsia" w:ascii="宋体" w:hAnsi="宋体" w:cs="宋体"/>
          <w:color w:val="000000"/>
          <w:sz w:val="22"/>
          <w:szCs w:val="18"/>
          <w:highlight w:val="none"/>
        </w:rPr>
        <w:t>。</w:t>
      </w:r>
    </w:p>
    <w:p w14:paraId="70B68133">
      <w:pPr>
        <w:spacing w:line="360" w:lineRule="auto"/>
        <w:ind w:firstLine="440" w:firstLineChars="200"/>
        <w:rPr>
          <w:rFonts w:hint="eastAsia" w:ascii="宋体" w:hAnsi="宋体" w:cs="宋体"/>
          <w:color w:val="000000"/>
          <w:sz w:val="22"/>
          <w:szCs w:val="18"/>
        </w:rPr>
      </w:pPr>
      <w:r>
        <w:rPr>
          <w:rFonts w:hint="eastAsia" w:ascii="宋体" w:hAnsi="宋体" w:cs="宋体"/>
          <w:color w:val="000000"/>
          <w:sz w:val="22"/>
          <w:szCs w:val="18"/>
        </w:rPr>
        <w:t>如施工过程中因</w:t>
      </w:r>
      <w:r>
        <w:rPr>
          <w:rFonts w:hint="eastAsia" w:ascii="宋体" w:hAnsi="宋体" w:cs="宋体"/>
          <w:color w:val="000000"/>
          <w:sz w:val="22"/>
          <w:szCs w:val="18"/>
          <w:lang w:val="en-US" w:eastAsia="zh-CN"/>
        </w:rPr>
        <w:t>不可抗力等因素</w:t>
      </w:r>
      <w:r>
        <w:rPr>
          <w:rFonts w:hint="eastAsia" w:ascii="宋体" w:hAnsi="宋体" w:cs="宋体"/>
          <w:color w:val="000000"/>
          <w:sz w:val="22"/>
          <w:szCs w:val="18"/>
        </w:rPr>
        <w:t>，需暂停或延期施工，导致工程量未达到前款约定的付款工程进度条件，双方可根据实际情况，另行协商付款方式并签订补充协议。</w:t>
      </w:r>
    </w:p>
    <w:p w14:paraId="5DACBF1F">
      <w:pPr>
        <w:spacing w:line="360" w:lineRule="auto"/>
        <w:ind w:firstLine="422" w:firstLineChars="200"/>
        <w:rPr>
          <w:rFonts w:hint="eastAsia" w:ascii="宋体" w:hAnsi="宋体" w:cs="宋体"/>
          <w:b/>
          <w:bCs/>
          <w:color w:val="000000"/>
          <w:sz w:val="21"/>
          <w:szCs w:val="21"/>
        </w:rPr>
      </w:pPr>
      <w:r>
        <w:rPr>
          <w:rFonts w:hint="eastAsia" w:ascii="宋体" w:hAnsi="宋体" w:cs="宋体"/>
          <w:b/>
          <w:bCs/>
          <w:color w:val="000000"/>
          <w:sz w:val="21"/>
          <w:szCs w:val="21"/>
        </w:rPr>
        <w:t>五、其它：</w:t>
      </w:r>
    </w:p>
    <w:p w14:paraId="51EF8273">
      <w:pPr>
        <w:spacing w:line="360" w:lineRule="auto"/>
        <w:ind w:firstLine="422" w:firstLineChars="200"/>
        <w:rPr>
          <w:rFonts w:hint="eastAsia" w:ascii="宋体" w:hAnsi="宋体" w:cs="宋体"/>
          <w:b/>
          <w:color w:val="000000"/>
          <w:sz w:val="21"/>
          <w:szCs w:val="21"/>
        </w:rPr>
      </w:pPr>
      <w:r>
        <w:rPr>
          <w:rFonts w:hint="eastAsia" w:ascii="宋体" w:hAnsi="宋体" w:cs="宋体"/>
          <w:b/>
          <w:color w:val="000000"/>
          <w:sz w:val="21"/>
          <w:szCs w:val="21"/>
        </w:rPr>
        <w:t>1、罚则</w:t>
      </w:r>
    </w:p>
    <w:p w14:paraId="25F1B875">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如果因非发包方原因，而导致承包方未能按要求的工期完工(不可抗力除外）或工程质量不合格的均为承包方违约，承包方应支付发包方合同总金额2‰/天的违约金至违约期限结束，违约金在最后一次付款时进行扣除。</w:t>
      </w:r>
    </w:p>
    <w:p w14:paraId="13C204EA">
      <w:pPr>
        <w:spacing w:line="360" w:lineRule="auto"/>
        <w:ind w:firstLine="422" w:firstLineChars="200"/>
        <w:rPr>
          <w:rFonts w:hint="eastAsia" w:ascii="宋体" w:hAnsi="宋体" w:cs="宋体"/>
          <w:b/>
          <w:color w:val="000000"/>
          <w:sz w:val="21"/>
          <w:szCs w:val="21"/>
        </w:rPr>
      </w:pPr>
      <w:r>
        <w:rPr>
          <w:rFonts w:hint="eastAsia" w:ascii="宋体" w:hAnsi="宋体" w:cs="宋体"/>
          <w:b/>
          <w:color w:val="000000"/>
          <w:sz w:val="21"/>
          <w:szCs w:val="21"/>
        </w:rPr>
        <w:t>2、争议</w:t>
      </w:r>
    </w:p>
    <w:p w14:paraId="5F3637AD">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2.1双方约定，在履行合同过程中产生争议时，由以下第2.1.2种方式解决：</w:t>
      </w:r>
    </w:p>
    <w:p w14:paraId="367CF571">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2.1.1由西安仲裁委员会仲裁解决；</w:t>
      </w:r>
    </w:p>
    <w:p w14:paraId="5BAA2167">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2.1.2向工程所在地人民法院</w:t>
      </w:r>
      <w:r>
        <w:rPr>
          <w:rFonts w:hint="eastAsia" w:ascii="宋体" w:hAnsi="宋体" w:cs="宋体"/>
          <w:color w:val="000000"/>
          <w:sz w:val="21"/>
          <w:szCs w:val="21"/>
          <w:lang w:eastAsia="zh-CN"/>
        </w:rPr>
        <w:t>提起</w:t>
      </w:r>
      <w:r>
        <w:rPr>
          <w:rFonts w:hint="eastAsia" w:ascii="宋体" w:hAnsi="宋体" w:cs="宋体"/>
          <w:color w:val="000000"/>
          <w:sz w:val="21"/>
          <w:szCs w:val="21"/>
        </w:rPr>
        <w:t>诉讼。</w:t>
      </w:r>
    </w:p>
    <w:p w14:paraId="1645D041">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合同争议处理期间，除正在处理的争议部分外，合同其余部分应继续执行。</w:t>
      </w:r>
    </w:p>
    <w:p w14:paraId="52D6BC5B">
      <w:pPr>
        <w:spacing w:line="360" w:lineRule="auto"/>
        <w:ind w:firstLine="422" w:firstLineChars="200"/>
        <w:rPr>
          <w:rFonts w:hint="eastAsia" w:ascii="宋体" w:hAnsi="宋体" w:cs="宋体"/>
          <w:b/>
          <w:color w:val="000000"/>
          <w:sz w:val="21"/>
          <w:szCs w:val="21"/>
        </w:rPr>
      </w:pPr>
      <w:r>
        <w:rPr>
          <w:rFonts w:hint="eastAsia" w:ascii="宋体" w:hAnsi="宋体" w:cs="宋体"/>
          <w:b/>
          <w:color w:val="000000"/>
          <w:sz w:val="21"/>
          <w:szCs w:val="21"/>
        </w:rPr>
        <w:t>3、本合同一式肆份，具有同等法律效力，双方各执贰份；本合同由双方签字盖章后生效，待合同履行完毕，工程价款结清后本合同自然终止。</w:t>
      </w:r>
    </w:p>
    <w:p w14:paraId="4EE7F5D8">
      <w:pPr>
        <w:spacing w:line="360" w:lineRule="auto"/>
        <w:ind w:firstLine="422" w:firstLineChars="200"/>
        <w:rPr>
          <w:rFonts w:hint="eastAsia" w:ascii="宋体" w:hAnsi="宋体" w:cs="宋体"/>
          <w:b/>
          <w:color w:val="000000"/>
          <w:sz w:val="21"/>
          <w:szCs w:val="21"/>
        </w:rPr>
      </w:pPr>
      <w:r>
        <w:rPr>
          <w:rFonts w:hint="eastAsia" w:ascii="宋体" w:hAnsi="宋体" w:cs="宋体"/>
          <w:b/>
          <w:color w:val="000000"/>
          <w:sz w:val="21"/>
          <w:szCs w:val="21"/>
        </w:rPr>
        <w:t>4、本合同中未尽事宜双方协商解决。</w:t>
      </w:r>
    </w:p>
    <w:p w14:paraId="0347659F">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甲方：(盖章)                  乙方(盖章)</w:t>
      </w:r>
    </w:p>
    <w:p w14:paraId="50103273">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甲方代表签字：                乙方代表签字：</w:t>
      </w:r>
    </w:p>
    <w:p w14:paraId="4CA31A00">
      <w:pPr>
        <w:autoSpaceDE w:val="0"/>
        <w:autoSpaceDN w:val="0"/>
        <w:adjustRightInd w:val="0"/>
        <w:spacing w:line="360" w:lineRule="auto"/>
        <w:ind w:firstLine="420" w:firstLineChars="200"/>
        <w:rPr>
          <w:rFonts w:hint="eastAsia" w:ascii="宋体" w:hAnsi="宋体" w:cs="宋体"/>
          <w:color w:val="000000"/>
          <w:sz w:val="21"/>
          <w:szCs w:val="21"/>
          <w:lang w:val="zh-CN"/>
        </w:rPr>
      </w:pPr>
      <w:r>
        <w:rPr>
          <w:rFonts w:hint="eastAsia" w:ascii="宋体" w:hAnsi="宋体" w:cs="宋体"/>
          <w:color w:val="000000"/>
          <w:sz w:val="21"/>
          <w:szCs w:val="21"/>
        </w:rPr>
        <w:t>年   月    日                 年   月  日</w:t>
      </w:r>
    </w:p>
    <w:p w14:paraId="3C4C515C">
      <w:pPr>
        <w:jc w:val="center"/>
        <w:rPr>
          <w:rFonts w:hint="eastAsia" w:ascii="宋体" w:hAnsi="宋体" w:cs="宋体"/>
          <w:b/>
          <w:bCs/>
          <w:color w:val="000000"/>
          <w:sz w:val="21"/>
          <w:szCs w:val="21"/>
        </w:rPr>
      </w:pPr>
    </w:p>
    <w:p w14:paraId="7910F06B">
      <w:pPr>
        <w:jc w:val="center"/>
        <w:rPr>
          <w:rFonts w:hint="eastAsia" w:ascii="宋体" w:hAnsi="宋体" w:cs="宋体"/>
          <w:b/>
          <w:bCs/>
          <w:color w:val="000000"/>
          <w:sz w:val="21"/>
          <w:szCs w:val="21"/>
        </w:rPr>
      </w:pPr>
      <w:r>
        <w:rPr>
          <w:rFonts w:hint="eastAsia" w:ascii="宋体" w:hAnsi="宋体" w:cs="宋体"/>
          <w:b/>
          <w:bCs/>
          <w:color w:val="000000"/>
          <w:sz w:val="21"/>
          <w:szCs w:val="21"/>
        </w:rPr>
        <w:t>安全生产、文明施工责任书</w:t>
      </w:r>
    </w:p>
    <w:p w14:paraId="3AC9F312">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甲方：</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p w14:paraId="736E62D5">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乙方：</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p w14:paraId="2DA2EDA5">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根据《中华人民共和国安全生产法》、《建设工程安全生产管理条例》等相关法规政策，甲乙双方就本项目签署安全生产、文明施工责任书，主要内容如下：</w:t>
      </w:r>
    </w:p>
    <w:p w14:paraId="20EE35A7">
      <w:pPr>
        <w:spacing w:line="360" w:lineRule="auto"/>
        <w:ind w:firstLine="422" w:firstLineChars="200"/>
        <w:rPr>
          <w:rFonts w:hint="eastAsia" w:ascii="宋体" w:hAnsi="宋体" w:cs="宋体"/>
          <w:b/>
          <w:bCs/>
          <w:color w:val="000000"/>
          <w:sz w:val="21"/>
          <w:szCs w:val="21"/>
        </w:rPr>
      </w:pPr>
      <w:r>
        <w:rPr>
          <w:rFonts w:hint="eastAsia" w:ascii="宋体" w:hAnsi="宋体" w:cs="宋体"/>
          <w:b/>
          <w:bCs/>
          <w:color w:val="000000"/>
          <w:sz w:val="21"/>
          <w:szCs w:val="21"/>
        </w:rPr>
        <w:t>一、甲方责任：</w:t>
      </w:r>
    </w:p>
    <w:p w14:paraId="3F0AF02E">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1、定期组织安全会议,随时组织安全检查和现场监督管理。</w:t>
      </w:r>
    </w:p>
    <w:p w14:paraId="062B2BC1">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2、及时协调解决工程实施过程中各类管线的迁移和改造等问题。</w:t>
      </w:r>
    </w:p>
    <w:p w14:paraId="09BEC107">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3、及时处理施工过程中妨碍安全生产和文明施工的问题。</w:t>
      </w:r>
    </w:p>
    <w:p w14:paraId="3F1D2487">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4、及时传达和通报相关职能部门关于安全生产工作的重要指示和要求，督促乙方安全施工工作的落实。</w:t>
      </w:r>
    </w:p>
    <w:p w14:paraId="6DBE7418">
      <w:pPr>
        <w:spacing w:line="360" w:lineRule="auto"/>
        <w:ind w:firstLine="422" w:firstLineChars="200"/>
        <w:rPr>
          <w:rFonts w:hint="eastAsia" w:ascii="宋体" w:hAnsi="宋体" w:cs="宋体"/>
          <w:b/>
          <w:color w:val="000000"/>
          <w:sz w:val="21"/>
          <w:szCs w:val="21"/>
        </w:rPr>
      </w:pPr>
      <w:r>
        <w:rPr>
          <w:rFonts w:hint="eastAsia" w:ascii="宋体" w:hAnsi="宋体" w:cs="宋体"/>
          <w:b/>
          <w:color w:val="000000"/>
          <w:sz w:val="21"/>
          <w:szCs w:val="21"/>
        </w:rPr>
        <w:t>二、乙方责任：</w:t>
      </w:r>
    </w:p>
    <w:p w14:paraId="799D9094">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认真贯彻执行《中华人民共和国安全生产法》、《建设工程安全生产管理条例》等有关安全生产的法规政策。根据现场实际情况制订有效可行的安全与文明施工方案。及时处理施工过程中妨碍安全生产和文明施工的问题。</w:t>
      </w:r>
    </w:p>
    <w:p w14:paraId="163C6E8B">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2、建立健全安全组织管理机构，制订严格的安全管理制度和安全生产预案。现场施工人员全面掌握安全文明施工的方法和要领，安全生产文明施工责任人全过程进驻现场。应当健全安全生产制度，建立由法定代表人为第一责任人的责任体系，完善紧急救援措施，保证安全施工，做到“组织有保证，任务有要求，工作有检查，预防有措施”。</w:t>
      </w:r>
    </w:p>
    <w:p w14:paraId="5106B4A4">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3、建立严格的对易燃、易爆等危险品管理制度和使用规范，配备充足的安全防护物品和器具。</w:t>
      </w:r>
    </w:p>
    <w:p w14:paraId="695E5663">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4、施工现场设置醒目的安全标志和文明施工标语，做好施工现场的安全防护和围挡工作。施工前，乙方向职工介绍施工中有关安全、防火等规章制度及要求，提高职工的安全思想意识和自我保护能力，督促职工自觉遵守安全纪律、制度法规。乙方必须检查、督促施工人员严格遵守、认真执行。</w:t>
      </w:r>
    </w:p>
    <w:p w14:paraId="0C54537C">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5、机械设备、脚手架等设施，在搭设、安装完毕并按规定验收后方可使用，严禁在未检验或检验不合格情况下投入使用。</w:t>
      </w:r>
    </w:p>
    <w:p w14:paraId="7C3A1C90">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6、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11C79DF9">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7、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6601B9F9">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8、在施工中，应注意地下管线及高低压架空线路保护，甲方应详细交底，乙方应贯彻交底要求，如遇有情况，应及时和甲方联系，采取保护措施。</w:t>
      </w:r>
    </w:p>
    <w:p w14:paraId="51D754B5">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9、配备充足的安全防护物品和器具，监督施工人员自觉穿戴好安全防护用品。</w:t>
      </w:r>
    </w:p>
    <w:p w14:paraId="380E16C9">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 xml:space="preserve">10、施工人员应当按规定佩戴安全帽、挂设保险绳，应有效的控制施工过程中的扬尘、噪声和震动，按有关规定运输建筑材料、处置建筑渣土和各种废物。 </w:t>
      </w:r>
    </w:p>
    <w:p w14:paraId="38DD0000">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11、在建筑物施工时不得有下列行为：抛撒废料；将有毒有害废物作土方回填；泥浆水未经处理直接排入城市排水设施或河道；无符合规定装置而在施工现场熔融沥青或者焚烧油毡、油漆以及其它产生有毒有害烟尘和气体的物质；其它应当禁止的行为。</w:t>
      </w:r>
    </w:p>
    <w:p w14:paraId="42BEE50F">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 xml:space="preserve">12、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25C99127">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13、加强施工现场管理，完善各种安全防护设施，乙方承担施工过程中发生安全事故的全部责任和处罚。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42A73D7E">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14、乙方应组织做好拆除前所有移交房屋及现场安全看护工作，若因看护不力导致的安全事故等由乙方承担全部责任。同时，乙方应组织开展拆迁区域的安全巡查工作，对发现的安全隐患应及时向甲方报告以采取解决措施。</w:t>
      </w:r>
    </w:p>
    <w:p w14:paraId="0384E858">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15、承担施工过程中发生安全事故的全部责任和处罚。</w:t>
      </w:r>
    </w:p>
    <w:p w14:paraId="6632AB9B">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16、未注明事项，必须符合招标文件及国家相关法律、法规以及各级建设行政主管部门的相关要求。</w:t>
      </w:r>
    </w:p>
    <w:p w14:paraId="2B9206C3">
      <w:pPr>
        <w:spacing w:line="360" w:lineRule="auto"/>
        <w:ind w:firstLine="420" w:firstLineChars="200"/>
        <w:rPr>
          <w:rFonts w:hint="eastAsia" w:ascii="宋体" w:hAnsi="宋体" w:cs="宋体"/>
          <w:b/>
          <w:bCs/>
          <w:color w:val="000000"/>
          <w:sz w:val="21"/>
          <w:szCs w:val="21"/>
        </w:rPr>
      </w:pPr>
      <w:r>
        <w:rPr>
          <w:rFonts w:hint="eastAsia" w:ascii="宋体" w:hAnsi="宋体" w:cs="宋体"/>
          <w:color w:val="000000"/>
          <w:sz w:val="21"/>
          <w:szCs w:val="21"/>
        </w:rPr>
        <w:t>三、本责任书一式陆份，甲方执肆份、乙方执贰份，双方签字盖章后生效，工作完成后自动失效。</w:t>
      </w:r>
    </w:p>
    <w:p w14:paraId="7C68BDAC">
      <w:pPr>
        <w:tabs>
          <w:tab w:val="left" w:pos="180"/>
        </w:tabs>
        <w:spacing w:line="360" w:lineRule="auto"/>
        <w:ind w:left="-451" w:leftChars="-188" w:right="-883" w:rightChars="-368" w:firstLine="472" w:firstLineChars="225"/>
        <w:rPr>
          <w:rFonts w:hint="eastAsia" w:ascii="宋体" w:hAnsi="宋体" w:cs="宋体"/>
          <w:color w:val="000000"/>
          <w:sz w:val="21"/>
          <w:szCs w:val="21"/>
        </w:rPr>
      </w:pPr>
      <w:r>
        <w:rPr>
          <w:rFonts w:hint="eastAsia" w:ascii="宋体" w:hAnsi="宋体" w:cs="宋体"/>
          <w:color w:val="000000"/>
          <w:sz w:val="21"/>
          <w:szCs w:val="21"/>
        </w:rPr>
        <w:t xml:space="preserve">甲方责任人：(签字)   公章      </w:t>
      </w:r>
    </w:p>
    <w:p w14:paraId="34644111">
      <w:pPr>
        <w:tabs>
          <w:tab w:val="left" w:pos="180"/>
        </w:tabs>
        <w:spacing w:line="360" w:lineRule="auto"/>
        <w:ind w:left="-451" w:leftChars="-188" w:right="-883" w:rightChars="-368" w:firstLine="472" w:firstLineChars="225"/>
        <w:rPr>
          <w:rFonts w:hint="eastAsia" w:ascii="宋体" w:hAnsi="宋体" w:cs="宋体"/>
          <w:color w:val="000000"/>
          <w:sz w:val="21"/>
          <w:szCs w:val="21"/>
        </w:rPr>
      </w:pPr>
      <w:r>
        <w:rPr>
          <w:rFonts w:hint="eastAsia" w:ascii="宋体" w:hAnsi="宋体" w:cs="宋体"/>
          <w:color w:val="000000"/>
          <w:sz w:val="21"/>
          <w:szCs w:val="21"/>
        </w:rPr>
        <w:t>乙方责任人：(签字)    公章</w:t>
      </w:r>
    </w:p>
    <w:p w14:paraId="0E9932A5">
      <w:pPr>
        <w:rPr>
          <w:sz w:val="21"/>
          <w:szCs w:val="21"/>
        </w:rPr>
      </w:pPr>
      <w:r>
        <w:rPr>
          <w:rFonts w:hint="eastAsia" w:ascii="宋体" w:hAnsi="宋体" w:cs="宋体"/>
          <w:color w:val="000000"/>
          <w:sz w:val="21"/>
          <w:szCs w:val="21"/>
        </w:rPr>
        <w:t>年   月   日                     年   月   日</w:t>
      </w:r>
    </w:p>
    <w:p w14:paraId="0357BEC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200DB"/>
    <w:multiLevelType w:val="singleLevel"/>
    <w:tmpl w:val="133200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15D36"/>
    <w:rsid w:val="0808685C"/>
    <w:rsid w:val="0E2D4D8E"/>
    <w:rsid w:val="359D38D1"/>
    <w:rsid w:val="3AB51DB5"/>
    <w:rsid w:val="4A3A7609"/>
    <w:rsid w:val="57ED4310"/>
    <w:rsid w:val="62602D69"/>
    <w:rsid w:val="740379FC"/>
    <w:rsid w:val="77841E0E"/>
    <w:rsid w:val="7C4719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宋体" w:cs="宋体"/>
      <w:color w:val="333333"/>
      <w:sz w:val="24"/>
      <w:szCs w:val="24"/>
      <w:lang w:val="en-US" w:eastAsia="zh-CN" w:bidi="ar-SA"/>
    </w:rPr>
  </w:style>
  <w:style w:type="paragraph" w:styleId="2">
    <w:name w:val="heading 1"/>
    <w:basedOn w:val="1"/>
    <w:next w:val="3"/>
    <w:link w:val="9"/>
    <w:qFormat/>
    <w:uiPriority w:val="0"/>
    <w:pPr>
      <w:keepNext/>
      <w:keepLines/>
      <w:spacing w:before="120" w:after="120" w:line="360" w:lineRule="auto"/>
      <w:jc w:val="center"/>
      <w:outlineLvl w:val="0"/>
    </w:pPr>
    <w:rPr>
      <w:b/>
      <w:bCs/>
      <w:kern w:val="44"/>
      <w:sz w:val="44"/>
      <w:szCs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3">
    <w:name w:val="论文正文_0"/>
    <w:basedOn w:val="1"/>
    <w:qFormat/>
    <w:uiPriority w:val="0"/>
    <w:pPr>
      <w:adjustRightInd w:val="0"/>
      <w:spacing w:before="62" w:beforeLines="20"/>
      <w:ind w:left="480"/>
    </w:pPr>
  </w:style>
  <w:style w:type="paragraph" w:styleId="4">
    <w:name w:val="Normal Indent"/>
    <w:basedOn w:val="1"/>
    <w:qFormat/>
    <w:uiPriority w:val="0"/>
    <w:pPr>
      <w:ind w:firstLine="420"/>
    </w:pPr>
    <w:rPr>
      <w:rFonts w:cs="Times New Roman"/>
      <w:color w:val="auto"/>
      <w:kern w:val="2"/>
      <w:sz w:val="21"/>
    </w:rPr>
  </w:style>
  <w:style w:type="paragraph" w:styleId="5">
    <w:name w:val="Block Text"/>
    <w:basedOn w:val="1"/>
    <w:qFormat/>
    <w:uiPriority w:val="0"/>
    <w:pPr>
      <w:ind w:left="-526" w:leftChars="-188" w:right="-1030" w:rightChars="-368" w:firstLine="560" w:firstLineChars="200"/>
    </w:pPr>
    <w:rPr>
      <w:sz w:val="28"/>
    </w:rPr>
  </w:style>
  <w:style w:type="paragraph" w:customStyle="1" w:styleId="8">
    <w:name w:val="列表段落1"/>
    <w:basedOn w:val="1"/>
    <w:qFormat/>
    <w:uiPriority w:val="34"/>
    <w:pPr>
      <w:ind w:firstLine="420" w:firstLineChars="200"/>
    </w:pPr>
    <w:rPr>
      <w:rFonts w:ascii="Calibri" w:hAnsi="Calibri"/>
      <w:szCs w:val="22"/>
    </w:rPr>
  </w:style>
  <w:style w:type="character" w:customStyle="1" w:styleId="9">
    <w:name w:val="标题 1 Char"/>
    <w:link w:val="2"/>
    <w:qFormat/>
    <w:uiPriority w:val="0"/>
    <w:rPr>
      <w:b/>
      <w:bCs/>
      <w:kern w:val="44"/>
      <w:sz w:val="44"/>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3508</Words>
  <Characters>3610</Characters>
  <Lines>0</Lines>
  <Paragraphs>0</Paragraphs>
  <TotalTime>4</TotalTime>
  <ScaleCrop>false</ScaleCrop>
  <LinksUpToDate>false</LinksUpToDate>
  <CharactersWithSpaces>3968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2025-09-26T08:35:00Z</dcterms:created>
  <dc:creator>Administrator</dc:creator>
  <cp:lastModifiedBy>Administration</cp:lastModifiedBy>
  <dcterms:modified xsi:type="dcterms:W3CDTF">2026-06-09T03:36:47Z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eyJoZGlkIjoiZmU4MWFiMGYwZTBmNWZhZmJkZGJkNjhjYmM2ODJmZmIiLCJ1c2VySWQiOiIzMzI2NjYzMDYifQ==</vt:lpwstr>
  </property>
  <property fmtid="{D5CDD505-2E9C-101B-9397-08002B2CF9AE}" pid="4" name="ICV">
    <vt:lpwstr>B493E86B3D3246AC955BFFBB6C4AEE2F_13</vt:lpwstr>
  </property>
</Properties>
</file>