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版本号：RH采字【20260305】号20260515001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CCD耦合器采购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RH采字【20260305】号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CCD耦合器采购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RH采字【20260305】号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CCD耦合器采购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CCD耦合器设备采购，主要用于实现对大气成分要素高分辨率光谱检测和光谱成像，同时为仪器科学与技术、光学工程、环境科学等学科提供关键技术支撑，该设备还适用于遥感探测、环境科学等多个学科，能够促进学科交叉融合，提高科研水平和人才培养质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采购包1（CCD耦合器采购）：属于专门面向中小企业采购。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开户银行：工行西安城南科技支行(注明“项目编号+保证金”)</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CCD耦合器设备采购，主要用于实现对大气成分要素高分辨率光谱检测和光谱成像，同时为仪器科学与技术、光学工程、环境科学等学科提供关键技术支撑，该设备还适用于遥感探测、环境科学等多个学科，能够促进学科交叉融合，提高科研水平和人才培养质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CCD 耦合器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标的名称：CCD 耦合器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一、功能</w:t>
            </w:r>
            <w:r>
              <w:rPr>
                <w:rFonts w:ascii="仿宋_GB2312" w:hAnsi="仿宋_GB2312" w:cs="仿宋_GB2312" w:eastAsia="仿宋_GB2312"/>
                <w:sz w:val="21"/>
              </w:rPr>
              <w:t>要求</w:t>
            </w:r>
          </w:p>
          <w:p>
            <w:pPr>
              <w:pStyle w:val="null3"/>
              <w:ind w:firstLine="210"/>
              <w:jc w:val="both"/>
            </w:pPr>
            <w:r>
              <w:rPr>
                <w:rFonts w:ascii="仿宋_GB2312" w:hAnsi="仿宋_GB2312" w:cs="仿宋_GB2312" w:eastAsia="仿宋_GB2312"/>
                <w:sz w:val="21"/>
              </w:rPr>
              <w:t>★具有光谱检测和成像探测功能。</w:t>
            </w:r>
          </w:p>
          <w:p>
            <w:pPr>
              <w:pStyle w:val="null3"/>
              <w:jc w:val="both"/>
            </w:pPr>
            <w:r>
              <w:rPr>
                <w:rFonts w:ascii="仿宋_GB2312" w:hAnsi="仿宋_GB2312" w:cs="仿宋_GB2312" w:eastAsia="仿宋_GB2312"/>
                <w:sz w:val="21"/>
              </w:rPr>
              <w:t>二、技术参数</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b/>
              </w:rPr>
              <w:t>1.光谱检测：</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1.1光谱响应范围：2</w:t>
            </w:r>
            <w:r>
              <w:rPr>
                <w:rFonts w:ascii="仿宋_GB2312" w:hAnsi="仿宋_GB2312" w:cs="仿宋_GB2312" w:eastAsia="仿宋_GB2312"/>
                <w:sz w:val="21"/>
              </w:rPr>
              <w:t>00</w:t>
            </w:r>
            <w:r>
              <w:rPr>
                <w:rFonts w:ascii="仿宋_GB2312" w:hAnsi="仿宋_GB2312" w:cs="仿宋_GB2312" w:eastAsia="仿宋_GB2312"/>
                <w:sz w:val="21"/>
              </w:rPr>
              <w:t>~</w:t>
            </w:r>
            <w:r>
              <w:rPr>
                <w:rFonts w:ascii="仿宋_GB2312" w:hAnsi="仿宋_GB2312" w:cs="仿宋_GB2312" w:eastAsia="仿宋_GB2312"/>
                <w:sz w:val="21"/>
              </w:rPr>
              <w:t xml:space="preserve">900 </w:t>
            </w:r>
            <w:r>
              <w:rPr>
                <w:rFonts w:ascii="仿宋_GB2312" w:hAnsi="仿宋_GB2312" w:cs="仿宋_GB2312" w:eastAsia="仿宋_GB2312"/>
                <w:sz w:val="21"/>
              </w:rPr>
              <w:t>nm；</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1.2光谱分辨率：</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 xml:space="preserve">.02 </w:t>
            </w:r>
            <w:r>
              <w:rPr>
                <w:rFonts w:ascii="仿宋_GB2312" w:hAnsi="仿宋_GB2312" w:cs="仿宋_GB2312" w:eastAsia="仿宋_GB2312"/>
                <w:sz w:val="21"/>
              </w:rPr>
              <w:t>nm；</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1.3焦长：</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50 </w:t>
            </w:r>
            <w:r>
              <w:rPr>
                <w:rFonts w:ascii="仿宋_GB2312" w:hAnsi="仿宋_GB2312" w:cs="仿宋_GB2312" w:eastAsia="仿宋_GB2312"/>
                <w:sz w:val="21"/>
              </w:rPr>
              <w:t>mm</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1.4双入双出；</w:t>
            </w:r>
          </w:p>
          <w:p>
            <w:pPr>
              <w:pStyle w:val="null3"/>
              <w:jc w:val="both"/>
            </w:pPr>
            <w:r>
              <w:rPr>
                <w:rFonts w:ascii="仿宋_GB2312" w:hAnsi="仿宋_GB2312" w:cs="仿宋_GB2312" w:eastAsia="仿宋_GB2312"/>
                <w:sz w:val="21"/>
                <w:b/>
              </w:rPr>
              <w:t>2.成像探测：</w:t>
            </w:r>
          </w:p>
          <w:p>
            <w:pPr>
              <w:pStyle w:val="null3"/>
              <w:ind w:firstLine="210"/>
              <w:jc w:val="both"/>
            </w:pPr>
            <w:r>
              <w:rPr>
                <w:rFonts w:ascii="仿宋_GB2312" w:hAnsi="仿宋_GB2312" w:cs="仿宋_GB2312" w:eastAsia="仿宋_GB2312"/>
                <w:sz w:val="21"/>
              </w:rPr>
              <w:t>2.1波段范围200</w:t>
            </w:r>
            <w:r>
              <w:rPr>
                <w:rFonts w:ascii="仿宋_GB2312" w:hAnsi="仿宋_GB2312" w:cs="仿宋_GB2312" w:eastAsia="仿宋_GB2312"/>
                <w:sz w:val="21"/>
              </w:rPr>
              <w:t>~</w:t>
            </w:r>
            <w:r>
              <w:rPr>
                <w:rFonts w:ascii="仿宋_GB2312" w:hAnsi="仿宋_GB2312" w:cs="仿宋_GB2312" w:eastAsia="仿宋_GB2312"/>
                <w:sz w:val="21"/>
              </w:rPr>
              <w:t>900</w:t>
            </w:r>
            <w:r>
              <w:rPr>
                <w:rFonts w:ascii="仿宋_GB2312" w:hAnsi="仿宋_GB2312" w:cs="仿宋_GB2312" w:eastAsia="仿宋_GB2312"/>
                <w:sz w:val="21"/>
              </w:rPr>
              <w:t xml:space="preserve"> </w:t>
            </w:r>
            <w:r>
              <w:rPr>
                <w:rFonts w:ascii="仿宋_GB2312" w:hAnsi="仿宋_GB2312" w:cs="仿宋_GB2312" w:eastAsia="仿宋_GB2312"/>
                <w:sz w:val="21"/>
              </w:rPr>
              <w:t>nm；</w:t>
            </w:r>
          </w:p>
          <w:p>
            <w:pPr>
              <w:pStyle w:val="null3"/>
              <w:ind w:firstLine="210"/>
              <w:jc w:val="both"/>
            </w:pPr>
            <w:r>
              <w:rPr>
                <w:rFonts w:ascii="仿宋_GB2312" w:hAnsi="仿宋_GB2312" w:cs="仿宋_GB2312" w:eastAsia="仿宋_GB2312"/>
                <w:sz w:val="21"/>
              </w:rPr>
              <w:t>2.2成像分辨率：≥1600*1000；</w:t>
            </w:r>
          </w:p>
          <w:p>
            <w:pPr>
              <w:pStyle w:val="null3"/>
              <w:ind w:firstLine="210"/>
              <w:jc w:val="both"/>
            </w:pPr>
            <w:r>
              <w:rPr>
                <w:rFonts w:ascii="仿宋_GB2312" w:hAnsi="仿宋_GB2312" w:cs="仿宋_GB2312" w:eastAsia="仿宋_GB2312"/>
                <w:sz w:val="21"/>
              </w:rPr>
              <w:t>▲2.3全画幅采集帧率：≥</w:t>
            </w:r>
            <w:r>
              <w:rPr>
                <w:rFonts w:ascii="仿宋_GB2312" w:hAnsi="仿宋_GB2312" w:cs="仿宋_GB2312" w:eastAsia="仿宋_GB2312"/>
                <w:sz w:val="21"/>
              </w:rPr>
              <w:t xml:space="preserve">90 </w:t>
            </w:r>
            <w:r>
              <w:rPr>
                <w:rFonts w:ascii="仿宋_GB2312" w:hAnsi="仿宋_GB2312" w:cs="仿宋_GB2312" w:eastAsia="仿宋_GB2312"/>
                <w:sz w:val="21"/>
              </w:rPr>
              <w:t>fps；</w:t>
            </w:r>
          </w:p>
          <w:p>
            <w:pPr>
              <w:pStyle w:val="null3"/>
              <w:ind w:firstLine="210"/>
              <w:jc w:val="both"/>
            </w:pPr>
            <w:r>
              <w:rPr>
                <w:rFonts w:ascii="仿宋_GB2312" w:hAnsi="仿宋_GB2312" w:cs="仿宋_GB2312" w:eastAsia="仿宋_GB2312"/>
                <w:sz w:val="21"/>
              </w:rPr>
              <w:t>▲2.4像元尺寸:≥</w:t>
            </w:r>
            <w:r>
              <w:rPr>
                <w:rFonts w:ascii="仿宋_GB2312" w:hAnsi="仿宋_GB2312" w:cs="仿宋_GB2312" w:eastAsia="仿宋_GB2312"/>
                <w:sz w:val="21"/>
              </w:rPr>
              <w:t xml:space="preserve">9 </w:t>
            </w:r>
            <w:r>
              <w:rPr>
                <w:rFonts w:ascii="仿宋_GB2312" w:hAnsi="仿宋_GB2312" w:cs="仿宋_GB2312" w:eastAsia="仿宋_GB2312"/>
                <w:sz w:val="21"/>
              </w:rPr>
              <w:t>um；</w:t>
            </w:r>
          </w:p>
          <w:p>
            <w:pPr>
              <w:pStyle w:val="null3"/>
              <w:ind w:firstLine="210"/>
              <w:jc w:val="both"/>
            </w:pPr>
            <w:r>
              <w:rPr>
                <w:rFonts w:ascii="仿宋_GB2312" w:hAnsi="仿宋_GB2312" w:cs="仿宋_GB2312" w:eastAsia="仿宋_GB2312"/>
                <w:sz w:val="21"/>
              </w:rPr>
              <w:t>2.5像增强直径：≥18</w:t>
            </w:r>
            <w:r>
              <w:rPr>
                <w:rFonts w:ascii="仿宋_GB2312" w:hAnsi="仿宋_GB2312" w:cs="仿宋_GB2312" w:eastAsia="仿宋_GB2312"/>
                <w:sz w:val="21"/>
              </w:rPr>
              <w:t xml:space="preserve"> </w:t>
            </w:r>
            <w:r>
              <w:rPr>
                <w:rFonts w:ascii="仿宋_GB2312" w:hAnsi="仿宋_GB2312" w:cs="仿宋_GB2312" w:eastAsia="仿宋_GB2312"/>
                <w:sz w:val="21"/>
              </w:rPr>
              <w:t>mm；</w:t>
            </w:r>
          </w:p>
          <w:p>
            <w:pPr>
              <w:pStyle w:val="null3"/>
              <w:ind w:firstLine="210"/>
              <w:jc w:val="both"/>
            </w:pPr>
            <w:r>
              <w:rPr>
                <w:rFonts w:ascii="仿宋_GB2312" w:hAnsi="仿宋_GB2312" w:cs="仿宋_GB2312" w:eastAsia="仿宋_GB2312"/>
                <w:sz w:val="21"/>
              </w:rPr>
              <w:t>2.6荧光屏类型：P43；</w:t>
            </w:r>
          </w:p>
          <w:p>
            <w:pPr>
              <w:pStyle w:val="null3"/>
              <w:ind w:firstLine="210"/>
              <w:jc w:val="both"/>
            </w:pPr>
            <w:r>
              <w:rPr>
                <w:rFonts w:ascii="仿宋_GB2312" w:hAnsi="仿宋_GB2312" w:cs="仿宋_GB2312" w:eastAsia="仿宋_GB2312"/>
                <w:sz w:val="21"/>
              </w:rPr>
              <w:t>▲2.7光学快门：≤500ps；</w:t>
            </w:r>
          </w:p>
          <w:p>
            <w:pPr>
              <w:pStyle w:val="null3"/>
              <w:ind w:firstLine="210"/>
              <w:jc w:val="both"/>
            </w:pPr>
            <w:r>
              <w:rPr>
                <w:rFonts w:ascii="仿宋_GB2312" w:hAnsi="仿宋_GB2312" w:cs="仿宋_GB2312" w:eastAsia="仿宋_GB2312"/>
                <w:sz w:val="21"/>
              </w:rPr>
              <w:t>2.8能进行单光子计数和单光子累加成像；</w:t>
            </w:r>
          </w:p>
          <w:p>
            <w:pPr>
              <w:pStyle w:val="null3"/>
              <w:ind w:firstLine="210"/>
              <w:jc w:val="both"/>
            </w:pPr>
            <w:r>
              <w:rPr>
                <w:rFonts w:ascii="仿宋_GB2312" w:hAnsi="仿宋_GB2312" w:cs="仿宋_GB2312" w:eastAsia="仿宋_GB2312"/>
                <w:sz w:val="21"/>
              </w:rPr>
              <w:t>2.9光阴极重复频率：≥500</w:t>
            </w:r>
            <w:r>
              <w:rPr>
                <w:rFonts w:ascii="仿宋_GB2312" w:hAnsi="仿宋_GB2312" w:cs="仿宋_GB2312" w:eastAsia="仿宋_GB2312"/>
                <w:sz w:val="21"/>
              </w:rPr>
              <w:t xml:space="preserve"> </w:t>
            </w:r>
            <w:r>
              <w:rPr>
                <w:rFonts w:ascii="仿宋_GB2312" w:hAnsi="仿宋_GB2312" w:cs="仿宋_GB2312" w:eastAsia="仿宋_GB2312"/>
                <w:sz w:val="21"/>
              </w:rPr>
              <w:t>KHz；</w:t>
            </w:r>
          </w:p>
          <w:p>
            <w:pPr>
              <w:pStyle w:val="null3"/>
              <w:ind w:firstLine="210"/>
              <w:jc w:val="both"/>
            </w:pPr>
            <w:r>
              <w:rPr>
                <w:rFonts w:ascii="仿宋_GB2312" w:hAnsi="仿宋_GB2312" w:cs="仿宋_GB2312" w:eastAsia="仿宋_GB2312"/>
                <w:sz w:val="21"/>
              </w:rPr>
              <w:t>2.10外触发输入*1，触发输出*3，最小调整步距≤10ps，抖动≤35ps；</w:t>
            </w:r>
          </w:p>
          <w:p>
            <w:pPr>
              <w:pStyle w:val="null3"/>
              <w:ind w:firstLine="210"/>
              <w:jc w:val="both"/>
            </w:pPr>
            <w:r>
              <w:rPr>
                <w:rFonts w:ascii="仿宋_GB2312" w:hAnsi="仿宋_GB2312" w:cs="仿宋_GB2312" w:eastAsia="仿宋_GB2312"/>
                <w:sz w:val="21"/>
              </w:rPr>
              <w:t>2.11光阴极峰值量子效率≥15%，等效背景噪声：≤0.05ulx；</w:t>
            </w:r>
          </w:p>
          <w:p>
            <w:pPr>
              <w:pStyle w:val="null3"/>
              <w:ind w:firstLine="210"/>
              <w:jc w:val="both"/>
            </w:pPr>
            <w:r>
              <w:rPr>
                <w:rFonts w:ascii="仿宋_GB2312" w:hAnsi="仿宋_GB2312" w:cs="仿宋_GB2312" w:eastAsia="仿宋_GB2312"/>
                <w:sz w:val="21"/>
              </w:rPr>
              <w:t>2.12光学增益≥1,000倍，增益1-1,000倍连续可调；</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数据采集和处理</w:t>
            </w:r>
          </w:p>
          <w:p>
            <w:pPr>
              <w:pStyle w:val="null3"/>
            </w:pPr>
            <w:r>
              <w:rPr>
                <w:rFonts w:ascii="仿宋_GB2312" w:hAnsi="仿宋_GB2312" w:cs="仿宋_GB2312" w:eastAsia="仿宋_GB2312"/>
                <w:sz w:val="21"/>
              </w:rPr>
              <w:t>64</w:t>
            </w:r>
            <w:r>
              <w:rPr>
                <w:rFonts w:ascii="仿宋_GB2312" w:hAnsi="仿宋_GB2312" w:cs="仿宋_GB2312" w:eastAsia="仿宋_GB2312"/>
                <w:sz w:val="21"/>
              </w:rPr>
              <w:t>位数据采集处理系统</w:t>
            </w:r>
            <w:r>
              <w:rPr>
                <w:rFonts w:ascii="仿宋_GB2312" w:hAnsi="仿宋_GB2312" w:cs="仿宋_GB2312" w:eastAsia="仿宋_GB2312"/>
                <w:sz w:val="21"/>
              </w:rPr>
              <w:t>/</w:t>
            </w:r>
            <w:r>
              <w:rPr>
                <w:rFonts w:ascii="仿宋_GB2312" w:hAnsi="仿宋_GB2312" w:cs="仿宋_GB2312" w:eastAsia="仿宋_GB2312"/>
                <w:sz w:val="21"/>
              </w:rPr>
              <w:t>软件</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西安理工大学金花校区（已采购人指定位置为准）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确认书》后7个工作日内，向乙方支付全部合同款项。乙方应在甲方付款前，向甲方开具全额合法有效的增值税专用发票。（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国家/行业标准、规范（如GB、ISO、IEC等）。 （3）验收流程 ①到货初检（采购人、中标人共同参与）： 检查外包装完整性、防伪标识、运输损伤情况； 核对货物型号、数量、规格是否与合同一致； 检查随机文件（合格证、说明书、保修卡等）。 ②安装调试验收 设备安装符合甲方要求； 调试记录完整。 ③性能测试验收（关键指标实测） 连续运行72小时无故障；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产品质保：质保期不低于1年。质保期自甲方在货物质量验收合格之日起计算。质保期内出现任何非人为故意损坏的质量问题，由乙方包换或包退，并承担调换或退货的全部费用。 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【一】采购标的的专用工具、备品备件、安装调试及配套工程、质量保证、售后服务等要求： （1）专用工具 专用工具：提供专用维修工具包； （2）安装调试要求 安装标准：按照甲方指定地点安装且配件齐全； 调试周期：连续72小时无故障运行测试； 人员培训：设备调试完成后3个月内，需提供不少于2次的设备使用培训，并提供操作手册等培训资料。 （3）配套工程 投标人负责设备安装、调试所需全部工作，包含安装设备各种工具等。 （4）质量保证 质量追溯：提供货物来源证明及质量检验报告； 货物要求：以采购人的要求为准，为采购人提供全新的货物（包括零部件）。 （5）售后服务 响应时限：4小时响应，24小时提供解决方案。 【二】纸质投标文件要求： （1）中标单位应在中标结果公告发布后5个工作日内提供纸质投标文件三份（正本壹份、副本贰份，分别胶装），投标文件需包含目录、无少页、缺页、连续页码（或单独使用打码器打码）。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3项）并提供佐证材料（佐证材料例如：国家认可的检测机构出具的检测报告、制造商出具的参数证明文件、产品彩页、官网功能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产品选型符合使用需求，配置完整合理，其型号、技术参数清晰明确，根据投标产品的技术指标和性能对招标文件的响应程度计分。产品整体功能或技术参数完全满足招标文件要求计40分，如有负偏离按以下说明扣分。 1.技术参数要求中标“▲”项（5项）重要要求，满分20分，每负偏离一项扣4分； 2.技术参数要求中非标“★”、“▲”项（10项），满分20分，每负偏离一项扣2分。 备注：所有“▲”项参数须有佐证材料，佐证材料例如：国家认可的检测机构出具的检测报告、制造商出具的参数证明文件、产品彩页、官网功能截图任意一种，不提供或缺漏项视为负偏离。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①供货组织及进度安排：每完全满足一个评审标准得1分，满分3分； ②对接及运输方案:每完全满足一个评审标准得1分，满分3分； ③安装调试方案:每完全满足一个评审标准得1分，满分3分； ④人员、物力调配安排：每完全满足一个评审标准得1分，满分3分。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投标人提供所投产品（CCD耦合器）的合法来源渠道证明文件或情况说明，满分3分。投标人可根据自身情况提供以下资料中的任意一种：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投标人需针对本项目提供项目售后服务方案。内容包含：①售后服务范围②响应时间及方式③故障处理及补救措施④定期回访及维护。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提供2023年5月1日至投标文件递交截止时间止投标人独立承担过类似产品的销售业绩或供货商销售业绩（以合同签订日期为准），每份合格业绩计2分，满分6分。 备注：需提供业绩完整合同及对应货款发票复印件（任意一张）并加盖投标人公章，以上两种证明材料同时提供方可得分，否则不得分。未提供或不清晰导致无法识别的不得分。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承诺质保期在满足招标文件（1年）要求的基础上，每增加一年得1，满3分。无承诺不得分。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有效投标人的最低报价为评标基准价得30分，其他各投标人的报价得分按下列公式计算：（评标基准价/投标报价）×30％×100。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详见附件：质保期.docx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