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E7C8B">
      <w:pPr>
        <w:keepNext w:val="0"/>
        <w:keepLines w:val="0"/>
        <w:pageBreakBefore w:val="0"/>
        <w:widowControl w:val="0"/>
        <w:kinsoku/>
        <w:wordWrap/>
        <w:overflowPunct/>
        <w:topLinePunct w:val="0"/>
        <w:autoSpaceDE/>
        <w:autoSpaceDN/>
        <w:bidi w:val="0"/>
        <w:snapToGrid w:val="0"/>
        <w:spacing w:line="600" w:lineRule="exact"/>
        <w:ind w:firstLine="645"/>
        <w:jc w:val="center"/>
        <w:textAlignment w:val="auto"/>
        <w:outlineLvl w:val="0"/>
        <w:rPr>
          <w:rFonts w:hint="default" w:ascii="仿宋" w:hAnsi="仿宋" w:eastAsia="方正小标宋简体" w:cs="仿宋"/>
          <w:sz w:val="32"/>
          <w:szCs w:val="32"/>
          <w:lang w:val="en-US" w:eastAsia="zh-CN"/>
        </w:rPr>
      </w:pPr>
      <w:r>
        <w:rPr>
          <w:rFonts w:hint="eastAsia" w:ascii="方正小标宋简体" w:hAnsi="方正小标宋简体" w:eastAsia="方正小标宋简体" w:cs="方正小标宋简体"/>
          <w:bCs/>
          <w:sz w:val="44"/>
          <w:szCs w:val="44"/>
        </w:rPr>
        <w:t>西乡县2026年野生动物致害保险保费补贴项目</w:t>
      </w:r>
      <w:r>
        <w:rPr>
          <w:rFonts w:hint="eastAsia" w:ascii="方正小标宋简体" w:hAnsi="方正小标宋简体" w:eastAsia="方正小标宋简体" w:cs="方正小标宋简体"/>
          <w:bCs/>
          <w:sz w:val="44"/>
          <w:szCs w:val="44"/>
          <w:lang w:val="en-US" w:eastAsia="zh-CN"/>
        </w:rPr>
        <w:t>购买服务方案</w:t>
      </w:r>
    </w:p>
    <w:p w14:paraId="048A0DDA">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29C90B5B">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仿宋_GB2312" w:hAnsi="仿宋_GB2312" w:eastAsia="黑体" w:cs="仿宋_GB2312"/>
          <w:b w:val="0"/>
          <w:bCs w:val="0"/>
          <w:sz w:val="32"/>
          <w:szCs w:val="32"/>
          <w:shd w:val="clear" w:color="auto" w:fill="FFFFFF"/>
          <w:lang w:val="en-US" w:eastAsia="zh-CN"/>
        </w:rPr>
      </w:pPr>
      <w:r>
        <w:rPr>
          <w:rFonts w:hint="eastAsia" w:ascii="黑体" w:hAnsi="黑体" w:eastAsia="黑体" w:cs="黑体"/>
          <w:b w:val="0"/>
          <w:bCs w:val="0"/>
          <w:sz w:val="32"/>
          <w:szCs w:val="32"/>
          <w:shd w:val="clear" w:color="auto" w:fill="FFFFFF"/>
          <w:lang w:val="en-US" w:eastAsia="zh-CN"/>
        </w:rPr>
        <w:t>一</w:t>
      </w:r>
      <w:r>
        <w:rPr>
          <w:rFonts w:hint="eastAsia" w:ascii="黑体" w:hAnsi="黑体" w:eastAsia="黑体" w:cs="黑体"/>
          <w:b w:val="0"/>
          <w:bCs w:val="0"/>
          <w:sz w:val="32"/>
          <w:szCs w:val="32"/>
          <w:shd w:val="clear" w:color="auto" w:fill="FFFFFF"/>
        </w:rPr>
        <w:t>、</w:t>
      </w:r>
      <w:r>
        <w:rPr>
          <w:rFonts w:hint="eastAsia" w:ascii="黑体" w:hAnsi="黑体" w:eastAsia="黑体" w:cs="黑体"/>
          <w:b w:val="0"/>
          <w:bCs w:val="0"/>
          <w:sz w:val="32"/>
          <w:szCs w:val="32"/>
          <w:shd w:val="clear" w:color="auto" w:fill="FFFFFF"/>
          <w:lang w:val="en-US" w:eastAsia="zh-CN"/>
        </w:rPr>
        <w:t>保险内容</w:t>
      </w:r>
    </w:p>
    <w:p w14:paraId="1AA4B399">
      <w:pPr>
        <w:keepNext w:val="0"/>
        <w:keepLines w:val="0"/>
        <w:pageBreakBefore w:val="0"/>
        <w:widowControl w:val="0"/>
        <w:kinsoku/>
        <w:wordWrap/>
        <w:overflowPunct/>
        <w:topLinePunct w:val="0"/>
        <w:autoSpaceDE/>
        <w:autoSpaceDN/>
        <w:bidi w:val="0"/>
        <w:spacing w:line="600" w:lineRule="exact"/>
        <w:ind w:firstLine="640" w:firstLineChars="200"/>
        <w:jc w:val="left"/>
        <w:textAlignment w:val="auto"/>
        <w:rPr>
          <w:rFonts w:hint="eastAsia" w:ascii="仿宋" w:hAnsi="仿宋" w:eastAsia="仿宋" w:cs="仿宋"/>
          <w:b/>
          <w:bCs/>
          <w:sz w:val="22"/>
          <w:szCs w:val="22"/>
          <w:shd w:val="clear" w:color="auto" w:fill="FFFFFF"/>
        </w:rPr>
      </w:pPr>
      <w:r>
        <w:rPr>
          <w:rFonts w:hint="eastAsia" w:ascii="仿宋_GB2312" w:hAnsi="仿宋_GB2312" w:eastAsia="仿宋_GB2312" w:cs="仿宋_GB2312"/>
          <w:b w:val="0"/>
          <w:bCs w:val="0"/>
          <w:sz w:val="32"/>
          <w:szCs w:val="32"/>
          <w:shd w:val="clear" w:color="auto" w:fill="FFFFFF"/>
          <w:lang w:val="en-US" w:eastAsia="zh-CN"/>
        </w:rPr>
        <w:t>西乡</w:t>
      </w:r>
      <w:r>
        <w:rPr>
          <w:rFonts w:hint="eastAsia" w:ascii="仿宋_GB2312" w:hAnsi="仿宋_GB2312" w:eastAsia="仿宋_GB2312" w:cs="仿宋_GB2312"/>
          <w:b w:val="0"/>
          <w:bCs w:val="0"/>
          <w:sz w:val="32"/>
          <w:szCs w:val="32"/>
          <w:shd w:val="clear" w:color="auto" w:fill="FFFFFF"/>
        </w:rPr>
        <w:t>县在册</w:t>
      </w:r>
      <w:r>
        <w:rPr>
          <w:rFonts w:hint="eastAsia" w:ascii="仿宋_GB2312" w:hAnsi="仿宋_GB2312" w:eastAsia="仿宋_GB2312" w:cs="仿宋_GB2312"/>
          <w:b w:val="0"/>
          <w:bCs w:val="0"/>
          <w:sz w:val="32"/>
          <w:szCs w:val="32"/>
          <w:shd w:val="clear" w:color="auto" w:fill="FFFFFF"/>
          <w:lang w:val="en-US" w:eastAsia="zh-CN"/>
        </w:rPr>
        <w:t>及</w:t>
      </w:r>
      <w:r>
        <w:rPr>
          <w:rFonts w:hint="eastAsia" w:ascii="仿宋_GB2312" w:hAnsi="仿宋_GB2312" w:eastAsia="仿宋_GB2312" w:cs="仿宋_GB2312"/>
          <w:b w:val="0"/>
          <w:bCs w:val="0"/>
          <w:sz w:val="32"/>
          <w:szCs w:val="32"/>
          <w:shd w:val="clear" w:color="auto" w:fill="FFFFFF"/>
        </w:rPr>
        <w:t>户籍人员以及其他在本县境内活动的流动人员。本县农户以及在本县境内生产经营的种植业作物遭受野生动物侵害的损失以及圈养牲畜遭受野生动物侵害致死的损失责任。</w:t>
      </w:r>
    </w:p>
    <w:p w14:paraId="4C725A3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黑体" w:cs="仿宋_GB2312"/>
          <w:b w:val="0"/>
          <w:bCs w:val="0"/>
          <w:sz w:val="32"/>
          <w:szCs w:val="32"/>
          <w:shd w:val="clear" w:color="auto" w:fill="FFFFFF"/>
          <w:lang w:val="en-US" w:eastAsia="zh-CN"/>
        </w:rPr>
      </w:pPr>
      <w:r>
        <w:rPr>
          <w:rFonts w:hint="eastAsia" w:ascii="黑体" w:hAnsi="黑体" w:eastAsia="黑体" w:cs="黑体"/>
          <w:b w:val="0"/>
          <w:bCs w:val="0"/>
          <w:sz w:val="32"/>
          <w:szCs w:val="32"/>
          <w:shd w:val="clear" w:color="auto" w:fill="FFFFFF"/>
          <w:lang w:eastAsia="zh-CN"/>
        </w:rPr>
        <w:t>二</w:t>
      </w:r>
      <w:r>
        <w:rPr>
          <w:rFonts w:hint="eastAsia" w:ascii="黑体" w:hAnsi="黑体" w:eastAsia="黑体" w:cs="黑体"/>
          <w:b w:val="0"/>
          <w:bCs w:val="0"/>
          <w:sz w:val="32"/>
          <w:szCs w:val="32"/>
          <w:shd w:val="clear" w:color="auto" w:fill="FFFFFF"/>
        </w:rPr>
        <w:t>、</w:t>
      </w:r>
      <w:r>
        <w:rPr>
          <w:rFonts w:hint="eastAsia" w:ascii="黑体" w:hAnsi="黑体" w:eastAsia="黑体" w:cs="黑体"/>
          <w:b w:val="0"/>
          <w:bCs w:val="0"/>
          <w:sz w:val="32"/>
          <w:szCs w:val="32"/>
          <w:shd w:val="clear" w:color="auto" w:fill="FFFFFF"/>
          <w:lang w:eastAsia="zh-CN"/>
        </w:rPr>
        <w:t>保障责任对象及范围</w:t>
      </w:r>
    </w:p>
    <w:p w14:paraId="225CA36E">
      <w:pPr>
        <w:keepNext w:val="0"/>
        <w:keepLines w:val="0"/>
        <w:pageBreakBefore w:val="0"/>
        <w:widowControl w:val="0"/>
        <w:numPr>
          <w:ilvl w:val="0"/>
          <w:numId w:val="0"/>
        </w:numPr>
        <w:kinsoku/>
        <w:wordWrap/>
        <w:overflowPunct/>
        <w:topLinePunct w:val="0"/>
        <w:autoSpaceDE/>
        <w:autoSpaceDN/>
        <w:bidi w:val="0"/>
        <w:spacing w:line="600" w:lineRule="exact"/>
        <w:ind w:firstLine="640" w:firstLineChars="200"/>
        <w:jc w:val="left"/>
        <w:textAlignment w:val="auto"/>
        <w:rPr>
          <w:rFonts w:hint="eastAsia" w:ascii="仿宋_GB2312" w:hAnsi="仿宋_GB2312" w:eastAsia="仿宋_GB2312" w:cs="仿宋_GB2312"/>
          <w:b w:val="0"/>
          <w:bCs w:val="0"/>
          <w:sz w:val="32"/>
          <w:szCs w:val="32"/>
          <w:shd w:val="clear" w:color="auto" w:fill="FFFFFF"/>
        </w:rPr>
      </w:pPr>
      <w:r>
        <w:rPr>
          <w:rFonts w:hint="eastAsia" w:ascii="仿宋_GB2312" w:hAnsi="仿宋_GB2312" w:eastAsia="仿宋_GB2312" w:cs="仿宋_GB2312"/>
          <w:b w:val="0"/>
          <w:bCs w:val="0"/>
          <w:sz w:val="32"/>
          <w:szCs w:val="32"/>
          <w:shd w:val="clear" w:color="auto" w:fill="FFFFFF"/>
          <w:lang w:val="en-US" w:eastAsia="zh-CN"/>
        </w:rPr>
        <w:t>1.</w:t>
      </w:r>
      <w:r>
        <w:rPr>
          <w:rFonts w:hint="eastAsia" w:ascii="仿宋_GB2312" w:hAnsi="仿宋_GB2312" w:eastAsia="仿宋_GB2312" w:cs="仿宋_GB2312"/>
          <w:b w:val="0"/>
          <w:bCs w:val="0"/>
          <w:sz w:val="32"/>
          <w:szCs w:val="32"/>
          <w:shd w:val="clear" w:color="auto" w:fill="FFFFFF"/>
        </w:rPr>
        <w:t>人身伤害保障人群:本县所有在册的户籍人员以及其他在本县境内活动的流动人员。</w:t>
      </w:r>
    </w:p>
    <w:p w14:paraId="1B9F26C8">
      <w:pPr>
        <w:keepNext w:val="0"/>
        <w:keepLines w:val="0"/>
        <w:pageBreakBefore w:val="0"/>
        <w:widowControl w:val="0"/>
        <w:kinsoku/>
        <w:wordWrap/>
        <w:overflowPunct/>
        <w:topLinePunct w:val="0"/>
        <w:autoSpaceDE/>
        <w:autoSpaceDN/>
        <w:bidi w:val="0"/>
        <w:spacing w:line="600" w:lineRule="exact"/>
        <w:ind w:firstLine="640" w:firstLineChars="200"/>
        <w:jc w:val="left"/>
        <w:textAlignment w:val="auto"/>
        <w:rPr>
          <w:rFonts w:hint="eastAsia" w:ascii="仿宋_GB2312" w:hAnsi="仿宋_GB2312" w:eastAsia="仿宋_GB2312" w:cs="仿宋_GB2312"/>
          <w:b w:val="0"/>
          <w:bCs w:val="0"/>
          <w:sz w:val="32"/>
          <w:szCs w:val="32"/>
          <w:shd w:val="clear" w:color="auto" w:fill="FFFFFF"/>
        </w:rPr>
      </w:pPr>
      <w:r>
        <w:rPr>
          <w:rFonts w:hint="eastAsia" w:ascii="仿宋_GB2312" w:hAnsi="仿宋_GB2312" w:eastAsia="仿宋_GB2312" w:cs="仿宋_GB2312"/>
          <w:b w:val="0"/>
          <w:bCs w:val="0"/>
          <w:sz w:val="32"/>
          <w:szCs w:val="32"/>
          <w:shd w:val="clear" w:color="auto" w:fill="FFFFFF"/>
          <w:lang w:val="en-US" w:eastAsia="zh-CN"/>
        </w:rPr>
        <w:t>2.</w:t>
      </w:r>
      <w:r>
        <w:rPr>
          <w:rFonts w:hint="eastAsia" w:ascii="仿宋_GB2312" w:hAnsi="仿宋_GB2312" w:eastAsia="仿宋_GB2312" w:cs="仿宋_GB2312"/>
          <w:b w:val="0"/>
          <w:bCs w:val="0"/>
          <w:sz w:val="32"/>
          <w:szCs w:val="32"/>
          <w:shd w:val="clear" w:color="auto" w:fill="FFFFFF"/>
        </w:rPr>
        <w:t>财产损失责任保障范围:本县农户以及在本县境内生产经营的种植业作物遭受野生动物侵害的损失以及圈养牲畜遭受野生动物侵害致死的损失责任。</w:t>
      </w:r>
    </w:p>
    <w:p w14:paraId="39046BDA">
      <w:pPr>
        <w:keepNext w:val="0"/>
        <w:keepLines w:val="0"/>
        <w:pageBreakBefore w:val="0"/>
        <w:widowControl w:val="0"/>
        <w:kinsoku/>
        <w:wordWrap/>
        <w:overflowPunct/>
        <w:topLinePunct w:val="0"/>
        <w:autoSpaceDE/>
        <w:autoSpaceDN/>
        <w:bidi w:val="0"/>
        <w:spacing w:line="600" w:lineRule="exact"/>
        <w:ind w:firstLine="640" w:firstLineChars="200"/>
        <w:jc w:val="left"/>
        <w:textAlignment w:val="auto"/>
        <w:rPr>
          <w:rFonts w:hint="eastAsia" w:ascii="仿宋_GB2312" w:hAnsi="仿宋_GB2312" w:eastAsia="仿宋_GB2312" w:cs="仿宋_GB2312"/>
          <w:b w:val="0"/>
          <w:bCs w:val="0"/>
          <w:sz w:val="32"/>
          <w:szCs w:val="32"/>
          <w:shd w:val="clear" w:color="auto" w:fill="FFFFFF"/>
          <w:lang w:val="en-US" w:eastAsia="zh-CN"/>
        </w:rPr>
      </w:pPr>
      <w:r>
        <w:rPr>
          <w:rFonts w:hint="eastAsia" w:ascii="仿宋_GB2312" w:hAnsi="仿宋_GB2312" w:eastAsia="仿宋_GB2312" w:cs="仿宋_GB2312"/>
          <w:b w:val="0"/>
          <w:bCs w:val="0"/>
          <w:sz w:val="32"/>
          <w:szCs w:val="32"/>
          <w:shd w:val="clear" w:color="auto" w:fill="FFFFFF"/>
          <w:lang w:val="en-US" w:eastAsia="zh-CN"/>
        </w:rPr>
        <w:t>3.野生动物范围</w:t>
      </w:r>
    </w:p>
    <w:p w14:paraId="0D3EA76B">
      <w:pPr>
        <w:keepNext w:val="0"/>
        <w:keepLines w:val="0"/>
        <w:pageBreakBefore w:val="0"/>
        <w:widowControl w:val="0"/>
        <w:kinsoku/>
        <w:wordWrap/>
        <w:overflowPunct/>
        <w:topLinePunct w:val="0"/>
        <w:autoSpaceDE/>
        <w:autoSpaceDN/>
        <w:bidi w:val="0"/>
        <w:spacing w:line="600" w:lineRule="exact"/>
        <w:ind w:firstLine="640" w:firstLineChars="200"/>
        <w:jc w:val="left"/>
        <w:textAlignment w:val="auto"/>
        <w:rPr>
          <w:rFonts w:hint="eastAsia" w:ascii="黑体" w:hAnsi="黑体" w:eastAsia="黑体" w:cs="黑体"/>
          <w:b w:val="0"/>
          <w:bCs w:val="0"/>
          <w:sz w:val="32"/>
          <w:szCs w:val="32"/>
          <w:shd w:val="clear" w:color="auto" w:fill="FFFFFF"/>
          <w:lang w:val="en-US" w:eastAsia="zh-CN"/>
        </w:rPr>
      </w:pPr>
      <w:r>
        <w:rPr>
          <w:rFonts w:hint="eastAsia" w:ascii="仿宋_GB2312" w:hAnsi="仿宋_GB2312" w:eastAsia="仿宋_GB2312" w:cs="仿宋_GB2312"/>
          <w:b w:val="0"/>
          <w:bCs w:val="0"/>
          <w:sz w:val="32"/>
          <w:szCs w:val="32"/>
          <w:shd w:val="clear" w:color="auto" w:fill="FFFFFF"/>
          <w:lang w:val="en-US" w:eastAsia="zh-CN"/>
        </w:rPr>
        <w:t>野生动物范围由被保险人根据国家和地方野生动物名录确定，包括“三有”动物、野猪等。</w:t>
      </w:r>
    </w:p>
    <w:p w14:paraId="1AA9023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eastAsia="zh-CN"/>
        </w:rPr>
      </w:pPr>
      <w:r>
        <w:rPr>
          <w:rFonts w:hint="eastAsia" w:ascii="黑体" w:hAnsi="黑体" w:eastAsia="黑体" w:cs="黑体"/>
          <w:b w:val="0"/>
          <w:bCs w:val="0"/>
          <w:sz w:val="32"/>
          <w:szCs w:val="32"/>
          <w:shd w:val="clear" w:color="auto" w:fill="FFFFFF"/>
          <w:lang w:val="en-US" w:eastAsia="zh-CN"/>
        </w:rPr>
        <w:t>三、</w:t>
      </w:r>
      <w:r>
        <w:rPr>
          <w:rFonts w:hint="eastAsia" w:ascii="黑体" w:hAnsi="黑体" w:eastAsia="黑体" w:cs="黑体"/>
          <w:b w:val="0"/>
          <w:bCs w:val="0"/>
          <w:sz w:val="32"/>
          <w:szCs w:val="32"/>
          <w:shd w:val="clear" w:color="auto" w:fill="FFFFFF"/>
          <w:lang w:eastAsia="zh-CN"/>
        </w:rPr>
        <w:t>供应商资格要求：</w:t>
      </w:r>
    </w:p>
    <w:p w14:paraId="13817889">
      <w:pPr>
        <w:pStyle w:val="34"/>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具有国家金融监督管理总局（原中国银行保险监督管理委员会）颁发的经营保险业务许可证或保险许可证。</w:t>
      </w:r>
    </w:p>
    <w:p w14:paraId="78CDD8C3">
      <w:pPr>
        <w:pStyle w:val="34"/>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2、具有</w:t>
      </w:r>
      <w:r>
        <w:rPr>
          <w:rFonts w:hint="eastAsia" w:ascii="仿宋_GB2312" w:hAnsi="仿宋_GB2312" w:eastAsia="仿宋_GB2312" w:cs="仿宋_GB2312"/>
          <w:sz w:val="32"/>
          <w:szCs w:val="32"/>
          <w:lang w:val="en-US" w:eastAsia="zh-CN"/>
        </w:rPr>
        <w:t>独立承担民事</w:t>
      </w:r>
      <w:r>
        <w:rPr>
          <w:rFonts w:hint="eastAsia" w:ascii="仿宋_GB2312" w:hAnsi="仿宋_GB2312" w:eastAsia="仿宋_GB2312" w:cs="仿宋_GB2312"/>
          <w:sz w:val="32"/>
          <w:szCs w:val="32"/>
        </w:rPr>
        <w:t>责任能⼒的法⼈、其他组织或</w:t>
      </w:r>
      <w:r>
        <w:rPr>
          <w:rFonts w:hint="eastAsia" w:ascii="仿宋_GB2312" w:hAnsi="仿宋_GB2312" w:eastAsia="仿宋_GB2312" w:cs="仿宋_GB2312"/>
          <w:sz w:val="32"/>
          <w:szCs w:val="32"/>
          <w:lang w:val="en-US" w:eastAsia="zh-CN"/>
        </w:rPr>
        <w:t>自然人</w:t>
      </w:r>
      <w:r>
        <w:rPr>
          <w:rFonts w:hint="eastAsia" w:ascii="仿宋_GB2312" w:hAnsi="仿宋_GB2312" w:eastAsia="仿宋_GB2312" w:cs="仿宋_GB2312"/>
          <w:sz w:val="32"/>
          <w:szCs w:val="32"/>
        </w:rPr>
        <w:t>，并出具合法有效的营业执照或事业单位法⼈证等国家规定的相关证明，</w:t>
      </w:r>
      <w:r>
        <w:rPr>
          <w:rFonts w:hint="eastAsia" w:ascii="仿宋_GB2312" w:hAnsi="仿宋_GB2312" w:eastAsia="仿宋_GB2312" w:cs="仿宋_GB2312"/>
          <w:sz w:val="32"/>
          <w:szCs w:val="32"/>
          <w:lang w:val="en-US" w:eastAsia="zh-CN"/>
        </w:rPr>
        <w:t>自然人</w:t>
      </w:r>
      <w:r>
        <w:rPr>
          <w:rFonts w:hint="eastAsia" w:ascii="仿宋_GB2312" w:hAnsi="仿宋_GB2312" w:eastAsia="仿宋_GB2312" w:cs="仿宋_GB2312"/>
          <w:sz w:val="32"/>
          <w:szCs w:val="32"/>
        </w:rPr>
        <w:t>参与的提供其</w:t>
      </w:r>
      <w:r>
        <w:rPr>
          <w:rFonts w:hint="eastAsia" w:ascii="仿宋_GB2312" w:hAnsi="仿宋_GB2312" w:eastAsia="仿宋_GB2312" w:cs="仿宋_GB2312"/>
          <w:sz w:val="32"/>
          <w:szCs w:val="32"/>
          <w:lang w:val="en-US" w:eastAsia="zh-CN"/>
        </w:rPr>
        <w:t>身份</w:t>
      </w:r>
      <w:r>
        <w:rPr>
          <w:rFonts w:hint="eastAsia" w:ascii="仿宋_GB2312" w:hAnsi="仿宋_GB2312" w:eastAsia="仿宋_GB2312" w:cs="仿宋_GB2312"/>
          <w:sz w:val="32"/>
          <w:szCs w:val="32"/>
        </w:rPr>
        <w:t>证明。（同一保险机构只允许其本部或一家分支机构参与）</w:t>
      </w:r>
    </w:p>
    <w:p w14:paraId="364ADBAD">
      <w:pPr>
        <w:pStyle w:val="34"/>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3、法定代表⼈（或</w:t>
      </w:r>
      <w:r>
        <w:rPr>
          <w:rFonts w:hint="eastAsia" w:ascii="仿宋_GB2312" w:hAnsi="仿宋_GB2312" w:eastAsia="仿宋_GB2312" w:cs="仿宋_GB2312"/>
          <w:sz w:val="32"/>
          <w:szCs w:val="32"/>
          <w:lang w:val="en-US" w:eastAsia="zh-CN"/>
        </w:rPr>
        <w:t>分支</w:t>
      </w:r>
      <w:r>
        <w:rPr>
          <w:rFonts w:hint="eastAsia" w:ascii="仿宋_GB2312" w:hAnsi="仿宋_GB2312" w:eastAsia="仿宋_GB2312" w:cs="仿宋_GB2312"/>
          <w:sz w:val="32"/>
          <w:szCs w:val="32"/>
        </w:rPr>
        <w:t>机构负责⼈）</w:t>
      </w:r>
      <w:r>
        <w:rPr>
          <w:rFonts w:hint="eastAsia" w:ascii="仿宋_GB2312" w:hAnsi="仿宋_GB2312" w:eastAsia="仿宋_GB2312" w:cs="仿宋_GB2312"/>
          <w:sz w:val="32"/>
          <w:szCs w:val="32"/>
          <w:lang w:val="en-US" w:eastAsia="zh-CN"/>
        </w:rPr>
        <w:t>身份</w:t>
      </w:r>
      <w:r>
        <w:rPr>
          <w:rFonts w:hint="eastAsia" w:ascii="仿宋_GB2312" w:hAnsi="仿宋_GB2312" w:eastAsia="仿宋_GB2312" w:cs="仿宋_GB2312"/>
          <w:sz w:val="32"/>
          <w:szCs w:val="32"/>
        </w:rPr>
        <w:t>证明或授权委托书：法定代表⼈（或</w:t>
      </w:r>
      <w:r>
        <w:rPr>
          <w:rFonts w:hint="eastAsia" w:ascii="仿宋_GB2312" w:hAnsi="仿宋_GB2312" w:eastAsia="仿宋_GB2312" w:cs="仿宋_GB2312"/>
          <w:sz w:val="32"/>
          <w:szCs w:val="32"/>
          <w:lang w:val="en-US" w:eastAsia="zh-CN"/>
        </w:rPr>
        <w:t>分支</w:t>
      </w:r>
      <w:r>
        <w:rPr>
          <w:rFonts w:hint="eastAsia" w:ascii="仿宋_GB2312" w:hAnsi="仿宋_GB2312" w:eastAsia="仿宋_GB2312" w:cs="仿宋_GB2312"/>
          <w:sz w:val="32"/>
          <w:szCs w:val="32"/>
        </w:rPr>
        <w:t>机构负责⼈）参加投标须提供《法定 代表⼈（或</w:t>
      </w:r>
      <w:r>
        <w:rPr>
          <w:rFonts w:hint="eastAsia" w:ascii="仿宋_GB2312" w:hAnsi="仿宋_GB2312" w:eastAsia="仿宋_GB2312" w:cs="仿宋_GB2312"/>
          <w:sz w:val="32"/>
          <w:szCs w:val="32"/>
          <w:lang w:val="en-US" w:eastAsia="zh-CN"/>
        </w:rPr>
        <w:t>分支</w:t>
      </w:r>
      <w:r>
        <w:rPr>
          <w:rFonts w:hint="eastAsia" w:ascii="仿宋_GB2312" w:hAnsi="仿宋_GB2312" w:eastAsia="仿宋_GB2312" w:cs="仿宋_GB2312"/>
          <w:sz w:val="32"/>
          <w:szCs w:val="32"/>
        </w:rPr>
        <w:t>机构负责⼈）</w:t>
      </w:r>
      <w:r>
        <w:rPr>
          <w:rFonts w:hint="eastAsia" w:ascii="仿宋_GB2312" w:hAnsi="仿宋_GB2312" w:eastAsia="仿宋_GB2312" w:cs="仿宋_GB2312"/>
          <w:sz w:val="32"/>
          <w:szCs w:val="32"/>
          <w:lang w:val="en-US" w:eastAsia="zh-CN"/>
        </w:rPr>
        <w:t>身份</w:t>
      </w:r>
      <w:r>
        <w:rPr>
          <w:rFonts w:hint="eastAsia" w:ascii="仿宋_GB2312" w:hAnsi="仿宋_GB2312" w:eastAsia="仿宋_GB2312" w:cs="仿宋_GB2312"/>
          <w:sz w:val="32"/>
          <w:szCs w:val="32"/>
        </w:rPr>
        <w:t>证明》及</w:t>
      </w:r>
      <w:r>
        <w:rPr>
          <w:rFonts w:hint="eastAsia" w:ascii="仿宋_GB2312" w:hAnsi="仿宋_GB2312" w:eastAsia="仿宋_GB2312" w:cs="仿宋_GB2312"/>
          <w:sz w:val="32"/>
          <w:szCs w:val="32"/>
          <w:lang w:val="en-US" w:eastAsia="zh-CN"/>
        </w:rPr>
        <w:t>身份</w:t>
      </w:r>
      <w:r>
        <w:rPr>
          <w:rFonts w:hint="eastAsia" w:ascii="仿宋_GB2312" w:hAnsi="仿宋_GB2312" w:eastAsia="仿宋_GB2312" w:cs="仿宋_GB2312"/>
          <w:sz w:val="32"/>
          <w:szCs w:val="32"/>
        </w:rPr>
        <w:t>证扫描件；法定代表⼈（或</w:t>
      </w:r>
      <w:r>
        <w:rPr>
          <w:rFonts w:hint="eastAsia" w:ascii="仿宋_GB2312" w:hAnsi="仿宋_GB2312" w:eastAsia="仿宋_GB2312" w:cs="仿宋_GB2312"/>
          <w:sz w:val="32"/>
          <w:szCs w:val="32"/>
          <w:lang w:val="en-US" w:eastAsia="zh-CN"/>
        </w:rPr>
        <w:t>分支</w:t>
      </w:r>
      <w:r>
        <w:rPr>
          <w:rFonts w:hint="eastAsia" w:ascii="仿宋_GB2312" w:hAnsi="仿宋_GB2312" w:eastAsia="仿宋_GB2312" w:cs="仿宋_GB2312"/>
          <w:sz w:val="32"/>
          <w:szCs w:val="32"/>
        </w:rPr>
        <w:t>机构负责⼈）授权他⼈参加投标，须提供《法定代表⼈（或</w:t>
      </w:r>
      <w:r>
        <w:rPr>
          <w:rFonts w:hint="eastAsia" w:ascii="仿宋_GB2312" w:hAnsi="仿宋_GB2312" w:eastAsia="仿宋_GB2312" w:cs="仿宋_GB2312"/>
          <w:sz w:val="32"/>
          <w:szCs w:val="32"/>
          <w:lang w:val="en-US" w:eastAsia="zh-CN"/>
        </w:rPr>
        <w:t>分支</w:t>
      </w:r>
      <w:r>
        <w:rPr>
          <w:rFonts w:hint="eastAsia" w:ascii="仿宋_GB2312" w:hAnsi="仿宋_GB2312" w:eastAsia="仿宋_GB2312" w:cs="仿宋_GB2312"/>
          <w:sz w:val="32"/>
          <w:szCs w:val="32"/>
        </w:rPr>
        <w:t>机构负责⼈）授权委托书》、委托代理⼈</w:t>
      </w:r>
      <w:r>
        <w:rPr>
          <w:rFonts w:hint="eastAsia" w:ascii="仿宋_GB2312" w:hAnsi="仿宋_GB2312" w:eastAsia="仿宋_GB2312" w:cs="仿宋_GB2312"/>
          <w:sz w:val="32"/>
          <w:szCs w:val="32"/>
          <w:lang w:val="en-US" w:eastAsia="zh-CN"/>
        </w:rPr>
        <w:t>身份</w:t>
      </w:r>
      <w:r>
        <w:rPr>
          <w:rFonts w:hint="eastAsia" w:ascii="仿宋_GB2312" w:hAnsi="仿宋_GB2312" w:eastAsia="仿宋_GB2312" w:cs="仿宋_GB2312"/>
          <w:sz w:val="32"/>
          <w:szCs w:val="32"/>
        </w:rPr>
        <w:t>证扫描件。</w:t>
      </w:r>
    </w:p>
    <w:p w14:paraId="1A736120">
      <w:pPr>
        <w:pStyle w:val="34"/>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供应商须具有健全的财务会计制度、具有履行合同所必需的设备和专业技术能力、具有依法缴纳税收和社会保障资金的良好记录，参加本项目采购活动前三年内在经营活动中无重大违法活动记录，未列入在信用中国网站“失信被执行人”、“重大税收违法案件当事人名单”中（www.creditchina.gov.cn)，未列入中国政府采购网“政府采购严重违法失信行为记录名单”中（www.ccgp.gov.cn)，供应商应按照汉中市财政局《关于全⾯推⾏政 府采购供应商基本资格条件承诺制的通知》（ 汉采办采管〔2024〕20号）⽂件要求，提供资格承诺函。</w:t>
      </w:r>
    </w:p>
    <w:p w14:paraId="75F54F63">
      <w:pPr>
        <w:pStyle w:val="34"/>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5、本</w:t>
      </w:r>
      <w:r>
        <w:rPr>
          <w:rFonts w:hint="eastAsia" w:ascii="仿宋_GB2312" w:hAnsi="仿宋_GB2312" w:eastAsia="仿宋_GB2312" w:cs="仿宋_GB2312"/>
          <w:sz w:val="32"/>
          <w:szCs w:val="32"/>
          <w:lang w:val="en-US" w:eastAsia="zh-CN"/>
        </w:rPr>
        <w:t>项目</w:t>
      </w:r>
      <w:r>
        <w:rPr>
          <w:rFonts w:hint="eastAsia" w:ascii="仿宋_GB2312" w:hAnsi="仿宋_GB2312" w:eastAsia="仿宋_GB2312" w:cs="仿宋_GB2312"/>
          <w:sz w:val="32"/>
          <w:szCs w:val="32"/>
        </w:rPr>
        <w:t>不接受联合体投标：本项⽬不接受联合体投标，提供声明函。单位负责人为同一人或者存在直接控股、管理关系的不同供应商，不得参加同一合同项下的政府采购活动，提供声明函。</w:t>
      </w:r>
    </w:p>
    <w:p w14:paraId="3170494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黑体" w:hAnsi="黑体" w:eastAsia="黑体" w:cs="黑体"/>
          <w:b w:val="0"/>
          <w:bCs w:val="0"/>
          <w:sz w:val="32"/>
          <w:szCs w:val="32"/>
          <w:shd w:val="clear" w:color="auto" w:fill="FFFFFF"/>
          <w:lang w:val="en-US" w:eastAsia="zh-CN"/>
        </w:rPr>
      </w:pPr>
      <w:r>
        <w:rPr>
          <w:rFonts w:hint="eastAsia" w:ascii="黑体" w:hAnsi="黑体" w:eastAsia="黑体" w:cs="黑体"/>
          <w:b w:val="0"/>
          <w:bCs w:val="0"/>
          <w:sz w:val="32"/>
          <w:szCs w:val="32"/>
          <w:shd w:val="clear" w:color="auto" w:fill="FFFFFF"/>
          <w:lang w:val="en-US" w:eastAsia="zh-CN"/>
        </w:rPr>
        <w:t>四、保险合同期限</w:t>
      </w:r>
    </w:p>
    <w:p w14:paraId="73438B6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黑体" w:hAnsi="黑体" w:eastAsia="黑体" w:cs="黑体"/>
          <w:b w:val="0"/>
          <w:bCs w:val="0"/>
          <w:sz w:val="32"/>
          <w:szCs w:val="32"/>
          <w:shd w:val="clear" w:color="auto" w:fill="FFFFFF"/>
          <w:lang w:val="en-US" w:eastAsia="zh-CN"/>
        </w:rPr>
      </w:pPr>
      <w:r>
        <w:rPr>
          <w:rFonts w:hint="eastAsia" w:ascii="仿宋_GB2312" w:hAnsi="仿宋_GB2312" w:eastAsia="仿宋_GB2312" w:cs="仿宋_GB2312"/>
          <w:b w:val="0"/>
          <w:bCs w:val="0"/>
          <w:sz w:val="32"/>
          <w:szCs w:val="32"/>
          <w:shd w:val="clear" w:color="auto" w:fill="FFFFFF"/>
          <w:lang w:val="en-US" w:eastAsia="zh-CN"/>
        </w:rPr>
        <w:t>保险合同期限为壹年（保险期间以保险单载明的日期为准）。</w:t>
      </w:r>
    </w:p>
    <w:p w14:paraId="6FA552E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黑体" w:hAnsi="黑体" w:eastAsia="黑体" w:cs="黑体"/>
          <w:b w:val="0"/>
          <w:bCs w:val="0"/>
          <w:sz w:val="32"/>
          <w:szCs w:val="32"/>
          <w:shd w:val="clear" w:color="auto" w:fill="FFFFFF"/>
          <w:lang w:val="en-US" w:eastAsia="zh-CN"/>
        </w:rPr>
      </w:pPr>
      <w:r>
        <w:rPr>
          <w:rFonts w:hint="eastAsia" w:ascii="黑体" w:hAnsi="黑体" w:eastAsia="黑体" w:cs="黑体"/>
          <w:b w:val="0"/>
          <w:bCs w:val="0"/>
          <w:sz w:val="32"/>
          <w:szCs w:val="32"/>
          <w:shd w:val="clear" w:color="auto" w:fill="FFFFFF"/>
          <w:lang w:val="en-US" w:eastAsia="zh-CN"/>
        </w:rPr>
        <w:t>五、采购人责任</w:t>
      </w:r>
    </w:p>
    <w:p w14:paraId="77A2826C">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1.保费缴纳</w:t>
      </w:r>
    </w:p>
    <w:p w14:paraId="56E58CFF">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负责投保并按时缴纳保险费，确保保险合同生效。</w:t>
      </w:r>
    </w:p>
    <w:p w14:paraId="77BF662D">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2.组织协调</w:t>
      </w:r>
    </w:p>
    <w:p w14:paraId="0441089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组织被保险人（镇、村）提供投保信息，协调保险理赔流程。</w:t>
      </w:r>
    </w:p>
    <w:p w14:paraId="3F5558E2">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3.监督管理</w:t>
      </w:r>
    </w:p>
    <w:p w14:paraId="3D317F73">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对保险公司的承保、理赔服务进行监督，确保合同条款落实。</w:t>
      </w:r>
    </w:p>
    <w:p w14:paraId="374F1ED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4.加强《野生动物保护法》和野生动植物理赔保险政策宣传。</w:t>
      </w:r>
    </w:p>
    <w:p w14:paraId="47DEAC5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r>
        <w:rPr>
          <w:rFonts w:hint="eastAsia" w:ascii="黑体" w:hAnsi="黑体" w:eastAsia="黑体" w:cs="黑体"/>
          <w:b w:val="0"/>
          <w:bCs w:val="0"/>
          <w:sz w:val="32"/>
          <w:szCs w:val="32"/>
          <w:shd w:val="clear" w:color="auto" w:fill="FFFFFF"/>
          <w:lang w:val="en-US" w:eastAsia="zh-CN"/>
        </w:rPr>
        <w:t>六、承包人（保险公司）责任</w:t>
      </w:r>
    </w:p>
    <w:p w14:paraId="014611BD">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r>
        <w:rPr>
          <w:rFonts w:hint="eastAsia" w:ascii="黑体" w:hAnsi="黑体" w:eastAsia="黑体" w:cs="黑体"/>
          <w:b w:val="0"/>
          <w:bCs w:val="0"/>
          <w:sz w:val="32"/>
          <w:szCs w:val="32"/>
          <w:shd w:val="clear" w:color="auto" w:fill="FFFFFF"/>
          <w:lang w:val="en-US" w:eastAsia="zh-CN"/>
        </w:rPr>
        <w:t>承保与理赔</w:t>
      </w:r>
    </w:p>
    <w:p w14:paraId="0C7A319B">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1.负责查勘定损、核算赔付金额，并在规定时间内支付赔款（如5个工作日内到账）。</w:t>
      </w:r>
    </w:p>
    <w:p w14:paraId="03D1B17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2.服务标准</w:t>
      </w:r>
    </w:p>
    <w:p w14:paraId="3AD263AD">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提供快速理赔通道（小额案件3日内赔付）。</w:t>
      </w:r>
    </w:p>
    <w:p w14:paraId="500C79CC">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开展防灾防损服务（如风险查勘、宣传培训）。</w:t>
      </w:r>
    </w:p>
    <w:p w14:paraId="3CD0ACA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免费提供法律咨询、医疗指导等增值服务。</w:t>
      </w:r>
    </w:p>
    <w:p w14:paraId="388BB9B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3.政策宣传</w:t>
      </w:r>
    </w:p>
    <w:p w14:paraId="7E895EF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黑体" w:hAnsi="黑体" w:eastAsia="黑体" w:cs="黑体"/>
          <w:b w:val="0"/>
          <w:bCs w:val="0"/>
          <w:sz w:val="32"/>
          <w:szCs w:val="32"/>
          <w:shd w:val="clear" w:color="auto" w:fill="FFFFFF"/>
          <w:lang w:val="en-US" w:eastAsia="zh-CN"/>
        </w:rPr>
      </w:pPr>
      <w:r>
        <w:rPr>
          <w:rFonts w:hint="eastAsia" w:ascii="仿宋_GB2312" w:hAnsi="仿宋_GB2312" w:eastAsia="仿宋_GB2312" w:cs="仿宋_GB2312"/>
          <w:kern w:val="0"/>
          <w:sz w:val="32"/>
          <w:szCs w:val="32"/>
          <w:lang w:val="en-US" w:eastAsia="zh-CN" w:bidi="ar-SA"/>
        </w:rPr>
        <w:t>向公众普及保险范围和理赔流程，提升参保积极性。</w:t>
      </w:r>
    </w:p>
    <w:p w14:paraId="37596A36">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rPr>
      </w:pPr>
      <w:r>
        <w:rPr>
          <w:rFonts w:hint="eastAsia" w:ascii="黑体" w:hAnsi="黑体" w:eastAsia="黑体" w:cs="黑体"/>
          <w:b w:val="0"/>
          <w:bCs w:val="0"/>
          <w:sz w:val="32"/>
          <w:szCs w:val="32"/>
          <w:shd w:val="clear" w:color="auto" w:fill="FFFFFF"/>
        </w:rPr>
        <w:t>保险责任</w:t>
      </w:r>
    </w:p>
    <w:p w14:paraId="3086188B">
      <w:pPr>
        <w:spacing w:line="520" w:lineRule="exact"/>
        <w:ind w:firstLine="582"/>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保险理赔责任自保险费到账之日起生效，保险合同期限为壹年</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理赔区间以保险合同期限为准。在保险费到账前遇有保险责任事故，乙方可先行查勘，收集相关理赔资料，待保险费到账后进行理赔支付。</w:t>
      </w:r>
    </w:p>
    <w:p w14:paraId="5A977E35">
      <w:pPr>
        <w:spacing w:line="520" w:lineRule="exact"/>
        <w:ind w:firstLine="582"/>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在保险期间内，居民或流动人口在承保区域内，遭受野生动物伤害导致人身伤亡，无法找到责任人或者责任人无力赔偿，对被保险人依据国家或地方法律法规(不包括港澳台地区法律法规)规定应当支付的死亡、伤残救助金及医疗费用，保险人按照本保险合同的约定负责赔偿。</w:t>
      </w:r>
    </w:p>
    <w:p w14:paraId="5C79FCF8">
      <w:pPr>
        <w:spacing w:line="520" w:lineRule="exact"/>
        <w:ind w:firstLine="582"/>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在保险期间内，居民或流动人口在承保区域内，遭受野生动物伤害导致财产损失，无法找到责任人或者责任人无力赔偿，对被保险人依据国家或地方法律法规(不包括港澳台地区法律法规)规定支付的财产损失补偿金，保险人按照本保险合同的约定负责赔偿。</w:t>
      </w:r>
    </w:p>
    <w:p w14:paraId="3E17617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rPr>
      </w:pPr>
      <w:r>
        <w:rPr>
          <w:rFonts w:hint="eastAsia" w:ascii="黑体" w:hAnsi="黑体" w:eastAsia="黑体" w:cs="黑体"/>
          <w:b w:val="0"/>
          <w:bCs w:val="0"/>
          <w:sz w:val="32"/>
          <w:szCs w:val="32"/>
          <w:shd w:val="clear" w:color="auto" w:fill="FFFFFF"/>
        </w:rPr>
        <w:t>赔偿项目及责任限额</w:t>
      </w:r>
    </w:p>
    <w:tbl>
      <w:tblPr>
        <w:tblStyle w:val="1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253"/>
        <w:gridCol w:w="2268"/>
      </w:tblGrid>
      <w:tr w14:paraId="5035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71" w:type="dxa"/>
            <w:gridSpan w:val="2"/>
            <w:vAlign w:val="center"/>
          </w:tcPr>
          <w:p w14:paraId="40682002">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赔偿项目</w:t>
            </w:r>
          </w:p>
        </w:tc>
        <w:tc>
          <w:tcPr>
            <w:tcW w:w="2268" w:type="dxa"/>
            <w:vAlign w:val="center"/>
          </w:tcPr>
          <w:p w14:paraId="5EFFA2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责任限额（万元）</w:t>
            </w:r>
          </w:p>
        </w:tc>
      </w:tr>
      <w:tr w14:paraId="1B1F4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71" w:type="dxa"/>
            <w:gridSpan w:val="2"/>
            <w:vAlign w:val="center"/>
          </w:tcPr>
          <w:p w14:paraId="213BB95F">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累计责任限额</w:t>
            </w:r>
          </w:p>
        </w:tc>
        <w:tc>
          <w:tcPr>
            <w:tcW w:w="2268" w:type="dxa"/>
            <w:vAlign w:val="center"/>
          </w:tcPr>
          <w:p w14:paraId="4987F2C1">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800.00</w:t>
            </w:r>
          </w:p>
        </w:tc>
      </w:tr>
      <w:tr w14:paraId="7352D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71" w:type="dxa"/>
            <w:gridSpan w:val="2"/>
            <w:vAlign w:val="center"/>
          </w:tcPr>
          <w:p w14:paraId="5373D3CB">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每次事故责任限额</w:t>
            </w:r>
          </w:p>
        </w:tc>
        <w:tc>
          <w:tcPr>
            <w:tcW w:w="2268" w:type="dxa"/>
            <w:vAlign w:val="center"/>
          </w:tcPr>
          <w:p w14:paraId="3A2F4486">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100.00</w:t>
            </w:r>
          </w:p>
        </w:tc>
      </w:tr>
      <w:tr w14:paraId="63BF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18" w:type="dxa"/>
            <w:vMerge w:val="restart"/>
            <w:vAlign w:val="center"/>
          </w:tcPr>
          <w:p w14:paraId="3BDA3D19">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人身伤亡救助责任</w:t>
            </w:r>
          </w:p>
        </w:tc>
        <w:tc>
          <w:tcPr>
            <w:tcW w:w="4253" w:type="dxa"/>
            <w:vAlign w:val="center"/>
          </w:tcPr>
          <w:p w14:paraId="33901E7F">
            <w:pPr>
              <w:keepNext w:val="0"/>
              <w:keepLines w:val="0"/>
              <w:pageBreakBefore w:val="0"/>
              <w:widowControl w:val="0"/>
              <w:kinsoku/>
              <w:wordWrap/>
              <w:overflowPunct/>
              <w:topLinePunct w:val="0"/>
              <w:autoSpaceDE/>
              <w:autoSpaceDN/>
              <w:bidi w:val="0"/>
              <w:spacing w:line="60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每次事故每人伤亡责任限额</w:t>
            </w:r>
          </w:p>
        </w:tc>
        <w:tc>
          <w:tcPr>
            <w:tcW w:w="2268" w:type="dxa"/>
            <w:vAlign w:val="center"/>
          </w:tcPr>
          <w:p w14:paraId="5AB2D7D4">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10.00</w:t>
            </w:r>
          </w:p>
        </w:tc>
      </w:tr>
      <w:tr w14:paraId="415F1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18" w:type="dxa"/>
            <w:vMerge w:val="continue"/>
            <w:vAlign w:val="center"/>
          </w:tcPr>
          <w:p w14:paraId="066B2512">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p>
        </w:tc>
        <w:tc>
          <w:tcPr>
            <w:tcW w:w="4253" w:type="dxa"/>
            <w:vAlign w:val="center"/>
          </w:tcPr>
          <w:p w14:paraId="2C17D3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每次事故每人医疗费用责任限额</w:t>
            </w:r>
          </w:p>
        </w:tc>
        <w:tc>
          <w:tcPr>
            <w:tcW w:w="2268" w:type="dxa"/>
            <w:vAlign w:val="center"/>
          </w:tcPr>
          <w:p w14:paraId="41E0C7DC">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1.50</w:t>
            </w:r>
          </w:p>
        </w:tc>
      </w:tr>
      <w:tr w14:paraId="1050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18" w:type="dxa"/>
            <w:vMerge w:val="restart"/>
            <w:vAlign w:val="center"/>
          </w:tcPr>
          <w:p w14:paraId="5AEE1236">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财产损失救助责任</w:t>
            </w:r>
          </w:p>
        </w:tc>
        <w:tc>
          <w:tcPr>
            <w:tcW w:w="4253" w:type="dxa"/>
            <w:vAlign w:val="center"/>
          </w:tcPr>
          <w:p w14:paraId="435414A7">
            <w:pPr>
              <w:keepNext w:val="0"/>
              <w:keepLines w:val="0"/>
              <w:pageBreakBefore w:val="0"/>
              <w:widowControl w:val="0"/>
              <w:kinsoku/>
              <w:wordWrap/>
              <w:overflowPunct/>
              <w:topLinePunct w:val="0"/>
              <w:autoSpaceDE/>
              <w:autoSpaceDN/>
              <w:bidi w:val="0"/>
              <w:spacing w:line="60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每次事故财产损失责住限额</w:t>
            </w:r>
          </w:p>
        </w:tc>
        <w:tc>
          <w:tcPr>
            <w:tcW w:w="2268" w:type="dxa"/>
            <w:vAlign w:val="center"/>
          </w:tcPr>
          <w:p w14:paraId="22BB9A3A">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50.00</w:t>
            </w:r>
          </w:p>
        </w:tc>
      </w:tr>
      <w:tr w14:paraId="24426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18" w:type="dxa"/>
            <w:vMerge w:val="continue"/>
            <w:vAlign w:val="center"/>
          </w:tcPr>
          <w:p w14:paraId="1D9B778F">
            <w:pPr>
              <w:keepNext w:val="0"/>
              <w:keepLines w:val="0"/>
              <w:pageBreakBefore w:val="0"/>
              <w:widowControl w:val="0"/>
              <w:kinsoku/>
              <w:wordWrap/>
              <w:overflowPunct/>
              <w:topLinePunct w:val="0"/>
              <w:autoSpaceDE/>
              <w:autoSpaceDN/>
              <w:bidi w:val="0"/>
              <w:spacing w:line="600" w:lineRule="exact"/>
              <w:textAlignment w:val="auto"/>
              <w:rPr>
                <w:rFonts w:hint="eastAsia" w:ascii="仿宋_GB2312" w:hAnsi="仿宋_GB2312" w:eastAsia="仿宋_GB2312" w:cs="仿宋_GB2312"/>
                <w:b w:val="0"/>
                <w:bCs w:val="0"/>
                <w:sz w:val="32"/>
                <w:szCs w:val="32"/>
              </w:rPr>
            </w:pPr>
          </w:p>
        </w:tc>
        <w:tc>
          <w:tcPr>
            <w:tcW w:w="4253" w:type="dxa"/>
            <w:vAlign w:val="center"/>
          </w:tcPr>
          <w:p w14:paraId="3FC1AC3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每次事故每人财产损失责任限额</w:t>
            </w:r>
          </w:p>
        </w:tc>
        <w:tc>
          <w:tcPr>
            <w:tcW w:w="2268" w:type="dxa"/>
            <w:vAlign w:val="center"/>
          </w:tcPr>
          <w:p w14:paraId="7F81ED78">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0.80</w:t>
            </w:r>
          </w:p>
        </w:tc>
      </w:tr>
    </w:tbl>
    <w:p w14:paraId="1755F85A">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r>
        <w:rPr>
          <w:rFonts w:hint="eastAsia" w:ascii="黑体" w:hAnsi="黑体" w:eastAsia="黑体" w:cs="黑体"/>
          <w:b w:val="0"/>
          <w:bCs w:val="0"/>
          <w:sz w:val="32"/>
          <w:szCs w:val="32"/>
          <w:shd w:val="clear" w:color="auto" w:fill="FFFFFF"/>
          <w:lang w:val="en-US" w:eastAsia="zh-CN"/>
        </w:rPr>
        <w:t>七、属地责任</w:t>
      </w:r>
    </w:p>
    <w:p w14:paraId="7D9E8691">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1.属地管理</w:t>
      </w:r>
    </w:p>
    <w:p w14:paraId="1CED20C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负责本区域内的报案受理、现场核查，确保案件真实有效。</w:t>
      </w:r>
      <w:bookmarkStart w:id="0" w:name="_GoBack"/>
      <w:bookmarkEnd w:id="0"/>
    </w:p>
    <w:p w14:paraId="08C59602">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2.协调联动</w:t>
      </w:r>
    </w:p>
    <w:p w14:paraId="0383B4A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联合保险公司、村委会等机构，建立“报案-查勘-理赔”绿色通道，简化流程。</w:t>
      </w:r>
    </w:p>
    <w:p w14:paraId="492F4410">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3.风险防控</w:t>
      </w:r>
    </w:p>
    <w:p w14:paraId="4AC3016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r>
        <w:rPr>
          <w:rFonts w:hint="eastAsia" w:ascii="仿宋_GB2312" w:hAnsi="仿宋_GB2312" w:eastAsia="仿宋_GB2312" w:cs="仿宋_GB2312"/>
          <w:kern w:val="0"/>
          <w:sz w:val="32"/>
          <w:szCs w:val="32"/>
          <w:lang w:val="en-US" w:eastAsia="zh-CN" w:bidi="ar-SA"/>
        </w:rPr>
        <w:t>防范化解处置相关舆情，配合做好12345等群众服务热线平台的回复工作。</w:t>
      </w:r>
    </w:p>
    <w:p w14:paraId="0921AB2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1E6DB84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39237B93">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42F1E31A">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11B1C06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4BB2374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0C3ACFB6">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 w:val="0"/>
          <w:bCs w:val="0"/>
          <w:sz w:val="32"/>
          <w:szCs w:val="32"/>
          <w:shd w:val="clear" w:color="auto" w:fill="FFFFFF"/>
          <w:lang w:val="en-US" w:eastAsia="zh-CN"/>
        </w:rPr>
      </w:pPr>
    </w:p>
    <w:p w14:paraId="306E7D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仿宋_GB2312" w:hAnsi="仿宋_GB2312" w:eastAsia="仿宋_GB2312" w:cs="仿宋_GB2312"/>
          <w:b w:val="0"/>
          <w:bCs w:val="0"/>
          <w:sz w:val="32"/>
          <w:szCs w:val="32"/>
          <w:lang w:val="en-US" w:eastAsia="zh-CN"/>
        </w:rPr>
      </w:pPr>
    </w:p>
    <w:sectPr>
      <w:pgSz w:w="11907" w:h="16840"/>
      <w:pgMar w:top="1984" w:right="1361" w:bottom="198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B9"/>
    <w:rsid w:val="000078F4"/>
    <w:rsid w:val="002722B9"/>
    <w:rsid w:val="002B6476"/>
    <w:rsid w:val="003A2E65"/>
    <w:rsid w:val="00511335"/>
    <w:rsid w:val="007F4B50"/>
    <w:rsid w:val="0093768E"/>
    <w:rsid w:val="00C52516"/>
    <w:rsid w:val="00DF1F0B"/>
    <w:rsid w:val="041F051B"/>
    <w:rsid w:val="08506DE4"/>
    <w:rsid w:val="150B3EAF"/>
    <w:rsid w:val="1A567421"/>
    <w:rsid w:val="1AC92289"/>
    <w:rsid w:val="1BA00444"/>
    <w:rsid w:val="23823271"/>
    <w:rsid w:val="2A27214C"/>
    <w:rsid w:val="2A592D2E"/>
    <w:rsid w:val="2AC934CF"/>
    <w:rsid w:val="2C930CCD"/>
    <w:rsid w:val="2DF56408"/>
    <w:rsid w:val="2EC4264F"/>
    <w:rsid w:val="2EFA181A"/>
    <w:rsid w:val="2FFB75D4"/>
    <w:rsid w:val="309339A5"/>
    <w:rsid w:val="3F4C5353"/>
    <w:rsid w:val="4143346F"/>
    <w:rsid w:val="48A715F5"/>
    <w:rsid w:val="4AAA755F"/>
    <w:rsid w:val="4B006DD7"/>
    <w:rsid w:val="51B4188B"/>
    <w:rsid w:val="53A073E0"/>
    <w:rsid w:val="55A138F8"/>
    <w:rsid w:val="578C1476"/>
    <w:rsid w:val="5B7808ED"/>
    <w:rsid w:val="5EC45FC1"/>
    <w:rsid w:val="60316D95"/>
    <w:rsid w:val="60965257"/>
    <w:rsid w:val="66E1246E"/>
    <w:rsid w:val="6A206673"/>
    <w:rsid w:val="6B9F1D1D"/>
    <w:rsid w:val="75B01C16"/>
    <w:rsid w:val="773475C7"/>
    <w:rsid w:val="7BD61E3B"/>
    <w:rsid w:val="7E1370E2"/>
    <w:rsid w:val="7E631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19"/>
    <w:semiHidden/>
    <w:unhideWhenUsed/>
    <w:qFormat/>
    <w:uiPriority w:val="9"/>
    <w:pPr>
      <w:keepNext/>
      <w:keepLines/>
      <w:spacing w:before="80" w:after="40"/>
      <w:outlineLvl w:val="3"/>
    </w:pPr>
    <w:rPr>
      <w:rFonts w:asciiTheme="minorHAnsi" w:hAnsiTheme="minorHAnsi" w:eastAsiaTheme="minorEastAsia" w:cstheme="majorBidi"/>
      <w:color w:val="104862" w:themeColor="accent1" w:themeShade="BF"/>
      <w:sz w:val="28"/>
      <w:szCs w:val="28"/>
    </w:rPr>
  </w:style>
  <w:style w:type="paragraph" w:styleId="7">
    <w:name w:val="heading 5"/>
    <w:basedOn w:val="1"/>
    <w:next w:val="1"/>
    <w:link w:val="20"/>
    <w:semiHidden/>
    <w:unhideWhenUsed/>
    <w:qFormat/>
    <w:uiPriority w:val="9"/>
    <w:pPr>
      <w:keepNext/>
      <w:keepLines/>
      <w:spacing w:before="80" w:after="40"/>
      <w:outlineLvl w:val="4"/>
    </w:pPr>
    <w:rPr>
      <w:rFonts w:asciiTheme="minorHAnsi" w:hAnsiTheme="minorHAnsi" w:eastAsiaTheme="minorEastAsia" w:cstheme="majorBidi"/>
      <w:color w:val="104862" w:themeColor="accent1" w:themeShade="BF"/>
      <w:sz w:val="24"/>
      <w:szCs w:val="24"/>
    </w:rPr>
  </w:style>
  <w:style w:type="paragraph" w:styleId="8">
    <w:name w:val="heading 6"/>
    <w:basedOn w:val="1"/>
    <w:next w:val="1"/>
    <w:link w:val="21"/>
    <w:semiHidden/>
    <w:unhideWhenUsed/>
    <w:qFormat/>
    <w:uiPriority w:val="9"/>
    <w:pPr>
      <w:keepNext/>
      <w:keepLines/>
      <w:spacing w:before="40"/>
      <w:outlineLvl w:val="5"/>
    </w:pPr>
    <w:rPr>
      <w:rFonts w:asciiTheme="minorHAnsi" w:hAnsiTheme="minorHAnsi" w:eastAsiaTheme="minorEastAsia" w:cstheme="majorBidi"/>
      <w:b/>
      <w:bCs/>
      <w:color w:val="104862" w:themeColor="accent1" w:themeShade="BF"/>
      <w:szCs w:val="22"/>
    </w:rPr>
  </w:style>
  <w:style w:type="paragraph" w:styleId="9">
    <w:name w:val="heading 7"/>
    <w:basedOn w:val="1"/>
    <w:next w:val="1"/>
    <w:link w:val="22"/>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szCs w:val="22"/>
      <w14:textFill>
        <w14:solidFill>
          <w14:schemeClr w14:val="tx1">
            <w14:lumMod w14:val="65000"/>
            <w14:lumOff w14:val="35000"/>
          </w14:schemeClr>
        </w14:solidFill>
      </w14:textFill>
    </w:rPr>
  </w:style>
  <w:style w:type="paragraph" w:styleId="10">
    <w:name w:val="heading 8"/>
    <w:basedOn w:val="1"/>
    <w:next w:val="1"/>
    <w:link w:val="23"/>
    <w:semiHidden/>
    <w:unhideWhenUsed/>
    <w:qFormat/>
    <w:uiPriority w:val="9"/>
    <w:pPr>
      <w:keepNext/>
      <w:keepLines/>
      <w:outlineLvl w:val="7"/>
    </w:pPr>
    <w:rPr>
      <w:rFonts w:asciiTheme="minorHAnsi" w:hAnsiTheme="minorHAnsi" w:eastAsiaTheme="minorEastAsia" w:cstheme="majorBidi"/>
      <w:color w:val="595959" w:themeColor="text1" w:themeTint="A6"/>
      <w:szCs w:val="22"/>
      <w14:textFill>
        <w14:solidFill>
          <w14:schemeClr w14:val="tx1">
            <w14:lumMod w14:val="65000"/>
            <w14:lumOff w14:val="35000"/>
          </w14:schemeClr>
        </w14:solidFill>
      </w14:textFill>
    </w:rPr>
  </w:style>
  <w:style w:type="paragraph" w:styleId="11">
    <w:name w:val="heading 9"/>
    <w:basedOn w:val="1"/>
    <w:next w:val="1"/>
    <w:link w:val="24"/>
    <w:semiHidden/>
    <w:unhideWhenUsed/>
    <w:qFormat/>
    <w:uiPriority w:val="9"/>
    <w:pPr>
      <w:keepNext/>
      <w:keepLines/>
      <w:outlineLvl w:val="8"/>
    </w:pPr>
    <w:rPr>
      <w:rFonts w:asciiTheme="minorHAnsi" w:hAnsiTheme="minorHAnsi" w:eastAsiaTheme="majorEastAsia" w:cstheme="majorBidi"/>
      <w:color w:val="595959" w:themeColor="text1" w:themeTint="A6"/>
      <w:szCs w:val="22"/>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sz w:val="24"/>
    </w:rPr>
  </w:style>
  <w:style w:type="paragraph" w:styleId="12">
    <w:name w:val="Subtitle"/>
    <w:basedOn w:val="1"/>
    <w:next w:val="1"/>
    <w:link w:val="26"/>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6">
    <w:name w:val="标题 1 字符"/>
    <w:basedOn w:val="15"/>
    <w:link w:val="3"/>
    <w:qFormat/>
    <w:uiPriority w:val="9"/>
    <w:rPr>
      <w:rFonts w:asciiTheme="majorHAnsi" w:hAnsiTheme="majorHAnsi" w:eastAsiaTheme="majorEastAsia" w:cstheme="majorBidi"/>
      <w:color w:val="104862" w:themeColor="accent1" w:themeShade="BF"/>
      <w:sz w:val="48"/>
      <w:szCs w:val="48"/>
    </w:rPr>
  </w:style>
  <w:style w:type="character" w:customStyle="1" w:styleId="17">
    <w:name w:val="标题 2 字符"/>
    <w:basedOn w:val="15"/>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18">
    <w:name w:val="标题 3 字符"/>
    <w:basedOn w:val="15"/>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19">
    <w:name w:val="标题 4 字符"/>
    <w:basedOn w:val="15"/>
    <w:link w:val="6"/>
    <w:semiHidden/>
    <w:qFormat/>
    <w:uiPriority w:val="9"/>
    <w:rPr>
      <w:rFonts w:cstheme="majorBidi"/>
      <w:color w:val="104862" w:themeColor="accent1" w:themeShade="BF"/>
      <w:sz w:val="28"/>
      <w:szCs w:val="28"/>
    </w:rPr>
  </w:style>
  <w:style w:type="character" w:customStyle="1" w:styleId="20">
    <w:name w:val="标题 5 字符"/>
    <w:basedOn w:val="15"/>
    <w:link w:val="7"/>
    <w:semiHidden/>
    <w:qFormat/>
    <w:uiPriority w:val="9"/>
    <w:rPr>
      <w:rFonts w:cstheme="majorBidi"/>
      <w:color w:val="104862" w:themeColor="accent1" w:themeShade="BF"/>
      <w:sz w:val="24"/>
      <w:szCs w:val="24"/>
    </w:rPr>
  </w:style>
  <w:style w:type="character" w:customStyle="1" w:styleId="21">
    <w:name w:val="标题 6 字符"/>
    <w:basedOn w:val="15"/>
    <w:link w:val="8"/>
    <w:semiHidden/>
    <w:qFormat/>
    <w:uiPriority w:val="9"/>
    <w:rPr>
      <w:rFonts w:cstheme="majorBidi"/>
      <w:b/>
      <w:bCs/>
      <w:color w:val="104862" w:themeColor="accent1" w:themeShade="BF"/>
    </w:rPr>
  </w:style>
  <w:style w:type="character" w:customStyle="1" w:styleId="22">
    <w:name w:val="标题 7 字符"/>
    <w:basedOn w:val="15"/>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after="160"/>
      <w:jc w:val="center"/>
    </w:pPr>
    <w:rPr>
      <w:rFonts w:asciiTheme="minorHAnsi" w:hAnsiTheme="minorHAnsi" w:eastAsiaTheme="minorEastAsia" w:cstheme="minorBidi"/>
      <w:i/>
      <w:iCs/>
      <w:color w:val="404040" w:themeColor="text1" w:themeTint="BF"/>
      <w:szCs w:val="22"/>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rPr>
      <w:rFonts w:asciiTheme="minorHAnsi" w:hAnsiTheme="minorHAnsi" w:eastAsiaTheme="minorEastAsia" w:cstheme="minorBidi"/>
      <w:szCs w:val="22"/>
    </w:rPr>
  </w:style>
  <w:style w:type="character" w:customStyle="1" w:styleId="30">
    <w:name w:val="Intense Emphasis"/>
    <w:basedOn w:val="15"/>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rFonts w:asciiTheme="minorHAnsi" w:hAnsiTheme="minorHAnsi" w:eastAsiaTheme="minorEastAsia" w:cstheme="minorBidi"/>
      <w:i/>
      <w:iCs/>
      <w:color w:val="104862" w:themeColor="accent1" w:themeShade="BF"/>
      <w:szCs w:val="22"/>
    </w:rPr>
  </w:style>
  <w:style w:type="character" w:customStyle="1" w:styleId="32">
    <w:name w:val="明显引用 字符"/>
    <w:basedOn w:val="15"/>
    <w:link w:val="31"/>
    <w:qFormat/>
    <w:uiPriority w:val="30"/>
    <w:rPr>
      <w:i/>
      <w:iCs/>
      <w:color w:val="104862" w:themeColor="accent1" w:themeShade="BF"/>
    </w:rPr>
  </w:style>
  <w:style w:type="character" w:customStyle="1" w:styleId="33">
    <w:name w:val="Intense Reference"/>
    <w:basedOn w:val="15"/>
    <w:qFormat/>
    <w:uiPriority w:val="32"/>
    <w:rPr>
      <w:b/>
      <w:bCs/>
      <w:smallCaps/>
      <w:color w:val="104862" w:themeColor="accent1" w:themeShade="BF"/>
      <w:spacing w:val="5"/>
    </w:rPr>
  </w:style>
  <w:style w:type="paragraph" w:customStyle="1" w:styleId="34">
    <w:name w:val="null3"/>
    <w:hidden/>
    <w:qFormat/>
    <w:uiPriority w:val="0"/>
    <w:rPr>
      <w:rFonts w:hint="eastAsia" w:asciiTheme="minorHAnsi" w:hAnsiTheme="minorHAnsi" w:eastAsiaTheme="minorEastAsia" w:cstheme="minorBidi"/>
      <w:kern w:val="0"/>
      <w:sz w:val="20"/>
      <w:szCs w:val="20"/>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1755</Words>
  <Characters>1849</Characters>
  <Lines>5</Lines>
  <Paragraphs>1</Paragraphs>
  <TotalTime>2</TotalTime>
  <ScaleCrop>false</ScaleCrop>
  <LinksUpToDate>false</LinksUpToDate>
  <CharactersWithSpaces>1852</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2026-08-12T07:00:00Z</dcterms:created>
  <dc:creator>Administrator</dc:creator>
  <cp:lastModifiedBy>SEISYuN</cp:lastModifiedBy>
  <dcterms:modified xsi:type="dcterms:W3CDTF">2026-09-22T07:47:14Z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KSOTemplateDocerSaveRecord">
    <vt:lpwstr>eyJoZGlkIjoiZWExNDJiYjg2ZmRlZWE0NmEyZmY1YmU1MDI0ZmFjNDEiLCJ1c2VySWQiOiIxMjEwMzQxODgzIn0=</vt:lpwstr>
  </property>
  <property fmtid="{D5CDD505-2E9C-101B-9397-08002B2CF9AE}" pid="4" name="ICV">
    <vt:lpwstr>7ED74CF0BE4B4636A37745451EF826C3_12</vt:lpwstr>
  </property>
</Properties>
</file>