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版本号：ZZHC-2026-1120260626003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澄城县水预算管理试点项目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ZZHC-2026-11</w:t>
      </w:r>
      <w:r>
        <w:br/>
      </w:r>
      <w:r>
        <w:br/>
      </w:r>
      <w:r>
        <w:br/>
      </w:r>
    </w:p>
    <w:p>
      <w:pPr>
        <w:pStyle w:val="null3"/>
        <w:jc w:val="center"/>
        <w:outlineLvl w:val="2"/>
      </w:pPr>
      <w:r>
        <w:rPr>
          <w:rFonts w:ascii="仿宋_GB2312" w:hAnsi="仿宋_GB2312" w:cs="仿宋_GB2312" w:eastAsia="仿宋_GB2312"/>
          <w:sz w:val="28"/>
          <w:b/>
        </w:rPr>
        <w:t>澄城县水资源中心</w:t>
      </w:r>
    </w:p>
    <w:p>
      <w:pPr>
        <w:pStyle w:val="null3"/>
        <w:jc w:val="center"/>
        <w:outlineLvl w:val="2"/>
      </w:pPr>
      <w:r>
        <w:rPr>
          <w:rFonts w:ascii="仿宋_GB2312" w:hAnsi="仿宋_GB2312" w:cs="仿宋_GB2312" w:eastAsia="仿宋_GB2312"/>
          <w:sz w:val="28"/>
          <w:b/>
        </w:rPr>
        <w:t>陕西中治宏成项目管理有限公司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陕西中治宏成项目管理有限公司</w:t>
      </w:r>
      <w:r>
        <w:rPr>
          <w:rFonts w:ascii="仿宋_GB2312" w:hAnsi="仿宋_GB2312" w:cs="仿宋_GB2312" w:eastAsia="仿宋_GB2312"/>
        </w:rPr>
        <w:t>（以下简称“代理机构”）受</w:t>
      </w:r>
      <w:r>
        <w:rPr>
          <w:rFonts w:ascii="仿宋_GB2312" w:hAnsi="仿宋_GB2312" w:cs="仿宋_GB2312" w:eastAsia="仿宋_GB2312"/>
        </w:rPr>
        <w:t>澄城县水资源中心</w:t>
      </w:r>
      <w:r>
        <w:rPr>
          <w:rFonts w:ascii="仿宋_GB2312" w:hAnsi="仿宋_GB2312" w:cs="仿宋_GB2312" w:eastAsia="仿宋_GB2312"/>
        </w:rPr>
        <w:t>委托，拟对</w:t>
      </w:r>
      <w:r>
        <w:rPr>
          <w:rFonts w:ascii="仿宋_GB2312" w:hAnsi="仿宋_GB2312" w:cs="仿宋_GB2312" w:eastAsia="仿宋_GB2312"/>
        </w:rPr>
        <w:t>澄城县水预算管理试点项目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ZZHC-2026-11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澄城县水预算管理试点项目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基础设施建设:水预算管理信息化系统建设、建设在线监测设施、已安装水计量表检定、核准;重点用水户开展水平衡测试。2、宣传培训、评价:水预算管理政策解读、业务培训指导、跟踪评估、成果汇编和其他事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采购包1（澄城县水预算管理试点项目）：属于专门面向中小企业采购。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法定代表人授权书：法定代表人授权书（法定代表人直接参加的不提供,但须出具本人身份证原件及复印件）及被授权人身份证原件；（注：被授权人须为本单位在职员工并提供投标截止日前三个月社会保障资金凭证并加盖投标人公章）</w:t>
      </w:r>
    </w:p>
    <w:p>
      <w:pPr>
        <w:pStyle w:val="null3"/>
      </w:pPr>
      <w:r>
        <w:rPr>
          <w:rFonts w:ascii="仿宋_GB2312" w:hAnsi="仿宋_GB2312" w:cs="仿宋_GB2312" w:eastAsia="仿宋_GB2312"/>
        </w:rPr>
        <w:t>3、财务状况证明：提供2024年度或2025年度经审计的财务审计报告(成立时间至开标时间不足一年的可提供成立后任意时段的资产负债表）或投标截止时间前六个月内其基本账户银行出具的资信证明</w:t>
      </w:r>
    </w:p>
    <w:p>
      <w:pPr>
        <w:pStyle w:val="null3"/>
      </w:pPr>
      <w:r>
        <w:rPr>
          <w:rFonts w:ascii="仿宋_GB2312" w:hAnsi="仿宋_GB2312" w:cs="仿宋_GB2312" w:eastAsia="仿宋_GB2312"/>
        </w:rPr>
        <w:t>4、税收缴纳证明：提供本单位2025年11月至今任意一个月的纳税证明或完税证明；（以税款所属期为准，依法免税的应提供相关证明材料）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5、社会保障资金缴纳证明：提供本单位2025年11月至今已缴纳的至少一个月的社会保障资金缴存单据或社保机构开具的社会保险参保缴费情况证明；（依法不需要缴纳社会保障资金的投标人应提供相关证明）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6、具有履行合同所必需的设备和专业技术能力：具有履行合同所必需的设备和专业技术能力</w:t>
      </w:r>
    </w:p>
    <w:p>
      <w:pPr>
        <w:pStyle w:val="null3"/>
      </w:pPr>
      <w:r>
        <w:rPr>
          <w:rFonts w:ascii="仿宋_GB2312" w:hAnsi="仿宋_GB2312" w:cs="仿宋_GB2312" w:eastAsia="仿宋_GB2312"/>
        </w:rPr>
        <w:t>7、声明：提供参加政府采购活动前三年内在经营活动中没有重大违法记录的书面声明</w:t>
      </w:r>
    </w:p>
    <w:p>
      <w:pPr>
        <w:pStyle w:val="null3"/>
      </w:pPr>
      <w:r>
        <w:rPr>
          <w:rFonts w:ascii="仿宋_GB2312" w:hAnsi="仿宋_GB2312" w:cs="仿宋_GB2312" w:eastAsia="仿宋_GB2312"/>
        </w:rPr>
        <w:t>8、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澄城县水资源中心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澄城县宝塔路东段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0913-6715537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陕西中治宏成项目管理有限公司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陕西省西安市国家民用航天产业基地东⻓安街航天新天地三号楼 1630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袁佩侠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18191935656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台式电脑、便携式电脑（笔记本电脑）、彩⾊激光打印机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台式电脑、便携式电脑（笔记本电脑）、彩⾊激光打印机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开户名称：陕西中治宏成项目管理有限公司</w:t>
            </w:r>
          </w:p>
          <w:p>
            <w:pPr>
              <w:pStyle w:val="null3"/>
            </w:pPr>
            <w:r>
              <w:rPr>
                <w:rFonts w:ascii="仿宋_GB2312" w:hAnsi="仿宋_GB2312" w:cs="仿宋_GB2312" w:eastAsia="仿宋_GB2312"/>
              </w:rPr>
              <w:t>开户银行：中国建设银行股份有限公司西安雁塔南路南段支行</w:t>
            </w:r>
          </w:p>
          <w:p>
            <w:pPr>
              <w:pStyle w:val="null3"/>
            </w:pPr>
            <w:r>
              <w:rPr>
                <w:rFonts w:ascii="仿宋_GB2312" w:hAnsi="仿宋_GB2312" w:cs="仿宋_GB2312" w:eastAsia="仿宋_GB2312"/>
              </w:rPr>
              <w:t>银行账号：61050111583800000354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代理服务费收费标准：（1）代理服务费：代理服务费参照国家计委关于印发《招标代理服务收 费管理暂行办法》的通知（计价格〔2002〕1980号）、《国家发展和改革委员会办公厅关于招标代理服务收费有关问题的通知》（发改办价格〔2003〕857号）文件计取。 （2）代理服务费的交纳方式：由中标供应商在领取中标通知书前向招标代理机构一次性支付； 开户行名称 ：陕西中治宏成项目管理有限公司 开户银行：中国建设银行股份有限公司西安雁塔南路南段支行账号：61050111583800000354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澄城县水资源中心</w:t>
      </w:r>
      <w:r>
        <w:rPr>
          <w:rFonts w:ascii="仿宋_GB2312" w:hAnsi="仿宋_GB2312" w:cs="仿宋_GB2312" w:eastAsia="仿宋_GB2312"/>
        </w:rPr>
        <w:t>和</w:t>
      </w:r>
      <w:r>
        <w:rPr>
          <w:rFonts w:ascii="仿宋_GB2312" w:hAnsi="仿宋_GB2312" w:cs="仿宋_GB2312" w:eastAsia="仿宋_GB2312"/>
        </w:rPr>
        <w:t>陕西中治宏成项目管理有限公司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澄城县水资源中心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陕西中治宏成项目管理有限公司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澄城县水资源中心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陕西中治宏成项目管理有限公司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由采购人牵头成立验收小组，组织实施履约验收工作，供应商配合提供全部验收资料与现场服务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联系人：袁佩侠</w:t>
      </w:r>
    </w:p>
    <w:p>
      <w:pPr>
        <w:pStyle w:val="null3"/>
      </w:pPr>
      <w:r>
        <w:rPr>
          <w:rFonts w:ascii="仿宋_GB2312" w:hAnsi="仿宋_GB2312" w:cs="仿宋_GB2312" w:eastAsia="仿宋_GB2312"/>
        </w:rPr>
        <w:t>联系电话：18191935656</w:t>
      </w:r>
    </w:p>
    <w:p>
      <w:pPr>
        <w:pStyle w:val="null3"/>
      </w:pPr>
      <w:r>
        <w:rPr>
          <w:rFonts w:ascii="仿宋_GB2312" w:hAnsi="仿宋_GB2312" w:cs="仿宋_GB2312" w:eastAsia="仿宋_GB2312"/>
        </w:rPr>
        <w:t>地址：陕西中治宏成项目管理有限公司（澄城县原种子管理站二楼综合办公室）</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基础设施建设:水预算管理信息化系统建设、建设在线监测设施、已安装水计量表检定、核准;重点用水户开展水平衡测试。2、宣传培训、评价:水预算管理政策解读、业务培训指导、跟踪评估、成果汇编和其他事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1,865,600.00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澄城县水预算管理试点项目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标的名称：澄城县水预算管理试点项目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color w:val="333333"/>
              </w:rPr>
              <w:t>一、总体服务内容及要求</w:t>
            </w:r>
          </w:p>
          <w:p>
            <w:pPr>
              <w:pStyle w:val="null3"/>
              <w:spacing w:before="105" w:after="105"/>
              <w:jc w:val="both"/>
            </w:pPr>
            <w:r>
              <w:rPr>
                <w:rFonts w:ascii="仿宋_GB2312" w:hAnsi="仿宋_GB2312" w:cs="仿宋_GB2312" w:eastAsia="仿宋_GB2312"/>
                <w:sz w:val="24"/>
                <w:color w:val="333333"/>
              </w:rPr>
              <w:t>1、系统需求调研与分析服务：对水预算管理业务进行全面调研，梳理业务流程、需求清单与边界。</w:t>
            </w:r>
          </w:p>
          <w:p>
            <w:pPr>
              <w:pStyle w:val="null3"/>
              <w:spacing w:before="105" w:after="105"/>
              <w:jc w:val="both"/>
            </w:pPr>
            <w:r>
              <w:rPr>
                <w:rFonts w:ascii="仿宋_GB2312" w:hAnsi="仿宋_GB2312" w:cs="仿宋_GB2312" w:eastAsia="仿宋_GB2312"/>
                <w:sz w:val="24"/>
                <w:color w:val="333333"/>
              </w:rPr>
              <w:t>2、系统设计与开发服务：完成水预算管理系统的架构设计、功能开发、接口开发、数据库设计等全流程服务。</w:t>
            </w:r>
          </w:p>
          <w:p>
            <w:pPr>
              <w:pStyle w:val="null3"/>
              <w:spacing w:before="105" w:after="105"/>
              <w:jc w:val="both"/>
            </w:pPr>
            <w:r>
              <w:rPr>
                <w:rFonts w:ascii="仿宋_GB2312" w:hAnsi="仿宋_GB2312" w:cs="仿宋_GB2312" w:eastAsia="仿宋_GB2312"/>
                <w:sz w:val="24"/>
                <w:color w:val="333333"/>
              </w:rPr>
              <w:t>3、系统部署与实施服务：完成系统在云平台的部署、配置、调试，以及与在线计量设备的数据对接服务。</w:t>
            </w:r>
          </w:p>
          <w:p>
            <w:pPr>
              <w:pStyle w:val="null3"/>
              <w:spacing w:before="105" w:after="105"/>
              <w:jc w:val="both"/>
            </w:pPr>
            <w:r>
              <w:rPr>
                <w:rFonts w:ascii="仿宋_GB2312" w:hAnsi="仿宋_GB2312" w:cs="仿宋_GB2312" w:eastAsia="仿宋_GB2312"/>
                <w:sz w:val="24"/>
                <w:color w:val="333333"/>
              </w:rPr>
              <w:t>4、设备集成与调试服务：完成RTU、台式电脑等硬件设备的安装、调试、集成服务。</w:t>
            </w:r>
          </w:p>
          <w:p>
            <w:pPr>
              <w:pStyle w:val="null3"/>
              <w:spacing w:before="105" w:after="105"/>
              <w:jc w:val="both"/>
            </w:pPr>
            <w:r>
              <w:rPr>
                <w:rFonts w:ascii="仿宋_GB2312" w:hAnsi="仿宋_GB2312" w:cs="仿宋_GB2312" w:eastAsia="仿宋_GB2312"/>
                <w:sz w:val="24"/>
                <w:color w:val="333333"/>
              </w:rPr>
              <w:t>5、测试与优化服务：开展系统功能测试、性能测试、安全测试与漏洞修复，保障系统稳定运行。</w:t>
            </w:r>
          </w:p>
          <w:p>
            <w:pPr>
              <w:pStyle w:val="null3"/>
              <w:spacing w:before="105" w:after="105"/>
              <w:jc w:val="both"/>
            </w:pPr>
            <w:r>
              <w:rPr>
                <w:rFonts w:ascii="仿宋_GB2312" w:hAnsi="仿宋_GB2312" w:cs="仿宋_GB2312" w:eastAsia="仿宋_GB2312"/>
                <w:sz w:val="24"/>
                <w:color w:val="333333"/>
              </w:rPr>
              <w:t>6、合规服务：配合完成系统等保二级测评、合规整改服务。</w:t>
            </w:r>
          </w:p>
          <w:p>
            <w:pPr>
              <w:pStyle w:val="null3"/>
              <w:spacing w:before="105" w:after="105"/>
              <w:jc w:val="both"/>
            </w:pPr>
            <w:r>
              <w:rPr>
                <w:rFonts w:ascii="仿宋_GB2312" w:hAnsi="仿宋_GB2312" w:cs="仿宋_GB2312" w:eastAsia="仿宋_GB2312"/>
                <w:sz w:val="24"/>
                <w:color w:val="333333"/>
              </w:rPr>
              <w:t>7、培训服务：为用户提供系统操作、人员培训等服务。</w:t>
            </w:r>
          </w:p>
          <w:p>
            <w:pPr>
              <w:pStyle w:val="null3"/>
              <w:spacing w:before="105" w:after="105"/>
              <w:jc w:val="both"/>
            </w:pPr>
            <w:r>
              <w:rPr>
                <w:rFonts w:ascii="仿宋_GB2312" w:hAnsi="仿宋_GB2312" w:cs="仿宋_GB2312" w:eastAsia="仿宋_GB2312"/>
                <w:sz w:val="24"/>
                <w:color w:val="333333"/>
              </w:rPr>
              <w:t>8、验收配合服务：配合采购人完成项目验收，提供验收资料、测试报告等支撑服务。</w:t>
            </w:r>
          </w:p>
          <w:p>
            <w:pPr>
              <w:pStyle w:val="null3"/>
              <w:spacing w:before="105" w:after="105"/>
              <w:jc w:val="both"/>
            </w:pPr>
            <w:r>
              <w:rPr>
                <w:rFonts w:ascii="仿宋_GB2312" w:hAnsi="仿宋_GB2312" w:cs="仿宋_GB2312" w:eastAsia="仿宋_GB2312"/>
                <w:sz w:val="24"/>
                <w:b/>
                <w:color w:val="333333"/>
              </w:rPr>
              <w:t>二、基础设施建设</w:t>
            </w:r>
          </w:p>
          <w:p>
            <w:pPr>
              <w:pStyle w:val="null3"/>
              <w:spacing w:before="105" w:after="105"/>
              <w:jc w:val="both"/>
            </w:pPr>
            <w:r>
              <w:rPr>
                <w:rFonts w:ascii="仿宋_GB2312" w:hAnsi="仿宋_GB2312" w:cs="仿宋_GB2312" w:eastAsia="仿宋_GB2312"/>
                <w:sz w:val="24"/>
                <w:color w:val="333333"/>
              </w:rPr>
              <w:t>（一）水预算管理信息化系统建设</w:t>
            </w:r>
          </w:p>
          <w:p>
            <w:pPr>
              <w:pStyle w:val="null3"/>
              <w:spacing w:before="105" w:after="105"/>
              <w:jc w:val="both"/>
            </w:pPr>
            <w:r>
              <w:rPr>
                <w:rFonts w:ascii="仿宋_GB2312" w:hAnsi="仿宋_GB2312" w:cs="仿宋_GB2312" w:eastAsia="仿宋_GB2312"/>
                <w:sz w:val="24"/>
                <w:color w:val="333333"/>
              </w:rPr>
              <w:t>1.软件开发功能要求</w:t>
            </w:r>
          </w:p>
          <w:p>
            <w:pPr>
              <w:pStyle w:val="null3"/>
              <w:spacing w:before="105" w:after="105"/>
              <w:jc w:val="both"/>
            </w:pPr>
            <w:r>
              <w:rPr>
                <w:rFonts w:ascii="仿宋_GB2312" w:hAnsi="仿宋_GB2312" w:cs="仿宋_GB2312" w:eastAsia="仿宋_GB2312"/>
                <w:sz w:val="24"/>
                <w:color w:val="333333"/>
              </w:rPr>
              <w:t>1.1系统权限管理：菜单管理、数据字典（系统模块的配置）、角色管理、组织机构、审批流程配置，实现用户分级管理包含上报、审核、审批等。</w:t>
            </w:r>
          </w:p>
          <w:p>
            <w:pPr>
              <w:pStyle w:val="null3"/>
              <w:spacing w:before="105" w:after="105"/>
              <w:jc w:val="both"/>
            </w:pPr>
            <w:r>
              <w:rPr>
                <w:rFonts w:ascii="仿宋_GB2312" w:hAnsi="仿宋_GB2312" w:cs="仿宋_GB2312" w:eastAsia="仿宋_GB2312"/>
                <w:sz w:val="24"/>
                <w:color w:val="333333"/>
              </w:rPr>
              <w:t>1.2系统基础管理：用水户管理、水预算额度计算配置、水表管理（录入水表并与用水户对应，实现在线数据与系统的匹配）。</w:t>
            </w:r>
          </w:p>
          <w:p>
            <w:pPr>
              <w:pStyle w:val="null3"/>
              <w:spacing w:before="105" w:after="105"/>
              <w:jc w:val="both"/>
            </w:pPr>
            <w:r>
              <w:rPr>
                <w:rFonts w:ascii="仿宋_GB2312" w:hAnsi="仿宋_GB2312" w:cs="仿宋_GB2312" w:eastAsia="仿宋_GB2312"/>
                <w:sz w:val="24"/>
                <w:color w:val="333333"/>
              </w:rPr>
              <w:t>1.3节水法律法规管理：分类、分行业水相关法律法规、标准等，可按行业相关度自动推送，用户可随时查阅。</w:t>
            </w:r>
          </w:p>
          <w:p>
            <w:pPr>
              <w:pStyle w:val="null3"/>
              <w:spacing w:before="105" w:after="105"/>
              <w:jc w:val="both"/>
            </w:pPr>
            <w:r>
              <w:rPr>
                <w:rFonts w:ascii="仿宋_GB2312" w:hAnsi="仿宋_GB2312" w:cs="仿宋_GB2312" w:eastAsia="仿宋_GB2312"/>
                <w:sz w:val="24"/>
                <w:color w:val="333333"/>
              </w:rPr>
              <w:t>1.4水预算量与跟踪：水预算量测算、水预算量审批、水预算量下达、月度数据填报/采集、水预算完成情况预警（过渡期同时进行计划用水指标的审批、下达，及完成情况预警）。</w:t>
            </w:r>
          </w:p>
          <w:p>
            <w:pPr>
              <w:pStyle w:val="null3"/>
              <w:spacing w:before="105" w:after="105"/>
              <w:jc w:val="both"/>
            </w:pPr>
            <w:r>
              <w:rPr>
                <w:rFonts w:ascii="仿宋_GB2312" w:hAnsi="仿宋_GB2312" w:cs="仿宋_GB2312" w:eastAsia="仿宋_GB2312"/>
                <w:sz w:val="24"/>
                <w:color w:val="333333"/>
              </w:rPr>
              <w:t>1.5报表中心：按照用户要求生成各类报表。</w:t>
            </w:r>
          </w:p>
          <w:p>
            <w:pPr>
              <w:pStyle w:val="null3"/>
              <w:spacing w:before="105" w:after="105"/>
              <w:jc w:val="both"/>
            </w:pPr>
            <w:r>
              <w:rPr>
                <w:rFonts w:ascii="仿宋_GB2312" w:hAnsi="仿宋_GB2312" w:cs="仿宋_GB2312" w:eastAsia="仿宋_GB2312"/>
                <w:sz w:val="24"/>
                <w:color w:val="333333"/>
              </w:rPr>
              <w:t>1.6统计分析：总貌（用图形化展示澄城县用水的总体情况，包括用水的年度总量、月度走势、行业分布等信息；目标完成情况、水预算结余量；并在地图上展示用水企业的分布）；企业用水（展示用水户总体用水情况，包括年度用水量、年度走势、月度走势等）。</w:t>
            </w:r>
          </w:p>
          <w:p>
            <w:pPr>
              <w:pStyle w:val="null3"/>
              <w:spacing w:before="105" w:after="105"/>
              <w:jc w:val="both"/>
            </w:pPr>
            <w:r>
              <w:rPr>
                <w:rFonts w:ascii="仿宋_GB2312" w:hAnsi="仿宋_GB2312" w:cs="仿宋_GB2312" w:eastAsia="仿宋_GB2312"/>
                <w:sz w:val="24"/>
                <w:color w:val="333333"/>
              </w:rPr>
              <w:t>1.7移动端：手机移动端可实现法规查看、审批、填报、统计分析、消息提示。</w:t>
            </w:r>
          </w:p>
          <w:p>
            <w:pPr>
              <w:pStyle w:val="null3"/>
              <w:spacing w:before="105" w:after="105"/>
              <w:jc w:val="both"/>
            </w:pPr>
            <w:r>
              <w:rPr>
                <w:rFonts w:ascii="仿宋_GB2312" w:hAnsi="仿宋_GB2312" w:cs="仿宋_GB2312" w:eastAsia="仿宋_GB2312"/>
                <w:sz w:val="24"/>
                <w:color w:val="333333"/>
              </w:rPr>
              <w:t>1.8水表数据采集：将水表传输的用水量数据采集并存储。</w:t>
            </w:r>
          </w:p>
          <w:p>
            <w:pPr>
              <w:pStyle w:val="null3"/>
              <w:spacing w:before="105" w:after="105"/>
              <w:jc w:val="both"/>
            </w:pPr>
            <w:r>
              <w:rPr>
                <w:rFonts w:ascii="仿宋_GB2312" w:hAnsi="仿宋_GB2312" w:cs="仿宋_GB2312" w:eastAsia="仿宋_GB2312"/>
                <w:sz w:val="24"/>
                <w:color w:val="333333"/>
              </w:rPr>
              <w:t>2.硬件配套要求</w:t>
            </w:r>
          </w:p>
          <w:p>
            <w:pPr>
              <w:pStyle w:val="null3"/>
              <w:spacing w:before="105" w:after="105"/>
              <w:jc w:val="both"/>
            </w:pPr>
            <w:r>
              <w:rPr>
                <w:rFonts w:ascii="仿宋_GB2312" w:hAnsi="仿宋_GB2312" w:cs="仿宋_GB2312" w:eastAsia="仿宋_GB2312"/>
                <w:sz w:val="24"/>
                <w:color w:val="333333"/>
              </w:rPr>
              <w:t>2.1台式电脑</w:t>
            </w:r>
          </w:p>
          <w:p>
            <w:pPr>
              <w:pStyle w:val="null3"/>
              <w:spacing w:before="105" w:after="105"/>
              <w:jc w:val="both"/>
            </w:pPr>
            <w:r>
              <w:rPr>
                <w:rFonts w:ascii="仿宋_GB2312" w:hAnsi="仿宋_GB2312" w:cs="仿宋_GB2312" w:eastAsia="仿宋_GB2312"/>
                <w:sz w:val="24"/>
                <w:color w:val="333333"/>
              </w:rPr>
              <w:t>2.1.1 CPU：i5-13400。</w:t>
            </w:r>
          </w:p>
          <w:p>
            <w:pPr>
              <w:pStyle w:val="null3"/>
              <w:spacing w:before="105" w:after="105"/>
              <w:jc w:val="both"/>
            </w:pPr>
            <w:r>
              <w:rPr>
                <w:rFonts w:ascii="仿宋_GB2312" w:hAnsi="仿宋_GB2312" w:cs="仿宋_GB2312" w:eastAsia="仿宋_GB2312"/>
                <w:sz w:val="24"/>
                <w:color w:val="333333"/>
              </w:rPr>
              <w:t>2.1.2内存：16GB。</w:t>
            </w:r>
          </w:p>
          <w:p>
            <w:pPr>
              <w:pStyle w:val="null3"/>
              <w:spacing w:before="105" w:after="105"/>
              <w:jc w:val="both"/>
            </w:pPr>
            <w:r>
              <w:rPr>
                <w:rFonts w:ascii="仿宋_GB2312" w:hAnsi="仿宋_GB2312" w:cs="仿宋_GB2312" w:eastAsia="仿宋_GB2312"/>
                <w:sz w:val="24"/>
                <w:color w:val="333333"/>
              </w:rPr>
              <w:t>2.1.3硬盘：512GB固态+1TB机械。</w:t>
            </w:r>
          </w:p>
          <w:p>
            <w:pPr>
              <w:pStyle w:val="null3"/>
              <w:spacing w:before="105" w:after="105"/>
              <w:jc w:val="both"/>
            </w:pPr>
            <w:r>
              <w:rPr>
                <w:rFonts w:ascii="仿宋_GB2312" w:hAnsi="仿宋_GB2312" w:cs="仿宋_GB2312" w:eastAsia="仿宋_GB2312"/>
                <w:sz w:val="24"/>
                <w:color w:val="333333"/>
              </w:rPr>
              <w:t>2.1.4显示器：≥23.8英寸。</w:t>
            </w:r>
          </w:p>
          <w:p>
            <w:pPr>
              <w:pStyle w:val="null3"/>
              <w:spacing w:before="105" w:after="105"/>
              <w:jc w:val="both"/>
            </w:pPr>
            <w:r>
              <w:rPr>
                <w:rFonts w:ascii="仿宋_GB2312" w:hAnsi="仿宋_GB2312" w:cs="仿宋_GB2312" w:eastAsia="仿宋_GB2312"/>
                <w:sz w:val="24"/>
                <w:color w:val="333333"/>
              </w:rPr>
              <w:t>2.2笔记本电脑</w:t>
            </w:r>
          </w:p>
          <w:p>
            <w:pPr>
              <w:pStyle w:val="null3"/>
              <w:spacing w:before="105" w:after="105"/>
              <w:jc w:val="both"/>
            </w:pPr>
            <w:r>
              <w:rPr>
                <w:rFonts w:ascii="仿宋_GB2312" w:hAnsi="仿宋_GB2312" w:cs="仿宋_GB2312" w:eastAsia="仿宋_GB2312"/>
                <w:sz w:val="24"/>
                <w:color w:val="333333"/>
              </w:rPr>
              <w:t>2.2.1 CPU: Intel Core Ultra9 。</w:t>
            </w:r>
          </w:p>
          <w:p>
            <w:pPr>
              <w:pStyle w:val="null3"/>
              <w:spacing w:before="105" w:after="105"/>
              <w:jc w:val="both"/>
            </w:pPr>
            <w:r>
              <w:rPr>
                <w:rFonts w:ascii="仿宋_GB2312" w:hAnsi="仿宋_GB2312" w:cs="仿宋_GB2312" w:eastAsia="仿宋_GB2312"/>
                <w:sz w:val="24"/>
                <w:color w:val="333333"/>
              </w:rPr>
              <w:t>2.2.2内存：16GB。</w:t>
            </w:r>
          </w:p>
          <w:p>
            <w:pPr>
              <w:pStyle w:val="null3"/>
              <w:spacing w:before="105" w:after="105"/>
              <w:jc w:val="both"/>
            </w:pPr>
            <w:r>
              <w:rPr>
                <w:rFonts w:ascii="仿宋_GB2312" w:hAnsi="仿宋_GB2312" w:cs="仿宋_GB2312" w:eastAsia="仿宋_GB2312"/>
                <w:sz w:val="24"/>
                <w:color w:val="333333"/>
              </w:rPr>
              <w:t>2.2.3固态硬盘：1TB。</w:t>
            </w:r>
          </w:p>
          <w:p>
            <w:pPr>
              <w:pStyle w:val="null3"/>
              <w:spacing w:before="105" w:after="105"/>
              <w:jc w:val="both"/>
            </w:pPr>
            <w:r>
              <w:rPr>
                <w:rFonts w:ascii="仿宋_GB2312" w:hAnsi="仿宋_GB2312" w:cs="仿宋_GB2312" w:eastAsia="仿宋_GB2312"/>
                <w:sz w:val="24"/>
                <w:color w:val="333333"/>
              </w:rPr>
              <w:t>2.2.4 屏幕：16英寸。</w:t>
            </w:r>
          </w:p>
          <w:p>
            <w:pPr>
              <w:pStyle w:val="null3"/>
              <w:spacing w:before="105" w:after="105"/>
              <w:jc w:val="both"/>
            </w:pPr>
            <w:r>
              <w:rPr>
                <w:rFonts w:ascii="仿宋_GB2312" w:hAnsi="仿宋_GB2312" w:cs="仿宋_GB2312" w:eastAsia="仿宋_GB2312"/>
                <w:sz w:val="24"/>
                <w:color w:val="333333"/>
              </w:rPr>
              <w:t>2.3彩色激光打印机</w:t>
            </w:r>
          </w:p>
          <w:p>
            <w:pPr>
              <w:pStyle w:val="null3"/>
              <w:spacing w:before="105" w:after="105"/>
              <w:jc w:val="both"/>
            </w:pPr>
            <w:r>
              <w:rPr>
                <w:rFonts w:ascii="仿宋_GB2312" w:hAnsi="仿宋_GB2312" w:cs="仿宋_GB2312" w:eastAsia="仿宋_GB2312"/>
                <w:sz w:val="24"/>
                <w:color w:val="333333"/>
              </w:rPr>
              <w:t>2.3.1含送稿器。</w:t>
            </w:r>
          </w:p>
          <w:p>
            <w:pPr>
              <w:pStyle w:val="null3"/>
              <w:spacing w:before="105" w:after="105"/>
              <w:jc w:val="both"/>
            </w:pPr>
            <w:r>
              <w:rPr>
                <w:rFonts w:ascii="仿宋_GB2312" w:hAnsi="仿宋_GB2312" w:cs="仿宋_GB2312" w:eastAsia="仿宋_GB2312"/>
                <w:sz w:val="24"/>
                <w:color w:val="333333"/>
              </w:rPr>
              <w:t>2.3.2支持网络打印。</w:t>
            </w:r>
          </w:p>
          <w:p>
            <w:pPr>
              <w:pStyle w:val="null3"/>
              <w:spacing w:before="105" w:after="105"/>
              <w:jc w:val="both"/>
            </w:pPr>
            <w:r>
              <w:rPr>
                <w:rFonts w:ascii="仿宋_GB2312" w:hAnsi="仿宋_GB2312" w:cs="仿宋_GB2312" w:eastAsia="仿宋_GB2312"/>
                <w:sz w:val="24"/>
                <w:color w:val="333333"/>
              </w:rPr>
              <w:t>2.3.3支持双面打印。</w:t>
            </w:r>
          </w:p>
          <w:p>
            <w:pPr>
              <w:pStyle w:val="null3"/>
              <w:spacing w:before="105" w:after="105"/>
              <w:jc w:val="both"/>
            </w:pPr>
            <w:r>
              <w:rPr>
                <w:rFonts w:ascii="仿宋_GB2312" w:hAnsi="仿宋_GB2312" w:cs="仿宋_GB2312" w:eastAsia="仿宋_GB2312"/>
                <w:sz w:val="24"/>
                <w:color w:val="333333"/>
              </w:rPr>
              <w:t>2.3.4内存≥265MB。</w:t>
            </w:r>
          </w:p>
          <w:p>
            <w:pPr>
              <w:pStyle w:val="null3"/>
              <w:spacing w:before="105" w:after="105"/>
              <w:jc w:val="both"/>
            </w:pPr>
            <w:r>
              <w:rPr>
                <w:rFonts w:ascii="仿宋_GB2312" w:hAnsi="仿宋_GB2312" w:cs="仿宋_GB2312" w:eastAsia="仿宋_GB2312"/>
                <w:sz w:val="24"/>
                <w:color w:val="333333"/>
              </w:rPr>
              <w:t>2.3.5打印速度≥20ppm。</w:t>
            </w:r>
          </w:p>
          <w:p>
            <w:pPr>
              <w:pStyle w:val="null3"/>
              <w:spacing w:before="105" w:after="105"/>
              <w:jc w:val="both"/>
            </w:pPr>
            <w:r>
              <w:rPr>
                <w:rFonts w:ascii="仿宋_GB2312" w:hAnsi="仿宋_GB2312" w:cs="仿宋_GB2312" w:eastAsia="仿宋_GB2312"/>
                <w:sz w:val="24"/>
                <w:color w:val="333333"/>
              </w:rPr>
              <w:t>2.3.6支持复印扫描。</w:t>
            </w:r>
          </w:p>
          <w:p>
            <w:pPr>
              <w:pStyle w:val="null3"/>
              <w:spacing w:before="105" w:after="105"/>
              <w:jc w:val="both"/>
            </w:pPr>
            <w:r>
              <w:rPr>
                <w:rFonts w:ascii="仿宋_GB2312" w:hAnsi="仿宋_GB2312" w:cs="仿宋_GB2312" w:eastAsia="仿宋_GB2312"/>
                <w:sz w:val="24"/>
                <w:color w:val="333333"/>
              </w:rPr>
              <w:t>（二）</w:t>
            </w:r>
            <w:r>
              <w:rPr>
                <w:rFonts w:ascii="仿宋_GB2312" w:hAnsi="仿宋_GB2312" w:cs="仿宋_GB2312" w:eastAsia="仿宋_GB2312"/>
                <w:sz w:val="24"/>
                <w:color w:val="333333"/>
              </w:rPr>
              <w:t>在线监测设施建设</w:t>
            </w:r>
          </w:p>
          <w:p>
            <w:pPr>
              <w:pStyle w:val="null3"/>
              <w:spacing w:before="105" w:after="105"/>
              <w:jc w:val="both"/>
            </w:pPr>
            <w:r>
              <w:rPr>
                <w:rFonts w:ascii="仿宋_GB2312" w:hAnsi="仿宋_GB2312" w:cs="仿宋_GB2312" w:eastAsia="仿宋_GB2312"/>
                <w:sz w:val="24"/>
                <w:color w:val="333333"/>
              </w:rPr>
              <w:t>1.网关RTU（55套）</w:t>
            </w:r>
          </w:p>
          <w:p>
            <w:pPr>
              <w:pStyle w:val="null3"/>
              <w:spacing w:before="105" w:after="105"/>
              <w:jc w:val="both"/>
            </w:pPr>
            <w:r>
              <w:rPr>
                <w:rFonts w:ascii="仿宋_GB2312" w:hAnsi="仿宋_GB2312" w:cs="仿宋_GB2312" w:eastAsia="仿宋_GB2312"/>
                <w:sz w:val="24"/>
                <w:color w:val="333333"/>
              </w:rPr>
              <w:t>1.1数据采集、控制、存储、传输一体化设计，单体支持采集各种标准的变送器、传感器、串口仪表。</w:t>
            </w:r>
          </w:p>
          <w:p>
            <w:pPr>
              <w:pStyle w:val="null3"/>
              <w:spacing w:before="105" w:after="105"/>
              <w:jc w:val="both"/>
            </w:pPr>
            <w:r>
              <w:rPr>
                <w:rFonts w:ascii="仿宋_GB2312" w:hAnsi="仿宋_GB2312" w:cs="仿宋_GB2312" w:eastAsia="仿宋_GB2312"/>
                <w:sz w:val="24"/>
                <w:color w:val="333333"/>
              </w:rPr>
              <w:t>1.2通信功能：可通过4GLTE/GPRS/CDMA/NB-IoT、短消息、卫星等无线通信方式实现设备联网。</w:t>
            </w:r>
          </w:p>
          <w:p>
            <w:pPr>
              <w:pStyle w:val="null3"/>
              <w:spacing w:before="105" w:after="105"/>
              <w:jc w:val="both"/>
            </w:pPr>
            <w:r>
              <w:rPr>
                <w:rFonts w:ascii="仿宋_GB2312" w:hAnsi="仿宋_GB2312" w:cs="仿宋_GB2312" w:eastAsia="仿宋_GB2312"/>
                <w:sz w:val="24"/>
                <w:color w:val="333333"/>
              </w:rPr>
              <w:t>1.3远程管理功能：支持远程参数设置、程序升级。</w:t>
            </w:r>
          </w:p>
          <w:p>
            <w:pPr>
              <w:pStyle w:val="null3"/>
              <w:spacing w:before="105" w:after="105"/>
              <w:jc w:val="both"/>
            </w:pPr>
            <w:r>
              <w:rPr>
                <w:rFonts w:ascii="仿宋_GB2312" w:hAnsi="仿宋_GB2312" w:cs="仿宋_GB2312" w:eastAsia="仿宋_GB2312"/>
                <w:sz w:val="24"/>
                <w:color w:val="333333"/>
              </w:rPr>
              <w:t>1.4报警功能：监测数据越限，立即上报告警信息。</w:t>
            </w:r>
          </w:p>
          <w:p>
            <w:pPr>
              <w:pStyle w:val="null3"/>
              <w:spacing w:before="105" w:after="105"/>
              <w:jc w:val="both"/>
            </w:pPr>
            <w:r>
              <w:rPr>
                <w:rFonts w:ascii="仿宋_GB2312" w:hAnsi="仿宋_GB2312" w:cs="仿宋_GB2312" w:eastAsia="仿宋_GB2312"/>
                <w:sz w:val="24"/>
                <w:color w:val="333333"/>
              </w:rPr>
              <w:t>1.5存储功能：本机循环存储监测数据，掉电不丢失。</w:t>
            </w:r>
          </w:p>
          <w:p>
            <w:pPr>
              <w:pStyle w:val="null3"/>
              <w:spacing w:before="105" w:after="105"/>
              <w:jc w:val="both"/>
            </w:pPr>
            <w:r>
              <w:rPr>
                <w:rFonts w:ascii="仿宋_GB2312" w:hAnsi="仿宋_GB2312" w:cs="仿宋_GB2312" w:eastAsia="仿宋_GB2312"/>
                <w:sz w:val="24"/>
                <w:color w:val="333333"/>
              </w:rPr>
              <w:t>1.6接口：支持485串口、模拟量输入、开关量输入、脉冲量输入、支持RJ45网口、开关量输出接口。</w:t>
            </w:r>
          </w:p>
          <w:p>
            <w:pPr>
              <w:pStyle w:val="null3"/>
              <w:spacing w:before="105" w:after="105"/>
              <w:jc w:val="both"/>
            </w:pPr>
            <w:r>
              <w:rPr>
                <w:rFonts w:ascii="仿宋_GB2312" w:hAnsi="仿宋_GB2312" w:cs="仿宋_GB2312" w:eastAsia="仿宋_GB2312"/>
                <w:sz w:val="24"/>
                <w:color w:val="333333"/>
              </w:rPr>
              <w:t>1.7多种网络连接方式：WIFI、蓝牙、网口、无线网络四种传输方式。</w:t>
            </w:r>
          </w:p>
          <w:p>
            <w:pPr>
              <w:pStyle w:val="null3"/>
              <w:spacing w:before="105" w:after="105"/>
              <w:jc w:val="both"/>
            </w:pPr>
            <w:r>
              <w:rPr>
                <w:rFonts w:ascii="仿宋_GB2312" w:hAnsi="仿宋_GB2312" w:cs="仿宋_GB2312" w:eastAsia="仿宋_GB2312"/>
                <w:sz w:val="24"/>
                <w:color w:val="333333"/>
              </w:rPr>
              <w:t>1.8存储功能：≥8GB内存。</w:t>
            </w:r>
          </w:p>
          <w:p>
            <w:pPr>
              <w:pStyle w:val="null3"/>
              <w:spacing w:before="105" w:after="105"/>
              <w:jc w:val="both"/>
            </w:pPr>
            <w:r>
              <w:rPr>
                <w:rFonts w:ascii="仿宋_GB2312" w:hAnsi="仿宋_GB2312" w:cs="仿宋_GB2312" w:eastAsia="仿宋_GB2312"/>
                <w:sz w:val="24"/>
                <w:color w:val="333333"/>
              </w:rPr>
              <w:t>1.9产品通过水利部《水资源监测数据传输规约（SL/T 427-2021）》、SL651《水文监测数据通信规约》、SZY206《水资源监测数据传输规约》检测，提供检测报告。通过第三方机构 SZY 20-2016《水资源监测设备技术条件》、SZY 205-2016《水资源监测设备质量检验》检测。</w:t>
            </w:r>
          </w:p>
          <w:p>
            <w:pPr>
              <w:pStyle w:val="null3"/>
              <w:spacing w:before="105" w:after="105"/>
              <w:jc w:val="both"/>
            </w:pPr>
            <w:r>
              <w:rPr>
                <w:rFonts w:ascii="仿宋_GB2312" w:hAnsi="仿宋_GB2312" w:cs="仿宋_GB2312" w:eastAsia="仿宋_GB2312"/>
                <w:sz w:val="24"/>
                <w:color w:val="333333"/>
              </w:rPr>
              <w:t>2. 网管箱（55 个）：铝合金材质，尺寸：300mm*200mm*100mm。</w:t>
            </w:r>
          </w:p>
          <w:p>
            <w:pPr>
              <w:pStyle w:val="null3"/>
              <w:spacing w:before="105" w:after="105"/>
              <w:jc w:val="both"/>
            </w:pPr>
            <w:r>
              <w:rPr>
                <w:rFonts w:ascii="仿宋_GB2312" w:hAnsi="仿宋_GB2312" w:cs="仿宋_GB2312" w:eastAsia="仿宋_GB2312"/>
                <w:sz w:val="24"/>
                <w:color w:val="333333"/>
              </w:rPr>
              <w:t>3.电源电缆（550米左右）：铜线。</w:t>
            </w:r>
          </w:p>
          <w:p>
            <w:pPr>
              <w:pStyle w:val="null3"/>
              <w:spacing w:before="105" w:after="105"/>
              <w:jc w:val="both"/>
            </w:pPr>
            <w:r>
              <w:rPr>
                <w:rFonts w:ascii="仿宋_GB2312" w:hAnsi="仿宋_GB2312" w:cs="仿宋_GB2312" w:eastAsia="仿宋_GB2312"/>
                <w:sz w:val="24"/>
                <w:color w:val="333333"/>
              </w:rPr>
              <w:t>4.数据线（550米左右）：高速。</w:t>
            </w:r>
          </w:p>
          <w:p>
            <w:pPr>
              <w:pStyle w:val="null3"/>
              <w:spacing w:before="105" w:after="105"/>
              <w:jc w:val="both"/>
            </w:pPr>
            <w:r>
              <w:rPr>
                <w:rFonts w:ascii="仿宋_GB2312" w:hAnsi="仿宋_GB2312" w:cs="仿宋_GB2312" w:eastAsia="仿宋_GB2312"/>
                <w:sz w:val="24"/>
                <w:color w:val="333333"/>
              </w:rPr>
              <w:t>5.数据传输：55项/年。</w:t>
            </w:r>
          </w:p>
          <w:p>
            <w:pPr>
              <w:pStyle w:val="null3"/>
              <w:spacing w:before="105" w:after="105"/>
              <w:jc w:val="both"/>
            </w:pPr>
            <w:r>
              <w:rPr>
                <w:rFonts w:ascii="仿宋_GB2312" w:hAnsi="仿宋_GB2312" w:cs="仿宋_GB2312" w:eastAsia="仿宋_GB2312"/>
                <w:sz w:val="24"/>
                <w:color w:val="333333"/>
              </w:rPr>
              <w:t>6.设施设备安装调试。</w:t>
            </w:r>
          </w:p>
          <w:p>
            <w:pPr>
              <w:pStyle w:val="null3"/>
              <w:spacing w:before="105" w:after="105"/>
              <w:jc w:val="both"/>
            </w:pPr>
            <w:r>
              <w:rPr>
                <w:rFonts w:ascii="仿宋_GB2312" w:hAnsi="仿宋_GB2312" w:cs="仿宋_GB2312" w:eastAsia="仿宋_GB2312"/>
                <w:sz w:val="24"/>
                <w:color w:val="333333"/>
              </w:rPr>
              <w:t>（三）已安装水计量表检定、核准（</w:t>
            </w:r>
            <w:r>
              <w:rPr>
                <w:rFonts w:ascii="仿宋_GB2312" w:hAnsi="仿宋_GB2312" w:cs="仿宋_GB2312" w:eastAsia="仿宋_GB2312"/>
                <w:sz w:val="24"/>
                <w:color w:val="333333"/>
              </w:rPr>
              <w:t>2台）</w:t>
            </w:r>
          </w:p>
          <w:p>
            <w:pPr>
              <w:pStyle w:val="null3"/>
              <w:spacing w:before="105" w:after="105"/>
              <w:jc w:val="both"/>
            </w:pPr>
            <w:r>
              <w:rPr>
                <w:rFonts w:ascii="仿宋_GB2312" w:hAnsi="仿宋_GB2312" w:cs="仿宋_GB2312" w:eastAsia="仿宋_GB2312"/>
                <w:sz w:val="24"/>
                <w:color w:val="333333"/>
              </w:rPr>
              <w:t>（四）重点用水户开展水平衡测试（</w:t>
            </w:r>
            <w:r>
              <w:rPr>
                <w:rFonts w:ascii="仿宋_GB2312" w:hAnsi="仿宋_GB2312" w:cs="仿宋_GB2312" w:eastAsia="仿宋_GB2312"/>
                <w:sz w:val="24"/>
                <w:color w:val="333333"/>
              </w:rPr>
              <w:t>2户）</w:t>
            </w:r>
          </w:p>
          <w:p>
            <w:pPr>
              <w:pStyle w:val="null3"/>
              <w:spacing w:before="105" w:after="105"/>
              <w:jc w:val="both"/>
            </w:pPr>
            <w:r>
              <w:rPr>
                <w:rFonts w:ascii="仿宋_GB2312" w:hAnsi="仿宋_GB2312" w:cs="仿宋_GB2312" w:eastAsia="仿宋_GB2312"/>
                <w:sz w:val="24"/>
                <w:color w:val="333333"/>
              </w:rPr>
              <w:t>三、宣传培训、评价</w:t>
            </w:r>
          </w:p>
          <w:p>
            <w:pPr>
              <w:pStyle w:val="null3"/>
              <w:spacing w:before="105" w:after="105"/>
              <w:jc w:val="both"/>
            </w:pPr>
            <w:r>
              <w:rPr>
                <w:rFonts w:ascii="仿宋_GB2312" w:hAnsi="仿宋_GB2312" w:cs="仿宋_GB2312" w:eastAsia="仿宋_GB2312"/>
                <w:sz w:val="24"/>
                <w:color w:val="333333"/>
              </w:rPr>
              <w:t>1.水预算管理政策解读：核心理念与政策、水预算管理制度框架等的解读。、</w:t>
            </w:r>
          </w:p>
          <w:p>
            <w:pPr>
              <w:pStyle w:val="null3"/>
              <w:spacing w:before="105" w:after="105"/>
              <w:jc w:val="both"/>
            </w:pPr>
            <w:r>
              <w:rPr>
                <w:rFonts w:ascii="仿宋_GB2312" w:hAnsi="仿宋_GB2312" w:cs="仿宋_GB2312" w:eastAsia="仿宋_GB2312"/>
                <w:sz w:val="24"/>
                <w:color w:val="333333"/>
              </w:rPr>
              <w:t>2.业务培训指导：技术方法与实操案例培训，采用“集中授课+案例剖析+研讨交流”的模式。</w:t>
            </w:r>
          </w:p>
          <w:p>
            <w:pPr>
              <w:pStyle w:val="null3"/>
              <w:spacing w:before="105" w:after="105"/>
              <w:jc w:val="both"/>
            </w:pPr>
            <w:r>
              <w:rPr>
                <w:rFonts w:ascii="仿宋_GB2312" w:hAnsi="仿宋_GB2312" w:cs="仿宋_GB2312" w:eastAsia="仿宋_GB2312"/>
                <w:sz w:val="24"/>
                <w:color w:val="333333"/>
              </w:rPr>
              <w:t>3.跟踪评估、成果汇编：参照《推进水预算管理试点建设技术指引（三）》等，对水预算试点工作评估评价，并进行成果汇编。</w:t>
            </w:r>
          </w:p>
          <w:p>
            <w:pPr>
              <w:pStyle w:val="null3"/>
              <w:spacing w:before="105" w:after="105"/>
              <w:jc w:val="both"/>
            </w:pPr>
            <w:r>
              <w:rPr>
                <w:rFonts w:ascii="仿宋_GB2312" w:hAnsi="仿宋_GB2312" w:cs="仿宋_GB2312" w:eastAsia="仿宋_GB2312"/>
              </w:rPr>
              <w:t xml:space="preserve"> </w:t>
            </w:r>
          </w:p>
          <w:p>
            <w:pPr>
              <w:pStyle w:val="null3"/>
              <w:spacing w:before="105" w:after="105"/>
              <w:jc w:val="both"/>
            </w:pPr>
            <w:r>
              <w:rPr>
                <w:rFonts w:ascii="仿宋_GB2312" w:hAnsi="仿宋_GB2312" w:cs="仿宋_GB2312" w:eastAsia="仿宋_GB2312"/>
                <w:sz w:val="24"/>
                <w:color w:val="333333"/>
              </w:rPr>
              <w:t>注：供应商的报价不得超过本采购包最高限价: 1865600.00元。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项目配置项目负责人 1 名，技术负责人 1 名，专业技术人员不少于 4 名。所有人员均为本单位全职员工，持证上岗，人员更换提前 30 日书面报备采购人。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满足技术参数与性能指标中关于设施设备的要求。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成果资料齐全规范，数据真实准确，符合国家及省市水资源预算管理相关政策规范，顺利通过县级及上级主管部门试点验收，满足项目试点运行管理全部要求。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进度款，成效评价总结通过渭南市⽔务局审核后付，达到付款条件起10个工作日内，支付合同总金额的50.0%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其他，服务期满后⽀付剩余合同价款，达到付款条件起10个工作日内，支付合同总金额的20.0%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违约方承担相应赔偿及违约金；争议先协商，协商未果在采购人所在地法院起诉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竣工验收通过后，并做好为期2年的软件平台设施网络及硬件设备的运营管护服务，2年后根据业务实际使用量情况双方协商解决后续服务（服务期满后所有硬件设备归澄城县水资源中心）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及被授权人身份证原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提供2024年度或2025年度经审计的财务审计报告(成立时间至开标时间不足一年的可提供成立后任意时段的资产负债表）或投标截止时间前六个月内其基本账户银行出具的资信证明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提供本单位2025年11月至今任意一个月的纳税证明或完税证明；（以税款所属期为准，依法免税的应提供相关证明材料）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提供本单位2025年11月至今已缴纳的至少一个月的社会保障资金缴存单据或社保机构开具的社会保险参保缴费情况证明；（依法不需要缴纳社会保障资金的投标人应提供相关证明）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投标文件应按要求加盖公章或签字</w:t>
            </w:r>
          </w:p>
        </w:tc>
        <w:tc>
          <w:tcPr>
            <w:tcW w:type="dxa" w:w="1661"/>
          </w:tcPr>
          <w:p>
            <w:pPr>
              <w:pStyle w:val="null3"/>
            </w:pPr>
            <w:r>
              <w:rPr>
                <w:rFonts w:ascii="仿宋_GB2312" w:hAnsi="仿宋_GB2312" w:cs="仿宋_GB2312" w:eastAsia="仿宋_GB2312"/>
              </w:rPr>
              <w:t>开标一览表 中小企业声明函 商务应答表 服务内容及服务要求应答表 分项报价表(服务).docx 投标函 残疾人福利性单位声明函 服务方案 业绩证明材料.docx 标的清单 资格证明材料.docx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投标文件封面 分项报价表(服务).docx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 服务内容及服务要求应答表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包含5项：①项目开发管理流程及组织架构，项目实施团队及人员配置。②风险控制方案③质量管理体系、质量管理制度、质量管理措施、质量保证承诺。④项目开发工期进度控制计划及目标。⑤系统安装部署及系统测试方案。 二、评审标准：以上5项，以序号①、②、③、④、⑤为项数，内容无缺项且无缺陷的得15分，其中每有一项内容存在缺项的扣3分，每项内容中每有一处存在缺陷的扣0.3分，未提供不得分。 三、赋分说明：“缺陷”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一、评审内容：包含4项：①业务需求、功能需求、性能需求、安全需求。 ②总体架构、技术路线、数据接口、安全设计。 ③软件性能及功能描述与优势。 ④产品选型及来源。 二、评审标准：以上4项，以序号①、②、③、④为项数，内容无缺项且无缺陷的得16分，其中每有一项内容存在缺项的扣4分；每项内容中每有一处存在缺陷的扣0.4分，该项分值扣完为止，未提供不得分。 三、赋分说明：“缺陷”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履约能力及售后服务</w:t>
            </w:r>
          </w:p>
        </w:tc>
        <w:tc>
          <w:tcPr>
            <w:tcW w:type="dxa" w:w="2492"/>
          </w:tcPr>
          <w:p>
            <w:pPr>
              <w:pStyle w:val="null3"/>
            </w:pPr>
            <w:r>
              <w:rPr>
                <w:rFonts w:ascii="仿宋_GB2312" w:hAnsi="仿宋_GB2312" w:cs="仿宋_GB2312" w:eastAsia="仿宋_GB2312"/>
              </w:rPr>
              <w:t>一、评审内容：包含3项①项目售后服务承诺。②为本项目系统软件提供5年免费升级、技术支持等增值服务。③售后服务保障及故障响应等。 评审标准：以上3项，以序号①、②、③为项数，内容无缺项且无缺陷的得9分，其中每有一项内容存在缺项的扣3分，每项内容中每有一处存在缺陷的扣0.3分，该项分值扣完为止，未提供不得分。 三、赋分说明：“缺陷”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一、评审内容：针对本项目配置专业技术队伍，项目负责人、工作人员分工明确，人员配置能够满足项目需要。 (1)项目负责人(6分) 拟派项目负责人具备信息系统项目管理师(高级)证书+本单位近一年内任意1个月社保缴纳证明，得6分; (2)专业技术人员(12分)拟派本项目专职技术人员(项目负责人除外)具备以下任意中级及以上证书:软件工程师、系统集成项目管理工程师、网络工程师、机电工程二级建造师证书等。赋分标准:每人证书+本单位近一年内任意1个月社保缴纳证明，齐全得3分，累计最高12分，人员不重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本项目采购的设备属于节能产品政府采购品目清单及环境标志产品政府采购品目清单中优先采购产品的，投标人拟提供的产品符合节能、环保要求的，每有1项加1分，加满3分为止。 注：应提供经国家确定的认证机构出具的、处于有效期之内的节能产品、环境标志产品认证证书复印件予以证明，未提供不予得分。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企业管理体系认证</w:t>
            </w:r>
          </w:p>
        </w:tc>
        <w:tc>
          <w:tcPr>
            <w:tcW w:type="dxa" w:w="2492"/>
          </w:tcPr>
          <w:p>
            <w:pPr>
              <w:pStyle w:val="null3"/>
            </w:pPr>
            <w:r>
              <w:rPr>
                <w:rFonts w:ascii="仿宋_GB2312" w:hAnsi="仿宋_GB2312" w:cs="仿宋_GB2312" w:eastAsia="仿宋_GB2312"/>
              </w:rPr>
              <w:t>投标供应商具有IS09001质量管理体系认证证书、软件企业认证证书，每具有1项，得3分，最高6分;注:按上述要求，提供加盖公章的相应资料的复印件，未提供不得分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知识产权储备</w:t>
            </w:r>
          </w:p>
        </w:tc>
        <w:tc>
          <w:tcPr>
            <w:tcW w:type="dxa" w:w="2492"/>
          </w:tcPr>
          <w:p>
            <w:pPr>
              <w:pStyle w:val="null3"/>
            </w:pPr>
            <w:r>
              <w:rPr>
                <w:rFonts w:ascii="仿宋_GB2312" w:hAnsi="仿宋_GB2312" w:cs="仿宋_GB2312" w:eastAsia="仿宋_GB2312"/>
              </w:rPr>
              <w:t>供应商自有水利/水务行业系统软件计算机软件著作权，每提供一个软著得1分，最高6分。注:按上述要求，提供加盖公章的相应资料的复印件，未提供不得分.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供应商提供2023年1月1日至今同类项目业绩，每提供1份得2分，最高得12分；业绩证明（以合同或中标通知书为准，须在投标文件中附合同或中标通知书的扫描件加盖单位公章）弄虚作假者，取消其中标资格。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采用低价优先法计算，以本次满足招标文件要求的且投标报价最低的为评标基准价，其投标报价得分为满分。供应商的投标报价得分，统一按照下列公式计算：报价得分=(评标基准价/投标报价)×15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