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81D5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bCs/>
          <w:color w:val="auto"/>
          <w:kern w:val="2"/>
          <w:sz w:val="32"/>
          <w:szCs w:val="32"/>
          <w:highlight w:val="none"/>
          <w:lang w:val="en-US" w:eastAsia="zh-CN" w:bidi="ar-SA"/>
        </w:rPr>
      </w:pPr>
      <w:r>
        <w:rPr>
          <w:rFonts w:hint="eastAsia" w:ascii="黑体" w:hAnsi="黑体" w:eastAsia="黑体" w:cs="黑体"/>
          <w:b/>
          <w:bCs/>
          <w:color w:val="auto"/>
          <w:kern w:val="2"/>
          <w:sz w:val="32"/>
          <w:szCs w:val="32"/>
          <w:highlight w:val="none"/>
          <w:lang w:val="zh-CN" w:eastAsia="zh-CN" w:bidi="ar-SA"/>
        </w:rPr>
        <w:t>合同条款文本</w:t>
      </w:r>
    </w:p>
    <w:p w14:paraId="5EC9BBC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color w:val="auto"/>
          <w:sz w:val="28"/>
          <w:szCs w:val="28"/>
          <w:highlight w:val="none"/>
          <w:u w:val="single"/>
        </w:rPr>
      </w:pPr>
      <w:r>
        <w:rPr>
          <w:rFonts w:hint="eastAsia" w:ascii="仿宋_GB2312" w:hAnsi="仿宋" w:eastAsia="仿宋_GB2312"/>
          <w:bCs/>
          <w:color w:val="auto"/>
          <w:sz w:val="28"/>
          <w:szCs w:val="28"/>
          <w:highlight w:val="none"/>
        </w:rPr>
        <w:t>甲方（采购人）：</w:t>
      </w:r>
      <w:r>
        <w:rPr>
          <w:rFonts w:hint="eastAsia" w:ascii="仿宋_GB2312" w:hAnsi="仿宋" w:eastAsia="仿宋_GB2312"/>
          <w:bCs/>
          <w:color w:val="auto"/>
          <w:sz w:val="28"/>
          <w:szCs w:val="28"/>
          <w:highlight w:val="none"/>
          <w:u w:val="single"/>
        </w:rPr>
        <w:t xml:space="preserve">                                    </w:t>
      </w:r>
    </w:p>
    <w:p w14:paraId="4358FDA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color w:val="auto"/>
          <w:sz w:val="28"/>
          <w:szCs w:val="28"/>
          <w:highlight w:val="none"/>
          <w:u w:val="single"/>
          <w:lang w:val="en-US" w:eastAsia="zh-CN"/>
        </w:rPr>
      </w:pPr>
      <w:r>
        <w:rPr>
          <w:rFonts w:hint="eastAsia" w:ascii="仿宋_GB2312" w:hAnsi="仿宋" w:eastAsia="仿宋_GB2312"/>
          <w:bCs/>
          <w:color w:val="auto"/>
          <w:sz w:val="28"/>
          <w:szCs w:val="28"/>
          <w:highlight w:val="none"/>
          <w:lang w:val="en-US" w:eastAsia="zh-CN"/>
        </w:rPr>
        <w:t>地  址：</w:t>
      </w:r>
      <w:r>
        <w:rPr>
          <w:rFonts w:hint="eastAsia" w:ascii="仿宋_GB2312" w:hAnsi="仿宋" w:eastAsia="仿宋_GB2312"/>
          <w:bCs/>
          <w:color w:val="auto"/>
          <w:sz w:val="28"/>
          <w:szCs w:val="28"/>
          <w:highlight w:val="none"/>
          <w:u w:val="single"/>
          <w:lang w:val="en-US" w:eastAsia="zh-CN"/>
        </w:rPr>
        <w:t xml:space="preserve">                                            </w:t>
      </w:r>
    </w:p>
    <w:p w14:paraId="3CBDA68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乙方（</w:t>
      </w:r>
      <w:r>
        <w:rPr>
          <w:rFonts w:hint="eastAsia" w:ascii="仿宋_GB2312" w:hAnsi="仿宋" w:eastAsia="仿宋_GB2312"/>
          <w:bCs/>
          <w:color w:val="auto"/>
          <w:sz w:val="28"/>
          <w:szCs w:val="28"/>
          <w:highlight w:val="none"/>
          <w:lang w:val="en-US" w:eastAsia="zh-CN"/>
        </w:rPr>
        <w:t>中标</w:t>
      </w:r>
      <w:r>
        <w:rPr>
          <w:rFonts w:hint="eastAsia" w:ascii="仿宋_GB2312" w:hAnsi="仿宋" w:eastAsia="仿宋_GB2312"/>
          <w:bCs/>
          <w:color w:val="auto"/>
          <w:sz w:val="28"/>
          <w:szCs w:val="28"/>
          <w:highlight w:val="none"/>
        </w:rPr>
        <w:t>供应商）：</w:t>
      </w:r>
      <w:r>
        <w:rPr>
          <w:rFonts w:hint="eastAsia"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 xml:space="preserve"> </w:t>
      </w:r>
    </w:p>
    <w:p w14:paraId="027203C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eastAsia="仿宋_GB2312"/>
          <w:bCs/>
          <w:color w:val="auto"/>
          <w:sz w:val="28"/>
          <w:szCs w:val="28"/>
          <w:highlight w:val="none"/>
        </w:rPr>
      </w:pPr>
      <w:r>
        <w:rPr>
          <w:rFonts w:hint="eastAsia" w:ascii="仿宋_GB2312" w:hAnsi="仿宋_GB2312" w:eastAsia="仿宋_GB2312" w:cs="仿宋_GB2312"/>
          <w:color w:val="auto"/>
          <w:sz w:val="28"/>
          <w:szCs w:val="28"/>
          <w:highlight w:val="none"/>
          <w:lang w:val="en-US" w:eastAsia="zh-CN"/>
        </w:rPr>
        <w:t>地  址：</w:t>
      </w:r>
      <w:r>
        <w:rPr>
          <w:rFonts w:hint="eastAsia" w:ascii="仿宋_GB2312" w:hAnsi="仿宋" w:eastAsia="仿宋_GB2312"/>
          <w:bCs/>
          <w:color w:val="auto"/>
          <w:sz w:val="28"/>
          <w:szCs w:val="28"/>
          <w:highlight w:val="none"/>
          <w:u w:val="single"/>
          <w:lang w:val="en-US" w:eastAsia="zh-CN"/>
        </w:rPr>
        <w:t xml:space="preserve">                                            </w:t>
      </w:r>
      <w:r>
        <w:rPr>
          <w:rFonts w:hint="eastAsia" w:ascii="仿宋_GB2312" w:eastAsia="仿宋_GB2312"/>
          <w:bCs/>
          <w:color w:val="auto"/>
          <w:sz w:val="28"/>
          <w:szCs w:val="28"/>
          <w:highlight w:val="none"/>
        </w:rPr>
        <w:t xml:space="preserve"> </w:t>
      </w:r>
    </w:p>
    <w:p w14:paraId="246337DB">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eastAsia="仿宋_GB2312"/>
          <w:bCs/>
          <w:color w:val="auto"/>
          <w:sz w:val="28"/>
          <w:szCs w:val="28"/>
          <w:highlight w:val="none"/>
          <w:u w:val="single"/>
          <w:lang w:val="en-US" w:eastAsia="zh-CN"/>
        </w:rPr>
        <w:t xml:space="preserve">        （项目名称）             </w:t>
      </w:r>
      <w:r>
        <w:rPr>
          <w:rFonts w:hint="eastAsia" w:ascii="仿宋_GB2312" w:eastAsia="仿宋_GB2312"/>
          <w:bCs/>
          <w:color w:val="auto"/>
          <w:sz w:val="28"/>
          <w:szCs w:val="28"/>
          <w:highlight w:val="none"/>
          <w:u w:val="single"/>
        </w:rPr>
        <w:t>(项目编号：</w:t>
      </w:r>
      <w:r>
        <w:rPr>
          <w:rFonts w:hint="eastAsia" w:ascii="仿宋_GB2312" w:eastAsia="仿宋_GB2312"/>
          <w:bCs/>
          <w:color w:val="auto"/>
          <w:sz w:val="28"/>
          <w:szCs w:val="28"/>
          <w:highlight w:val="none"/>
          <w:u w:val="single"/>
          <w:lang w:val="en-US" w:eastAsia="zh-CN"/>
        </w:rPr>
        <w:t xml:space="preserve">        </w:t>
      </w:r>
      <w:r>
        <w:rPr>
          <w:rFonts w:hint="eastAsia" w:ascii="仿宋_GB2312" w:eastAsia="仿宋_GB2312"/>
          <w:bCs/>
          <w:color w:val="auto"/>
          <w:sz w:val="28"/>
          <w:szCs w:val="28"/>
          <w:highlight w:val="none"/>
          <w:u w:val="single"/>
        </w:rPr>
        <w:t>)</w:t>
      </w:r>
      <w:r>
        <w:rPr>
          <w:rFonts w:hint="eastAsia" w:ascii="仿宋_GB2312" w:eastAsia="仿宋_GB2312"/>
          <w:bCs/>
          <w:color w:val="auto"/>
          <w:sz w:val="28"/>
          <w:szCs w:val="28"/>
          <w:highlight w:val="none"/>
        </w:rPr>
        <w:t>，</w:t>
      </w:r>
      <w:r>
        <w:rPr>
          <w:rFonts w:hint="eastAsia" w:ascii="仿宋_GB2312" w:eastAsia="仿宋_GB2312"/>
          <w:bCs/>
          <w:color w:val="auto"/>
          <w:sz w:val="28"/>
          <w:szCs w:val="28"/>
          <w:highlight w:val="none"/>
          <w:lang w:val="en-US" w:eastAsia="zh-CN"/>
        </w:rPr>
        <w:t>按照政府采购程序组织公开招标</w:t>
      </w:r>
      <w:r>
        <w:rPr>
          <w:rFonts w:hint="eastAsia" w:ascii="仿宋_GB2312" w:eastAsia="仿宋_GB2312"/>
          <w:bCs/>
          <w:color w:val="auto"/>
          <w:sz w:val="28"/>
          <w:szCs w:val="28"/>
          <w:highlight w:val="none"/>
        </w:rPr>
        <w:t>，</w:t>
      </w:r>
      <w:r>
        <w:rPr>
          <w:rFonts w:hint="eastAsia" w:ascii="仿宋_GB2312" w:hAnsi="仿宋" w:eastAsia="仿宋_GB2312"/>
          <w:bCs/>
          <w:color w:val="auto"/>
          <w:sz w:val="28"/>
          <w:szCs w:val="28"/>
          <w:highlight w:val="none"/>
        </w:rPr>
        <w:t>确定</w:t>
      </w:r>
      <w:r>
        <w:rPr>
          <w:rFonts w:hint="eastAsia"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（以下简称“乙方”）为该项目的</w:t>
      </w:r>
      <w:r>
        <w:rPr>
          <w:rFonts w:hint="eastAsia" w:ascii="仿宋_GB2312" w:hAnsi="仿宋" w:eastAsia="仿宋_GB2312"/>
          <w:bCs/>
          <w:color w:val="auto"/>
          <w:sz w:val="28"/>
          <w:szCs w:val="28"/>
          <w:highlight w:val="none"/>
          <w:lang w:val="en-US" w:eastAsia="zh-CN"/>
        </w:rPr>
        <w:t>中标</w:t>
      </w:r>
      <w:r>
        <w:rPr>
          <w:rFonts w:hint="eastAsia" w:ascii="仿宋_GB2312" w:hAnsi="仿宋" w:eastAsia="仿宋_GB2312"/>
          <w:bCs/>
          <w:color w:val="auto"/>
          <w:sz w:val="28"/>
          <w:szCs w:val="28"/>
          <w:highlight w:val="none"/>
        </w:rPr>
        <w:t>供应商。</w:t>
      </w:r>
    </w:p>
    <w:p w14:paraId="54824417">
      <w:pPr>
        <w:autoSpaceDE w:val="0"/>
        <w:autoSpaceDN w:val="0"/>
        <w:adjustRightInd w:val="0"/>
        <w:snapToGri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依据《</w:t>
      </w:r>
      <w:r>
        <w:rPr>
          <w:rFonts w:hint="eastAsia" w:ascii="仿宋_GB2312" w:hAnsi="仿宋" w:eastAsia="仿宋_GB2312"/>
          <w:bCs/>
          <w:color w:val="auto"/>
          <w:sz w:val="28"/>
          <w:szCs w:val="28"/>
          <w:highlight w:val="none"/>
          <w:lang w:eastAsia="zh-CN"/>
        </w:rPr>
        <w:t>中华人民共和国民法典</w:t>
      </w:r>
      <w:r>
        <w:rPr>
          <w:rFonts w:hint="eastAsia" w:ascii="仿宋_GB2312" w:hAnsi="仿宋" w:eastAsia="仿宋_GB2312"/>
          <w:bCs/>
          <w:color w:val="auto"/>
          <w:sz w:val="28"/>
          <w:szCs w:val="28"/>
          <w:highlight w:val="none"/>
        </w:rPr>
        <w:t>》和《中华人民共和国政府采购法》之规定，经双方在平等、自愿、互利的基础上，签订本合同，共同信守。</w:t>
      </w:r>
    </w:p>
    <w:p w14:paraId="5169921D">
      <w:pPr>
        <w:autoSpaceDE w:val="0"/>
        <w:autoSpaceDN w:val="0"/>
        <w:adjustRightInd w:val="0"/>
        <w:snapToGrid w:val="0"/>
        <w:spacing w:line="360" w:lineRule="auto"/>
        <w:ind w:firstLine="562"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一、合同总价款</w:t>
      </w:r>
    </w:p>
    <w:p w14:paraId="34B0C0C9">
      <w:pPr>
        <w:autoSpaceDE w:val="0"/>
        <w:autoSpaceDN w:val="0"/>
        <w:adjustRightInd w:val="0"/>
        <w:snapToGrid w:val="0"/>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rPr>
        <w:t>（一）合同总价</w:t>
      </w:r>
      <w:r>
        <w:rPr>
          <w:rFonts w:hint="eastAsia" w:ascii="仿宋_GB2312" w:hAnsi="仿宋_GB2312" w:eastAsia="仿宋_GB2312" w:cs="仿宋_GB2312"/>
          <w:color w:val="auto"/>
          <w:sz w:val="28"/>
          <w:szCs w:val="28"/>
          <w:highlight w:val="none"/>
        </w:rPr>
        <w:t>款为人民币（大写）</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 xml:space="preserve"> </w:t>
      </w:r>
      <w:r>
        <w:rPr>
          <w:rFonts w:hint="default" w:ascii="Arial" w:hAnsi="Arial" w:eastAsia="仿宋_GB2312" w:cs="Arial"/>
          <w:color w:val="auto"/>
          <w:sz w:val="28"/>
          <w:szCs w:val="28"/>
          <w:highlight w:val="none"/>
          <w:lang w:val="en-US" w:eastAsia="zh-CN"/>
        </w:rPr>
        <w:t>¥</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w:t>
      </w:r>
    </w:p>
    <w:p w14:paraId="36F7D10A">
      <w:pPr>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rPr>
        <w:t>（二）合同总价款包括但不限于</w:t>
      </w:r>
      <w:r>
        <w:rPr>
          <w:rFonts w:hint="eastAsia" w:ascii="仿宋_GB2312" w:hAnsi="仿宋_GB2312" w:eastAsia="仿宋_GB2312" w:cs="仿宋_GB2312"/>
          <w:color w:val="auto"/>
          <w:sz w:val="28"/>
          <w:szCs w:val="28"/>
          <w:highlight w:val="none"/>
          <w:lang w:val="zh-CN"/>
        </w:rPr>
        <w:t>系统开发建设费、运行维护费、培训费、</w:t>
      </w:r>
      <w:r>
        <w:rPr>
          <w:rFonts w:hint="eastAsia" w:ascii="仿宋_GB2312" w:hAnsi="仿宋_GB2312" w:eastAsia="仿宋_GB2312" w:cs="仿宋_GB2312"/>
          <w:color w:val="auto"/>
          <w:sz w:val="28"/>
          <w:szCs w:val="28"/>
          <w:highlight w:val="none"/>
          <w:lang w:eastAsia="zh-CN"/>
        </w:rPr>
        <w:t>人工费</w:t>
      </w:r>
      <w:r>
        <w:rPr>
          <w:rFonts w:hint="eastAsia" w:ascii="仿宋_GB2312" w:hAnsi="仿宋_GB2312" w:eastAsia="仿宋_GB2312" w:cs="仿宋_GB2312"/>
          <w:color w:val="auto"/>
          <w:sz w:val="28"/>
          <w:szCs w:val="28"/>
          <w:highlight w:val="none"/>
        </w:rPr>
        <w:t>、管理费、税金等完成本项目所需的全部费用。</w:t>
      </w:r>
    </w:p>
    <w:p w14:paraId="54478184">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rPr>
        <w:t>（三）合同总价款</w:t>
      </w:r>
      <w:r>
        <w:rPr>
          <w:rFonts w:hint="eastAsia" w:ascii="仿宋_GB2312" w:hAnsi="仿宋_GB2312" w:eastAsia="仿宋_GB2312" w:cs="仿宋_GB2312"/>
          <w:bCs/>
          <w:color w:val="auto"/>
          <w:sz w:val="28"/>
          <w:szCs w:val="28"/>
          <w:highlight w:val="none"/>
        </w:rPr>
        <w:t>一次性包死，不受市场价格变化因素的影响。</w:t>
      </w:r>
    </w:p>
    <w:p w14:paraId="28644C52">
      <w:pPr>
        <w:autoSpaceDE w:val="0"/>
        <w:autoSpaceDN w:val="0"/>
        <w:adjustRightInd w:val="0"/>
        <w:snapToGrid w:val="0"/>
        <w:spacing w:line="360" w:lineRule="auto"/>
        <w:ind w:firstLine="562" w:firstLineChars="200"/>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b/>
          <w:color w:val="auto"/>
          <w:sz w:val="28"/>
          <w:szCs w:val="28"/>
          <w:highlight w:val="none"/>
        </w:rPr>
        <w:t>二、委托工作内容：</w:t>
      </w:r>
      <w:r>
        <w:rPr>
          <w:rFonts w:hint="eastAsia" w:ascii="仿宋_GB2312" w:hAnsi="仿宋_GB2312" w:eastAsia="仿宋_GB2312" w:cs="仿宋_GB2312"/>
          <w:b/>
          <w:color w:val="auto"/>
          <w:sz w:val="28"/>
          <w:szCs w:val="28"/>
          <w:highlight w:val="none"/>
          <w:u w:val="single"/>
        </w:rPr>
        <w:t xml:space="preserve">                              </w:t>
      </w:r>
    </w:p>
    <w:p w14:paraId="06E84397">
      <w:pPr>
        <w:autoSpaceDE w:val="0"/>
        <w:autoSpaceDN w:val="0"/>
        <w:adjustRightInd w:val="0"/>
        <w:snapToGrid w:val="0"/>
        <w:spacing w:line="360" w:lineRule="auto"/>
        <w:ind w:firstLine="562"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三、款项结算</w:t>
      </w:r>
    </w:p>
    <w:p w14:paraId="5511E7D5">
      <w:pPr>
        <w:autoSpaceDE w:val="0"/>
        <w:autoSpaceDN w:val="0"/>
        <w:adjustRightInd w:val="0"/>
        <w:snapToGrid w:val="0"/>
        <w:spacing w:line="360" w:lineRule="auto"/>
        <w:ind w:firstLine="645"/>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Cs/>
          <w:color w:val="auto"/>
          <w:sz w:val="28"/>
          <w:szCs w:val="28"/>
          <w:highlight w:val="none"/>
        </w:rPr>
        <w:t>（一）付款</w:t>
      </w:r>
      <w:r>
        <w:rPr>
          <w:rFonts w:hint="eastAsia" w:ascii="仿宋_GB2312" w:hAnsi="仿宋_GB2312" w:eastAsia="仿宋_GB2312" w:cs="仿宋_GB2312"/>
          <w:bCs/>
          <w:color w:val="auto"/>
          <w:sz w:val="28"/>
          <w:szCs w:val="28"/>
          <w:highlight w:val="none"/>
          <w:lang w:val="en-US" w:eastAsia="zh-CN"/>
        </w:rPr>
        <w:t>方式</w:t>
      </w: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u w:val="single"/>
          <w:lang w:val="en-US" w:eastAsia="zh-CN"/>
        </w:rPr>
        <w:t xml:space="preserve">                     </w:t>
      </w:r>
    </w:p>
    <w:p w14:paraId="3DC8791D">
      <w:pPr>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（二）支付方式：银行转账。</w:t>
      </w:r>
    </w:p>
    <w:p w14:paraId="402F718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（三）结算方式：乙方在接受付款前开具增值税专用发票给甲方，甲方于10个工作日内向乙方支付。</w:t>
      </w:r>
    </w:p>
    <w:p w14:paraId="4B8269D4">
      <w:pPr>
        <w:autoSpaceDE w:val="0"/>
        <w:autoSpaceDN w:val="0"/>
        <w:adjustRightInd w:val="0"/>
        <w:snapToGrid w:val="0"/>
        <w:spacing w:line="360" w:lineRule="auto"/>
        <w:ind w:firstLine="562"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四、服务地点及服务期</w:t>
      </w:r>
    </w:p>
    <w:p w14:paraId="3E12FFF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（一）服务地点：甲方指定地点。</w:t>
      </w:r>
    </w:p>
    <w:p w14:paraId="18B22DE3">
      <w:pPr>
        <w:pStyle w:val="15"/>
        <w:adjustRightInd w:val="0"/>
        <w:snapToGrid w:val="0"/>
        <w:spacing w:before="0" w:beforeAutospacing="0" w:after="0" w:afterAutospacing="0" w:line="360" w:lineRule="auto"/>
        <w:ind w:firstLine="560" w:firstLineChars="200"/>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bCs/>
          <w:color w:val="auto"/>
          <w:sz w:val="28"/>
          <w:szCs w:val="28"/>
          <w:highlight w:val="none"/>
        </w:rPr>
        <w:t>（二）服务期：</w:t>
      </w:r>
      <w:bookmarkStart w:id="0" w:name="_GoBack"/>
      <w:r>
        <w:rPr>
          <w:rFonts w:hint="eastAsia" w:ascii="仿宋_GB2312" w:hAnsi="仿宋_GB2312" w:eastAsia="仿宋_GB2312" w:cs="仿宋_GB2312"/>
          <w:bCs/>
          <w:color w:val="auto"/>
          <w:sz w:val="28"/>
          <w:szCs w:val="28"/>
          <w:highlight w:val="none"/>
          <w:u w:val="single"/>
          <w:lang w:val="en-US" w:eastAsia="zh-CN"/>
        </w:rPr>
        <w:t xml:space="preserve">                     </w:t>
      </w:r>
      <w:bookmarkEnd w:id="0"/>
      <w:r>
        <w:rPr>
          <w:rFonts w:hint="eastAsia" w:ascii="仿宋_GB2312" w:hAnsi="仿宋_GB2312" w:eastAsia="仿宋_GB2312" w:cs="仿宋_GB2312"/>
          <w:bCs/>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u w:val="none"/>
          <w:lang w:val="zh-CN"/>
        </w:rPr>
        <w:t>，并在验收合格之日起提供</w:t>
      </w:r>
      <w:r>
        <w:rPr>
          <w:rFonts w:hint="eastAsia" w:ascii="仿宋_GB2312" w:hAnsi="仿宋_GB2312" w:eastAsia="仿宋_GB2312" w:cs="仿宋_GB2312"/>
          <w:color w:val="auto"/>
          <w:sz w:val="28"/>
          <w:szCs w:val="28"/>
          <w:highlight w:val="none"/>
          <w:u w:val="none"/>
          <w:lang w:val="en-US" w:eastAsia="zh-CN"/>
        </w:rPr>
        <w:t>业务软件</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zh-CN"/>
        </w:rPr>
        <w:t>年的技术服务。</w:t>
      </w:r>
    </w:p>
    <w:p w14:paraId="3B98A9BC">
      <w:pPr>
        <w:autoSpaceDE w:val="0"/>
        <w:autoSpaceDN w:val="0"/>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五、双方的权利和义务</w:t>
      </w:r>
    </w:p>
    <w:p w14:paraId="79E7911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（一）甲方的权利与义务</w:t>
      </w:r>
    </w:p>
    <w:p w14:paraId="2D65ADA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1、甲方负责配合本次项目服务工作；</w:t>
      </w:r>
    </w:p>
    <w:p w14:paraId="17DE2CD8">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2、甲方应按本合同的约定向乙方支付合同价款；</w:t>
      </w:r>
    </w:p>
    <w:p w14:paraId="78A54270">
      <w:pPr>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3、甲方根据需要对乙方提供的设计方案进行审核，提供建议及意见，确定最终实施的服务方案，以便乙方遵照执行；</w:t>
      </w:r>
    </w:p>
    <w:p w14:paraId="753581C5">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4、甲方有权对乙方的工作进行监督和考核。</w:t>
      </w:r>
    </w:p>
    <w:p w14:paraId="1E178EA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（二）乙方的权利与义务</w:t>
      </w:r>
    </w:p>
    <w:p w14:paraId="19F40DB0">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1、乙方的工作人员必须严格遵守甲方的规章制度，以良好的形象和积极的工作态度，按甲方要求开展工作；</w:t>
      </w:r>
    </w:p>
    <w:p w14:paraId="4840B04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2、乙方应服从甲方统筹管理并按流程开展工作；</w:t>
      </w:r>
    </w:p>
    <w:p w14:paraId="122DD904">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3、乙方提交的方案等应得到甲方确认再予以实施；</w:t>
      </w:r>
    </w:p>
    <w:p w14:paraId="7948766D">
      <w:pPr>
        <w:autoSpaceDE w:val="0"/>
        <w:autoSpaceDN w:val="0"/>
        <w:adjustRightInd w:val="0"/>
        <w:snapToGrid w:val="0"/>
        <w:spacing w:line="360" w:lineRule="auto"/>
        <w:ind w:firstLine="560" w:firstLineChars="200"/>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Cs/>
          <w:color w:val="auto"/>
          <w:sz w:val="28"/>
          <w:szCs w:val="28"/>
          <w:highlight w:val="none"/>
        </w:rPr>
        <w:t>4、乙方在服务期间发布的任何涉及有关甲方的相关信息，需经甲方确认无误后方可发布</w:t>
      </w:r>
      <w:r>
        <w:rPr>
          <w:rFonts w:hint="eastAsia" w:ascii="仿宋_GB2312" w:hAnsi="仿宋_GB2312" w:eastAsia="仿宋_GB2312" w:cs="仿宋_GB2312"/>
          <w:bCs/>
          <w:color w:val="auto"/>
          <w:sz w:val="28"/>
          <w:szCs w:val="28"/>
          <w:highlight w:val="none"/>
          <w:lang w:eastAsia="zh-CN"/>
        </w:rPr>
        <w:t>。</w:t>
      </w:r>
    </w:p>
    <w:p w14:paraId="65E4A177">
      <w:pPr>
        <w:autoSpaceDE w:val="0"/>
        <w:autoSpaceDN w:val="0"/>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六、服务质量保证</w:t>
      </w:r>
    </w:p>
    <w:p w14:paraId="3A066974">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（一）乙方需派一名项目经理，直接与甲方沟通，项目经理接收甲方提出的问题与要求，并及时反馈给工作组，解决在项目实施过程中遇到的问题。</w:t>
      </w:r>
    </w:p>
    <w:p w14:paraId="178BC2F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val="en-US" w:eastAsia="zh-CN"/>
        </w:rPr>
        <w:t>二</w:t>
      </w:r>
      <w:r>
        <w:rPr>
          <w:rFonts w:hint="eastAsia" w:ascii="仿宋_GB2312" w:hAnsi="仿宋_GB2312" w:eastAsia="仿宋_GB2312" w:cs="仿宋_GB2312"/>
          <w:bCs/>
          <w:color w:val="auto"/>
          <w:sz w:val="28"/>
          <w:szCs w:val="28"/>
          <w:highlight w:val="none"/>
        </w:rPr>
        <w:t>）乙方需提交所有实施方案流程及说明文档。</w:t>
      </w:r>
    </w:p>
    <w:p w14:paraId="459FC8A7">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val="en-US" w:eastAsia="zh-CN"/>
        </w:rPr>
        <w:t>三</w:t>
      </w:r>
      <w:r>
        <w:rPr>
          <w:rFonts w:hint="eastAsia" w:ascii="仿宋_GB2312" w:hAnsi="仿宋_GB2312" w:eastAsia="仿宋_GB2312" w:cs="仿宋_GB2312"/>
          <w:bCs/>
          <w:color w:val="auto"/>
          <w:sz w:val="28"/>
          <w:szCs w:val="28"/>
          <w:highlight w:val="none"/>
        </w:rPr>
        <w:t>）乙方需建立高效的管理团队，项目团队组成合理。</w:t>
      </w:r>
    </w:p>
    <w:p w14:paraId="7B51B662">
      <w:pPr>
        <w:adjustRightInd w:val="0"/>
        <w:snapToGrid w:val="0"/>
        <w:spacing w:line="360" w:lineRule="auto"/>
        <w:ind w:firstLine="560"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val="en-US" w:eastAsia="zh-CN"/>
        </w:rPr>
        <w:t>四</w:t>
      </w:r>
      <w:r>
        <w:rPr>
          <w:rFonts w:hint="eastAsia" w:ascii="仿宋_GB2312" w:hAnsi="仿宋_GB2312" w:eastAsia="仿宋_GB2312" w:cs="仿宋_GB2312"/>
          <w:bCs/>
          <w:color w:val="auto"/>
          <w:sz w:val="28"/>
          <w:szCs w:val="28"/>
          <w:highlight w:val="none"/>
        </w:rPr>
        <w:t>）乙方需设有详细的技术资料档案和服务档案，将保存项目的详细资料以便于更好地提供服务。</w:t>
      </w:r>
    </w:p>
    <w:p w14:paraId="2842528C">
      <w:pPr>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七、保密规定</w:t>
      </w:r>
    </w:p>
    <w:p w14:paraId="48084DA4">
      <w:pPr>
        <w:adjustRightInd w:val="0"/>
        <w:snapToGrid w:val="0"/>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793F0F86">
      <w:pPr>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八</w:t>
      </w:r>
      <w:r>
        <w:rPr>
          <w:rFonts w:hint="eastAsia" w:ascii="仿宋_GB2312" w:hAnsi="仿宋_GB2312" w:eastAsia="仿宋_GB2312" w:cs="仿宋_GB2312"/>
          <w:b/>
          <w:color w:val="auto"/>
          <w:sz w:val="28"/>
          <w:szCs w:val="28"/>
          <w:highlight w:val="none"/>
        </w:rPr>
        <w:t>、其他事项</w:t>
      </w:r>
    </w:p>
    <w:p w14:paraId="3276EB87">
      <w:pPr>
        <w:adjustRightInd w:val="0"/>
        <w:snapToGrid w:val="0"/>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（一）乙方不得转让给其它单位或个人。</w:t>
      </w:r>
    </w:p>
    <w:p w14:paraId="4E550E0D">
      <w:pPr>
        <w:adjustRightInd w:val="0"/>
        <w:snapToGrid w:val="0"/>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（二）乙方的响应文件和承诺等内容将列入合同。</w:t>
      </w:r>
    </w:p>
    <w:p w14:paraId="42AF6310">
      <w:pPr>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十、验收</w:t>
      </w:r>
    </w:p>
    <w:p w14:paraId="119BFF1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（一）本项目验收费用，由乙方自行承担。</w:t>
      </w:r>
    </w:p>
    <w:p w14:paraId="014EA7C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（二）服务期满后，由乙方向甲方递交验收通知书，经甲方确认后，组织乙方进行系统验收。验收合格后，填写政府采购项目验收单作为对本次服务的最终认可。</w:t>
      </w:r>
    </w:p>
    <w:p w14:paraId="5B54E752">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（三）验收依据：</w:t>
      </w:r>
    </w:p>
    <w:p w14:paraId="7A032225">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1、本合同及附加文本；</w:t>
      </w:r>
    </w:p>
    <w:p w14:paraId="11056F0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2、</w:t>
      </w:r>
      <w:r>
        <w:rPr>
          <w:rFonts w:hint="eastAsia" w:ascii="仿宋_GB2312" w:hAnsi="仿宋_GB2312" w:eastAsia="仿宋_GB2312" w:cs="仿宋_GB2312"/>
          <w:bCs/>
          <w:color w:val="auto"/>
          <w:sz w:val="28"/>
          <w:szCs w:val="28"/>
          <w:highlight w:val="none"/>
          <w:lang w:val="en-US" w:eastAsia="zh-CN"/>
        </w:rPr>
        <w:t>招标</w:t>
      </w:r>
      <w:r>
        <w:rPr>
          <w:rFonts w:hint="eastAsia" w:ascii="仿宋_GB2312" w:hAnsi="仿宋_GB2312" w:eastAsia="仿宋_GB2312" w:cs="仿宋_GB2312"/>
          <w:bCs/>
          <w:color w:val="auto"/>
          <w:sz w:val="28"/>
          <w:szCs w:val="28"/>
          <w:highlight w:val="none"/>
        </w:rPr>
        <w:t>文件、</w:t>
      </w:r>
      <w:r>
        <w:rPr>
          <w:rFonts w:hint="eastAsia" w:ascii="仿宋_GB2312" w:hAnsi="仿宋_GB2312" w:eastAsia="仿宋_GB2312" w:cs="仿宋_GB2312"/>
          <w:bCs/>
          <w:color w:val="auto"/>
          <w:sz w:val="28"/>
          <w:szCs w:val="28"/>
          <w:highlight w:val="none"/>
          <w:lang w:val="en-US" w:eastAsia="zh-CN"/>
        </w:rPr>
        <w:t>中标</w:t>
      </w:r>
      <w:r>
        <w:rPr>
          <w:rFonts w:hint="eastAsia" w:ascii="仿宋_GB2312" w:hAnsi="仿宋_GB2312" w:eastAsia="仿宋_GB2312" w:cs="仿宋_GB2312"/>
          <w:bCs/>
          <w:color w:val="auto"/>
          <w:sz w:val="28"/>
          <w:szCs w:val="28"/>
          <w:highlight w:val="none"/>
        </w:rPr>
        <w:t>供应商的响应文件及澄清（承诺）函；</w:t>
      </w:r>
    </w:p>
    <w:p w14:paraId="044F140D">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3、国家相应的标准、规范。</w:t>
      </w:r>
    </w:p>
    <w:p w14:paraId="55EB7B7B">
      <w:pPr>
        <w:autoSpaceDE w:val="0"/>
        <w:autoSpaceDN w:val="0"/>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十一、违约责任</w:t>
      </w:r>
    </w:p>
    <w:p w14:paraId="6BF1370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（一）按《中华人民共和国民法典》中的相关条款执行。</w:t>
      </w:r>
    </w:p>
    <w:p w14:paraId="1F2E271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（二）未按合同要求提供服务或服务质量不能满足本次招标要求，甲方会同监督机构、采购代理机构有权终止合同和对乙方违约行为进行追究，同时按政府采购法的有关规定进行相应的处罚。</w:t>
      </w:r>
    </w:p>
    <w:p w14:paraId="348DBEA7">
      <w:pPr>
        <w:autoSpaceDE w:val="0"/>
        <w:autoSpaceDN w:val="0"/>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十二、合同争议解决的方式</w:t>
      </w:r>
    </w:p>
    <w:p w14:paraId="5033BAFD">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本合同在履行过程中发生的争议，由甲、乙双方当事人协商解决，协商不成的按下列第</w:t>
      </w:r>
      <w:r>
        <w:rPr>
          <w:rFonts w:hint="eastAsia" w:ascii="仿宋_GB2312" w:hAnsi="仿宋_GB2312" w:eastAsia="仿宋_GB2312" w:cs="仿宋_GB2312"/>
          <w:bCs/>
          <w:color w:val="auto"/>
          <w:sz w:val="28"/>
          <w:szCs w:val="28"/>
          <w:highlight w:val="none"/>
          <w:u w:val="single"/>
        </w:rPr>
        <w:t>（二）</w:t>
      </w:r>
      <w:r>
        <w:rPr>
          <w:rFonts w:hint="eastAsia" w:ascii="仿宋_GB2312" w:hAnsi="仿宋_GB2312" w:eastAsia="仿宋_GB2312" w:cs="仿宋_GB2312"/>
          <w:bCs/>
          <w:color w:val="auto"/>
          <w:sz w:val="28"/>
          <w:szCs w:val="28"/>
          <w:highlight w:val="none"/>
        </w:rPr>
        <w:t>种方式解决：</w:t>
      </w:r>
    </w:p>
    <w:p w14:paraId="5A2D2D7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（一）甲、乙双方均同意向(甲方所在地人民法院)提起诉讼；</w:t>
      </w:r>
    </w:p>
    <w:p w14:paraId="56E6132E">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（二）甲、乙双方均同意向(仲裁委员会)提起仲裁。</w:t>
      </w:r>
    </w:p>
    <w:p w14:paraId="3B62F2AC">
      <w:pPr>
        <w:autoSpaceDE w:val="0"/>
        <w:autoSpaceDN w:val="0"/>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十三、合同生效</w:t>
      </w:r>
    </w:p>
    <w:p w14:paraId="08822CA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（一）本合同须经甲、乙双方的法定代表人（授权代表）在合同书上签字并加盖本单位公章后正式生效。</w:t>
      </w:r>
    </w:p>
    <w:p w14:paraId="5B1F76C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（二）合同生效后，甲、乙双方须严格执行本合同条款的规定，全面履行合同，违者按《中华人民共和国民法典》的有关规定承担相应责任。</w:t>
      </w:r>
    </w:p>
    <w:p w14:paraId="69081250">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（三）本合同一式</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份，甲乙双方各执</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份。</w:t>
      </w:r>
    </w:p>
    <w:p w14:paraId="606D910D">
      <w:pPr>
        <w:widowControl/>
        <w:spacing w:line="360" w:lineRule="auto"/>
        <w:ind w:firstLine="560" w:firstLineChars="200"/>
        <w:jc w:val="left"/>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（四）本合同如有未尽事宜，甲、乙双方协商解决。</w:t>
      </w:r>
    </w:p>
    <w:tbl>
      <w:tblPr>
        <w:tblStyle w:val="16"/>
        <w:tblW w:w="0" w:type="auto"/>
        <w:jc w:val="center"/>
        <w:tblLayout w:type="fixed"/>
        <w:tblCellMar>
          <w:top w:w="0" w:type="dxa"/>
          <w:left w:w="108" w:type="dxa"/>
          <w:bottom w:w="0" w:type="dxa"/>
          <w:right w:w="108" w:type="dxa"/>
        </w:tblCellMar>
      </w:tblPr>
      <w:tblGrid>
        <w:gridCol w:w="4201"/>
        <w:gridCol w:w="4202"/>
      </w:tblGrid>
      <w:tr w14:paraId="6CCDB107">
        <w:tblPrEx>
          <w:tblCellMar>
            <w:top w:w="0" w:type="dxa"/>
            <w:left w:w="108" w:type="dxa"/>
            <w:bottom w:w="0" w:type="dxa"/>
            <w:right w:w="108" w:type="dxa"/>
          </w:tblCellMar>
        </w:tblPrEx>
        <w:trPr>
          <w:trHeight w:val="680" w:hRule="exact"/>
          <w:jc w:val="center"/>
        </w:trPr>
        <w:tc>
          <w:tcPr>
            <w:tcW w:w="4201" w:type="dxa"/>
            <w:noWrap w:val="0"/>
            <w:vAlign w:val="center"/>
          </w:tcPr>
          <w:p w14:paraId="2136E499">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甲  方</w:t>
            </w:r>
          </w:p>
        </w:tc>
        <w:tc>
          <w:tcPr>
            <w:tcW w:w="4202" w:type="dxa"/>
            <w:noWrap w:val="0"/>
            <w:vAlign w:val="center"/>
          </w:tcPr>
          <w:p w14:paraId="65A62236">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乙  方</w:t>
            </w:r>
          </w:p>
        </w:tc>
      </w:tr>
      <w:tr w14:paraId="02314D9A">
        <w:tblPrEx>
          <w:tblCellMar>
            <w:top w:w="0" w:type="dxa"/>
            <w:left w:w="108" w:type="dxa"/>
            <w:bottom w:w="0" w:type="dxa"/>
            <w:right w:w="108" w:type="dxa"/>
          </w:tblCellMar>
        </w:tblPrEx>
        <w:trPr>
          <w:trHeight w:val="680" w:hRule="exact"/>
          <w:jc w:val="center"/>
        </w:trPr>
        <w:tc>
          <w:tcPr>
            <w:tcW w:w="4201" w:type="dxa"/>
            <w:noWrap w:val="0"/>
            <w:vAlign w:val="center"/>
          </w:tcPr>
          <w:p w14:paraId="00E523FF">
            <w:pPr>
              <w:autoSpaceDE w:val="0"/>
              <w:autoSpaceDN w:val="0"/>
              <w:adjustRightInd w:val="0"/>
              <w:ind w:firstLine="840" w:firstLineChars="35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（盖章）</w:t>
            </w:r>
          </w:p>
        </w:tc>
        <w:tc>
          <w:tcPr>
            <w:tcW w:w="4202" w:type="dxa"/>
            <w:noWrap w:val="0"/>
            <w:vAlign w:val="center"/>
          </w:tcPr>
          <w:p w14:paraId="2948EFD8">
            <w:pPr>
              <w:autoSpaceDE w:val="0"/>
              <w:autoSpaceDN w:val="0"/>
              <w:adjustRightInd w:val="0"/>
              <w:ind w:firstLine="960" w:firstLineChars="40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（盖章）</w:t>
            </w:r>
          </w:p>
        </w:tc>
      </w:tr>
      <w:tr w14:paraId="5C82AD65">
        <w:tblPrEx>
          <w:tblCellMar>
            <w:top w:w="0" w:type="dxa"/>
            <w:left w:w="108" w:type="dxa"/>
            <w:bottom w:w="0" w:type="dxa"/>
            <w:right w:w="108" w:type="dxa"/>
          </w:tblCellMar>
        </w:tblPrEx>
        <w:trPr>
          <w:trHeight w:val="680" w:hRule="exact"/>
          <w:jc w:val="center"/>
        </w:trPr>
        <w:tc>
          <w:tcPr>
            <w:tcW w:w="4201" w:type="dxa"/>
            <w:noWrap w:val="0"/>
            <w:vAlign w:val="center"/>
          </w:tcPr>
          <w:p w14:paraId="1EBDC1CC">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 xml:space="preserve">地址： </w:t>
            </w:r>
          </w:p>
        </w:tc>
        <w:tc>
          <w:tcPr>
            <w:tcW w:w="4202" w:type="dxa"/>
            <w:noWrap w:val="0"/>
            <w:vAlign w:val="center"/>
          </w:tcPr>
          <w:p w14:paraId="39E1F039">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地址：</w:t>
            </w:r>
          </w:p>
        </w:tc>
      </w:tr>
      <w:tr w14:paraId="3D247987">
        <w:tblPrEx>
          <w:tblCellMar>
            <w:top w:w="0" w:type="dxa"/>
            <w:left w:w="108" w:type="dxa"/>
            <w:bottom w:w="0" w:type="dxa"/>
            <w:right w:w="108" w:type="dxa"/>
          </w:tblCellMar>
        </w:tblPrEx>
        <w:trPr>
          <w:trHeight w:val="680" w:hRule="exact"/>
          <w:jc w:val="center"/>
        </w:trPr>
        <w:tc>
          <w:tcPr>
            <w:tcW w:w="4201" w:type="dxa"/>
            <w:noWrap w:val="0"/>
            <w:vAlign w:val="center"/>
          </w:tcPr>
          <w:p w14:paraId="310AE700">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邮编：</w:t>
            </w:r>
          </w:p>
        </w:tc>
        <w:tc>
          <w:tcPr>
            <w:tcW w:w="4202" w:type="dxa"/>
            <w:noWrap w:val="0"/>
            <w:vAlign w:val="center"/>
          </w:tcPr>
          <w:p w14:paraId="4E62A173">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邮编：</w:t>
            </w:r>
          </w:p>
        </w:tc>
      </w:tr>
      <w:tr w14:paraId="0ACD021A">
        <w:tblPrEx>
          <w:tblCellMar>
            <w:top w:w="0" w:type="dxa"/>
            <w:left w:w="108" w:type="dxa"/>
            <w:bottom w:w="0" w:type="dxa"/>
            <w:right w:w="108" w:type="dxa"/>
          </w:tblCellMar>
        </w:tblPrEx>
        <w:trPr>
          <w:trHeight w:val="680" w:hRule="exact"/>
          <w:jc w:val="center"/>
        </w:trPr>
        <w:tc>
          <w:tcPr>
            <w:tcW w:w="4201" w:type="dxa"/>
            <w:noWrap w:val="0"/>
            <w:vAlign w:val="center"/>
          </w:tcPr>
          <w:p w14:paraId="2B3DDD60">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 xml:space="preserve">法定代表人： </w:t>
            </w:r>
          </w:p>
        </w:tc>
        <w:tc>
          <w:tcPr>
            <w:tcW w:w="4202" w:type="dxa"/>
            <w:noWrap w:val="0"/>
            <w:vAlign w:val="center"/>
          </w:tcPr>
          <w:p w14:paraId="2175BD30">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法定代表人：</w:t>
            </w:r>
          </w:p>
        </w:tc>
      </w:tr>
      <w:tr w14:paraId="124EA130">
        <w:tblPrEx>
          <w:tblCellMar>
            <w:top w:w="0" w:type="dxa"/>
            <w:left w:w="108" w:type="dxa"/>
            <w:bottom w:w="0" w:type="dxa"/>
            <w:right w:w="108" w:type="dxa"/>
          </w:tblCellMar>
        </w:tblPrEx>
        <w:trPr>
          <w:trHeight w:val="680" w:hRule="exact"/>
          <w:jc w:val="center"/>
        </w:trPr>
        <w:tc>
          <w:tcPr>
            <w:tcW w:w="4201" w:type="dxa"/>
            <w:noWrap w:val="0"/>
            <w:vAlign w:val="center"/>
          </w:tcPr>
          <w:p w14:paraId="72D89955">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被授权代表：</w:t>
            </w:r>
          </w:p>
        </w:tc>
        <w:tc>
          <w:tcPr>
            <w:tcW w:w="4202" w:type="dxa"/>
            <w:noWrap w:val="0"/>
            <w:vAlign w:val="center"/>
          </w:tcPr>
          <w:p w14:paraId="0AE6C76C">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被授权代表：</w:t>
            </w:r>
          </w:p>
        </w:tc>
      </w:tr>
      <w:tr w14:paraId="13406C0A">
        <w:tblPrEx>
          <w:tblCellMar>
            <w:top w:w="0" w:type="dxa"/>
            <w:left w:w="108" w:type="dxa"/>
            <w:bottom w:w="0" w:type="dxa"/>
            <w:right w:w="108" w:type="dxa"/>
          </w:tblCellMar>
        </w:tblPrEx>
        <w:trPr>
          <w:trHeight w:val="680" w:hRule="exact"/>
          <w:jc w:val="center"/>
        </w:trPr>
        <w:tc>
          <w:tcPr>
            <w:tcW w:w="4201" w:type="dxa"/>
            <w:noWrap w:val="0"/>
            <w:vAlign w:val="center"/>
          </w:tcPr>
          <w:p w14:paraId="06FA6AB9">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电话：</w:t>
            </w:r>
          </w:p>
        </w:tc>
        <w:tc>
          <w:tcPr>
            <w:tcW w:w="4202" w:type="dxa"/>
            <w:noWrap w:val="0"/>
            <w:vAlign w:val="center"/>
          </w:tcPr>
          <w:p w14:paraId="707824AF">
            <w:pPr>
              <w:autoSpaceDE w:val="0"/>
              <w:autoSpaceDN w:val="0"/>
              <w:adjustRightInd w:val="0"/>
              <w:ind w:left="840" w:hanging="720" w:hangingChars="30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电话：</w:t>
            </w:r>
          </w:p>
        </w:tc>
      </w:tr>
      <w:tr w14:paraId="1E811D97">
        <w:tblPrEx>
          <w:tblCellMar>
            <w:top w:w="0" w:type="dxa"/>
            <w:left w:w="108" w:type="dxa"/>
            <w:bottom w:w="0" w:type="dxa"/>
            <w:right w:w="108" w:type="dxa"/>
          </w:tblCellMar>
        </w:tblPrEx>
        <w:trPr>
          <w:trHeight w:val="680" w:hRule="exact"/>
          <w:jc w:val="center"/>
        </w:trPr>
        <w:tc>
          <w:tcPr>
            <w:tcW w:w="4201" w:type="dxa"/>
            <w:noWrap w:val="0"/>
            <w:vAlign w:val="center"/>
          </w:tcPr>
          <w:p w14:paraId="4DE3E3EF">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传真：</w:t>
            </w:r>
          </w:p>
        </w:tc>
        <w:tc>
          <w:tcPr>
            <w:tcW w:w="4202" w:type="dxa"/>
            <w:noWrap w:val="0"/>
            <w:vAlign w:val="center"/>
          </w:tcPr>
          <w:p w14:paraId="7EA31BA4">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传真：</w:t>
            </w:r>
          </w:p>
        </w:tc>
      </w:tr>
      <w:tr w14:paraId="2F5DF098">
        <w:tblPrEx>
          <w:tblCellMar>
            <w:top w:w="0" w:type="dxa"/>
            <w:left w:w="108" w:type="dxa"/>
            <w:bottom w:w="0" w:type="dxa"/>
            <w:right w:w="108" w:type="dxa"/>
          </w:tblCellMar>
        </w:tblPrEx>
        <w:trPr>
          <w:trHeight w:val="680" w:hRule="exact"/>
          <w:jc w:val="center"/>
        </w:trPr>
        <w:tc>
          <w:tcPr>
            <w:tcW w:w="4201" w:type="dxa"/>
            <w:noWrap w:val="0"/>
            <w:vAlign w:val="center"/>
          </w:tcPr>
          <w:p w14:paraId="64E2C09A">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开户银行：</w:t>
            </w:r>
          </w:p>
        </w:tc>
        <w:tc>
          <w:tcPr>
            <w:tcW w:w="4202" w:type="dxa"/>
            <w:noWrap w:val="0"/>
            <w:vAlign w:val="center"/>
          </w:tcPr>
          <w:p w14:paraId="281BB09E">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开户银行：</w:t>
            </w:r>
          </w:p>
        </w:tc>
      </w:tr>
      <w:tr w14:paraId="6DDB879E">
        <w:tblPrEx>
          <w:tblCellMar>
            <w:top w:w="0" w:type="dxa"/>
            <w:left w:w="108" w:type="dxa"/>
            <w:bottom w:w="0" w:type="dxa"/>
            <w:right w:w="108" w:type="dxa"/>
          </w:tblCellMar>
        </w:tblPrEx>
        <w:trPr>
          <w:trHeight w:val="680" w:hRule="exact"/>
          <w:jc w:val="center"/>
        </w:trPr>
        <w:tc>
          <w:tcPr>
            <w:tcW w:w="4201" w:type="dxa"/>
            <w:noWrap w:val="0"/>
            <w:vAlign w:val="center"/>
          </w:tcPr>
          <w:p w14:paraId="6D83769A">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日期：</w:t>
            </w:r>
          </w:p>
        </w:tc>
        <w:tc>
          <w:tcPr>
            <w:tcW w:w="4202" w:type="dxa"/>
            <w:noWrap w:val="0"/>
            <w:vAlign w:val="center"/>
          </w:tcPr>
          <w:p w14:paraId="04F8A38A">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日期：</w:t>
            </w:r>
          </w:p>
        </w:tc>
      </w:tr>
    </w:tbl>
    <w:p w14:paraId="3A29FF2E">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3C476"/>
    <w:multiLevelType w:val="multilevel"/>
    <w:tmpl w:val="9C43C476"/>
    <w:lvl w:ilvl="0" w:tentative="0">
      <w:start w:val="1"/>
      <w:numFmt w:val="chineseCountingThousand"/>
      <w:pStyle w:val="4"/>
      <w:suff w:val="nothing"/>
      <w:lvlText w:val="%1、"/>
      <w:lvlJc w:val="left"/>
      <w:pPr>
        <w:ind w:left="985" w:hanging="425"/>
      </w:pPr>
      <w:rPr>
        <w:rFonts w:hint="eastAsia"/>
        <w:sz w:val="36"/>
        <w:szCs w:val="36"/>
      </w:rPr>
    </w:lvl>
    <w:lvl w:ilvl="1" w:tentative="0">
      <w:start w:val="1"/>
      <w:numFmt w:val="decimal"/>
      <w:pStyle w:val="5"/>
      <w:isLgl/>
      <w:suff w:val="space"/>
      <w:lvlText w:val="%1.%2"/>
      <w:lvlJc w:val="left"/>
      <w:pPr>
        <w:ind w:left="7" w:hanging="567"/>
      </w:pPr>
      <w:rPr>
        <w:rFonts w:hint="eastAsia"/>
        <w:sz w:val="32"/>
        <w:szCs w:val="32"/>
      </w:rPr>
    </w:lvl>
    <w:lvl w:ilvl="2" w:tentative="0">
      <w:start w:val="1"/>
      <w:numFmt w:val="decimal"/>
      <w:pStyle w:val="6"/>
      <w:isLgl/>
      <w:suff w:val="space"/>
      <w:lvlText w:val="%1.%2.%3"/>
      <w:lvlJc w:val="left"/>
      <w:pPr>
        <w:ind w:left="433" w:hanging="709"/>
      </w:pPr>
      <w:rPr>
        <w:rFonts w:hint="eastAsia"/>
        <w:sz w:val="28"/>
        <w:szCs w:val="28"/>
      </w:rPr>
    </w:lvl>
    <w:lvl w:ilvl="3" w:tentative="0">
      <w:start w:val="1"/>
      <w:numFmt w:val="decimal"/>
      <w:pStyle w:val="7"/>
      <w:isLgl/>
      <w:suff w:val="space"/>
      <w:lvlText w:val="%1.%2.%3.%4"/>
      <w:lvlJc w:val="left"/>
      <w:pPr>
        <w:ind w:left="291" w:hanging="851"/>
      </w:pPr>
      <w:rPr>
        <w:rFonts w:hint="eastAsia"/>
        <w:b/>
      </w:rPr>
    </w:lvl>
    <w:lvl w:ilvl="4" w:tentative="0">
      <w:start w:val="1"/>
      <w:numFmt w:val="decimal"/>
      <w:pStyle w:val="8"/>
      <w:isLgl/>
      <w:suff w:val="space"/>
      <w:lvlText w:val="%1.%2.%3.%4.%5"/>
      <w:lvlJc w:val="left"/>
      <w:pPr>
        <w:ind w:left="432" w:hanging="992"/>
      </w:pPr>
      <w:rPr>
        <w:rFonts w:hint="eastAsia"/>
      </w:rPr>
    </w:lvl>
    <w:lvl w:ilvl="5" w:tentative="0">
      <w:start w:val="1"/>
      <w:numFmt w:val="decimal"/>
      <w:pStyle w:val="9"/>
      <w:isLgl/>
      <w:suff w:val="space"/>
      <w:lvlText w:val="%1.%2.%3.%4.%5.%6"/>
      <w:lvlJc w:val="left"/>
      <w:pPr>
        <w:ind w:left="574" w:hanging="1134"/>
      </w:pPr>
      <w:rPr>
        <w:rFonts w:hint="eastAsia"/>
      </w:rPr>
    </w:lvl>
    <w:lvl w:ilvl="6" w:tentative="0">
      <w:start w:val="1"/>
      <w:numFmt w:val="decimal"/>
      <w:pStyle w:val="10"/>
      <w:isLgl/>
      <w:lvlText w:val="%1.%2.%3.%4.%5.%6.%7"/>
      <w:lvlJc w:val="left"/>
      <w:pPr>
        <w:tabs>
          <w:tab w:val="left" w:pos="420"/>
        </w:tabs>
        <w:ind w:left="716" w:hanging="1276"/>
      </w:pPr>
      <w:rPr>
        <w:rFonts w:hint="eastAsia"/>
      </w:rPr>
    </w:lvl>
    <w:lvl w:ilvl="7" w:tentative="0">
      <w:start w:val="1"/>
      <w:numFmt w:val="decimal"/>
      <w:pStyle w:val="11"/>
      <w:isLgl/>
      <w:suff w:val="space"/>
      <w:lvlText w:val="%1.%2.%3.%4.%5.%6.%7.%8"/>
      <w:lvlJc w:val="left"/>
      <w:pPr>
        <w:ind w:left="1138" w:hanging="1418"/>
      </w:pPr>
      <w:rPr>
        <w:rFonts w:hint="eastAsia"/>
      </w:rPr>
    </w:lvl>
    <w:lvl w:ilvl="8" w:tentative="0">
      <w:start w:val="1"/>
      <w:numFmt w:val="decimal"/>
      <w:pStyle w:val="12"/>
      <w:isLgl/>
      <w:suff w:val="space"/>
      <w:lvlText w:val="%1.%2.%3.%4.%5.%6.%7.%8.%9"/>
      <w:lvlJc w:val="left"/>
      <w:pPr>
        <w:ind w:left="999" w:hanging="1559"/>
      </w:pPr>
      <w:rPr>
        <w:rFonts w:hint="eastAsia"/>
      </w:rPr>
    </w:lvl>
  </w:abstractNum>
  <w:abstractNum w:abstractNumId="1">
    <w:nsid w:val="5E09F280"/>
    <w:multiLevelType w:val="multilevel"/>
    <w:tmpl w:val="5E09F280"/>
    <w:lvl w:ilvl="0" w:tentative="0">
      <w:start w:val="1"/>
      <w:numFmt w:val="bullet"/>
      <w:pStyle w:val="21"/>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E3F26"/>
    <w:rsid w:val="086C5D2B"/>
    <w:rsid w:val="0A7E4F33"/>
    <w:rsid w:val="0EE213FB"/>
    <w:rsid w:val="11213BEA"/>
    <w:rsid w:val="12664647"/>
    <w:rsid w:val="19D20DB7"/>
    <w:rsid w:val="1AD81881"/>
    <w:rsid w:val="1C5C795A"/>
    <w:rsid w:val="1C896A53"/>
    <w:rsid w:val="21642211"/>
    <w:rsid w:val="27D874C5"/>
    <w:rsid w:val="2D010828"/>
    <w:rsid w:val="466E2692"/>
    <w:rsid w:val="4D6C2122"/>
    <w:rsid w:val="55A32FF3"/>
    <w:rsid w:val="5B072370"/>
    <w:rsid w:val="5DEE3F26"/>
    <w:rsid w:val="60EC25B5"/>
    <w:rsid w:val="6125245D"/>
    <w:rsid w:val="641F3A4E"/>
    <w:rsid w:val="690028D2"/>
    <w:rsid w:val="713548F7"/>
    <w:rsid w:val="714B22D6"/>
    <w:rsid w:val="776E5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link w:val="18"/>
    <w:qFormat/>
    <w:uiPriority w:val="0"/>
    <w:pPr>
      <w:keepNext/>
      <w:keepLines/>
      <w:numPr>
        <w:ilvl w:val="0"/>
        <w:numId w:val="1"/>
      </w:numPr>
      <w:spacing w:before="340" w:after="320" w:line="576" w:lineRule="auto"/>
      <w:ind w:left="986"/>
      <w:outlineLvl w:val="0"/>
    </w:pPr>
    <w:rPr>
      <w:rFonts w:ascii="Times New Roman" w:hAnsi="Times New Roman" w:eastAsia="黑体" w:cs="Times New Roman"/>
      <w:b/>
      <w:bCs/>
      <w:kern w:val="44"/>
      <w:sz w:val="48"/>
      <w:szCs w:val="44"/>
    </w:rPr>
  </w:style>
  <w:style w:type="paragraph" w:styleId="5">
    <w:name w:val="heading 2"/>
    <w:basedOn w:val="1"/>
    <w:next w:val="1"/>
    <w:link w:val="20"/>
    <w:semiHidden/>
    <w:unhideWhenUsed/>
    <w:qFormat/>
    <w:uiPriority w:val="0"/>
    <w:pPr>
      <w:keepNext/>
      <w:keepLines/>
      <w:numPr>
        <w:ilvl w:val="1"/>
        <w:numId w:val="1"/>
      </w:numPr>
      <w:tabs>
        <w:tab w:val="left" w:pos="735"/>
      </w:tabs>
      <w:spacing w:before="100" w:beforeLines="100" w:beforeAutospacing="0" w:after="100" w:afterLines="100" w:afterAutospacing="0"/>
      <w:ind w:left="7" w:hanging="567" w:firstLineChars="0"/>
      <w:jc w:val="both"/>
      <w:outlineLvl w:val="1"/>
    </w:pPr>
    <w:rPr>
      <w:rFonts w:ascii="宋体" w:hAnsi="宋体" w:eastAsia="宋体" w:cstheme="majorBidi"/>
      <w:b/>
      <w:bCs/>
      <w:sz w:val="32"/>
      <w:szCs w:val="32"/>
    </w:rPr>
  </w:style>
  <w:style w:type="paragraph" w:styleId="6">
    <w:name w:val="heading 3"/>
    <w:basedOn w:val="1"/>
    <w:next w:val="1"/>
    <w:link w:val="19"/>
    <w:semiHidden/>
    <w:unhideWhenUsed/>
    <w:qFormat/>
    <w:uiPriority w:val="0"/>
    <w:pPr>
      <w:keepNext w:val="0"/>
      <w:keepLines w:val="0"/>
      <w:numPr>
        <w:ilvl w:val="2"/>
        <w:numId w:val="1"/>
      </w:numPr>
      <w:kinsoku w:val="0"/>
      <w:overflowPunct w:val="0"/>
      <w:autoSpaceDE w:val="0"/>
      <w:autoSpaceDN w:val="0"/>
      <w:snapToGrid w:val="0"/>
      <w:spacing w:before="100" w:beforeLines="100"/>
      <w:ind w:left="433" w:hanging="709" w:firstLineChars="0"/>
      <w:textAlignment w:val="bottom"/>
      <w:outlineLvl w:val="2"/>
    </w:pPr>
    <w:rPr>
      <w:rFonts w:ascii="宋体" w:hAnsi="宋体" w:eastAsia="宋体"/>
      <w:b/>
      <w:bCs/>
      <w:sz w:val="32"/>
      <w:szCs w:val="32"/>
    </w:rPr>
  </w:style>
  <w:style w:type="paragraph" w:styleId="7">
    <w:name w:val="heading 4"/>
    <w:basedOn w:val="1"/>
    <w:next w:val="1"/>
    <w:semiHidden/>
    <w:unhideWhenUsed/>
    <w:qFormat/>
    <w:uiPriority w:val="0"/>
    <w:pPr>
      <w:keepNext/>
      <w:keepLines/>
      <w:numPr>
        <w:ilvl w:val="3"/>
        <w:numId w:val="1"/>
      </w:numPr>
      <w:tabs>
        <w:tab w:val="left" w:pos="0"/>
      </w:tabs>
      <w:spacing w:before="280" w:beforeLines="0" w:beforeAutospacing="0" w:after="290" w:afterLines="0" w:afterAutospacing="0" w:line="372" w:lineRule="auto"/>
      <w:ind w:left="291" w:hanging="851" w:firstLineChars="0"/>
      <w:outlineLvl w:val="3"/>
    </w:pPr>
    <w:rPr>
      <w:rFonts w:ascii="Arial" w:hAnsi="Arial" w:eastAsia="黑体"/>
      <w:b/>
      <w:sz w:val="28"/>
    </w:rPr>
  </w:style>
  <w:style w:type="paragraph" w:styleId="8">
    <w:name w:val="heading 5"/>
    <w:basedOn w:val="1"/>
    <w:next w:val="1"/>
    <w:semiHidden/>
    <w:unhideWhenUsed/>
    <w:qFormat/>
    <w:uiPriority w:val="0"/>
    <w:pPr>
      <w:keepNext/>
      <w:keepLines/>
      <w:numPr>
        <w:ilvl w:val="4"/>
        <w:numId w:val="1"/>
      </w:numPr>
      <w:tabs>
        <w:tab w:val="left" w:pos="0"/>
      </w:tabs>
      <w:spacing w:before="280" w:beforeLines="0" w:beforeAutospacing="0" w:after="290" w:afterLines="0" w:afterAutospacing="0" w:line="372" w:lineRule="auto"/>
      <w:ind w:left="432" w:hanging="992" w:firstLineChars="0"/>
      <w:outlineLvl w:val="4"/>
    </w:pPr>
    <w:rPr>
      <w:b/>
      <w:sz w:val="28"/>
    </w:rPr>
  </w:style>
  <w:style w:type="paragraph" w:styleId="9">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574" w:hanging="1134" w:firstLineChars="0"/>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716" w:hanging="1276" w:firstLineChars="0"/>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138" w:hanging="1418" w:firstLineChars="0"/>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999" w:hanging="1559" w:firstLineChars="0"/>
      <w:outlineLvl w:val="8"/>
    </w:pPr>
    <w:rPr>
      <w:rFonts w:ascii="Arial" w:hAnsi="Arial" w:eastAsia="黑体"/>
      <w:sz w:val="21"/>
    </w:rPr>
  </w:style>
  <w:style w:type="character" w:default="1" w:styleId="17">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Title"/>
    <w:basedOn w:val="1"/>
    <w:next w:val="3"/>
    <w:qFormat/>
    <w:uiPriority w:val="10"/>
    <w:pPr>
      <w:ind w:firstLine="0" w:firstLineChars="0"/>
      <w:outlineLvl w:val="0"/>
    </w:pPr>
    <w:rPr>
      <w:rFonts w:ascii="Calibri Light" w:hAnsi="Calibri Light" w:eastAsia="黑体" w:cs="Times New Roman"/>
      <w:b/>
      <w:bCs/>
      <w:sz w:val="30"/>
      <w:szCs w:val="32"/>
    </w:rPr>
  </w:style>
  <w:style w:type="paragraph" w:customStyle="1" w:styleId="3">
    <w:name w:val="Body Text Indent1"/>
    <w:basedOn w:val="1"/>
    <w:next w:val="1"/>
    <w:qFormat/>
    <w:uiPriority w:val="0"/>
    <w:pPr>
      <w:ind w:firstLine="420" w:firstLineChars="140"/>
    </w:pPr>
    <w:rPr>
      <w:sz w:val="21"/>
      <w:szCs w:val="21"/>
    </w:rPr>
  </w:style>
  <w:style w:type="paragraph" w:styleId="13">
    <w:name w:val="Body Text"/>
    <w:basedOn w:val="1"/>
    <w:link w:val="23"/>
    <w:qFormat/>
    <w:uiPriority w:val="0"/>
    <w:pPr>
      <w:widowControl/>
      <w:kinsoku w:val="0"/>
      <w:autoSpaceDE/>
      <w:autoSpaceDN/>
      <w:adjustRightInd w:val="0"/>
      <w:snapToGrid/>
      <w:spacing w:line="360" w:lineRule="auto"/>
      <w:ind w:firstLine="0" w:firstLineChars="0"/>
      <w:textAlignment w:val="baseline"/>
    </w:pPr>
    <w:rPr>
      <w:rFonts w:ascii="Arial" w:hAnsi="Arial" w:eastAsia="宋体" w:cs="Arial"/>
      <w:snapToGrid w:val="0"/>
      <w:color w:val="000000"/>
      <w:kern w:val="0"/>
      <w:sz w:val="24"/>
      <w:szCs w:val="21"/>
      <w:lang w:eastAsia="en-US"/>
    </w:rPr>
  </w:style>
  <w:style w:type="paragraph" w:styleId="14">
    <w:name w:val="footer"/>
    <w:basedOn w:val="1"/>
    <w:qFormat/>
    <w:uiPriority w:val="0"/>
    <w:pPr>
      <w:tabs>
        <w:tab w:val="center" w:pos="4153"/>
        <w:tab w:val="right" w:pos="8306"/>
      </w:tabs>
      <w:snapToGrid w:val="0"/>
      <w:jc w:val="left"/>
    </w:pPr>
    <w:rPr>
      <w:sz w:val="18"/>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8">
    <w:name w:val="标题 1 字符"/>
    <w:basedOn w:val="17"/>
    <w:link w:val="4"/>
    <w:qFormat/>
    <w:uiPriority w:val="9"/>
    <w:rPr>
      <w:rFonts w:ascii="Times New Roman" w:hAnsi="Times New Roman" w:eastAsia="宋体" w:cs="Times New Roman"/>
      <w:b/>
      <w:bCs/>
      <w:kern w:val="44"/>
      <w:sz w:val="32"/>
      <w:szCs w:val="44"/>
    </w:rPr>
  </w:style>
  <w:style w:type="character" w:customStyle="1" w:styleId="19">
    <w:name w:val="标题 3 字符"/>
    <w:link w:val="6"/>
    <w:qFormat/>
    <w:uiPriority w:val="0"/>
    <w:rPr>
      <w:rFonts w:ascii="宋体" w:hAnsi="宋体" w:eastAsia="宋体" w:cstheme="minorBidi"/>
      <w:b/>
      <w:bCs/>
      <w:kern w:val="2"/>
      <w:sz w:val="32"/>
      <w:szCs w:val="32"/>
      <w:lang w:val="en-US" w:eastAsia="zh-CN" w:bidi="ar-SA"/>
    </w:rPr>
  </w:style>
  <w:style w:type="character" w:customStyle="1" w:styleId="20">
    <w:name w:val="标题 2 字符"/>
    <w:basedOn w:val="17"/>
    <w:link w:val="5"/>
    <w:qFormat/>
    <w:uiPriority w:val="0"/>
    <w:rPr>
      <w:rFonts w:ascii="宋体" w:hAnsi="宋体" w:eastAsia="宋体" w:cstheme="majorBidi"/>
      <w:b/>
      <w:bCs/>
      <w:sz w:val="32"/>
      <w:szCs w:val="32"/>
    </w:rPr>
  </w:style>
  <w:style w:type="paragraph" w:styleId="21">
    <w:name w:val="List Paragraph"/>
    <w:basedOn w:val="1"/>
    <w:link w:val="22"/>
    <w:qFormat/>
    <w:uiPriority w:val="0"/>
    <w:pPr>
      <w:numPr>
        <w:ilvl w:val="0"/>
        <w:numId w:val="2"/>
      </w:numPr>
      <w:topLinePunct/>
      <w:ind w:left="901" w:hanging="420" w:firstLineChars="0"/>
    </w:pPr>
    <w:rPr>
      <w:rFonts w:ascii="宋体" w:hAnsi="宋体" w:eastAsia="宋体"/>
      <w:szCs w:val="24"/>
    </w:rPr>
  </w:style>
  <w:style w:type="character" w:customStyle="1" w:styleId="22">
    <w:name w:val="列出段落 字符"/>
    <w:link w:val="21"/>
    <w:qFormat/>
    <w:uiPriority w:val="0"/>
    <w:rPr>
      <w:rFonts w:ascii="宋体" w:hAnsi="宋体" w:eastAsia="宋体"/>
      <w:kern w:val="2"/>
      <w:sz w:val="24"/>
      <w:szCs w:val="24"/>
      <w:lang w:val="en-US" w:eastAsia="zh-CN"/>
    </w:rPr>
  </w:style>
  <w:style w:type="character" w:customStyle="1" w:styleId="23">
    <w:name w:val="正文文本 字符"/>
    <w:basedOn w:val="17"/>
    <w:link w:val="13"/>
    <w:qFormat/>
    <w:uiPriority w:val="99"/>
    <w:rPr>
      <w:rFonts w:ascii="Arial" w:hAnsi="Arial" w:eastAsia="宋体" w:cs="Arial"/>
      <w:snapToGrid w:val="0"/>
      <w:color w:val="000000"/>
      <w:kern w:val="0"/>
      <w:sz w:val="24"/>
      <w:szCs w:val="21"/>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1602</Words>
  <Characters>1604</Characters>
  <Lines>0</Lines>
  <Paragraphs>0</Paragraphs>
  <TotalTime>14</TotalTime>
  <ScaleCrop>false</ScaleCrop>
  <LinksUpToDate>false</LinksUpToDate>
  <CharactersWithSpaces>1891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2026-05-27T07:18:00Z</dcterms:created>
  <dc:creator>胡鹏</dc:creator>
  <cp:lastModifiedBy>惠惠</cp:lastModifiedBy>
  <dcterms:modified xsi:type="dcterms:W3CDTF">2026-06-26T01:45:43Z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1AB2D9F2CB1847079D937CD8D94712D7_13</vt:lpwstr>
  </property>
  <property fmtid="{D5CDD505-2E9C-101B-9397-08002B2CF9AE}" pid="4" name="KSOTemplateDocerSaveRecord">
    <vt:lpwstr>eyJoZGlkIjoiNjI5YjY5Yzc3MmNlMGJjNjYxMjRhNTM0NjkxZTVjZmMiLCJ1c2VySWQiOiI2ODU2Njg2NTEifQ==</vt:lpwstr>
  </property>
</Properties>
</file>