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版本号：SXDZ2026-ZC-DY01320260707001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办公业务用房租赁项目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SXDZ2026-ZC-DY013</w:t>
      </w:r>
      <w:r>
        <w:br/>
      </w:r>
      <w:r>
        <w:br/>
      </w:r>
      <w:r>
        <w:br/>
      </w:r>
    </w:p>
    <w:p>
      <w:pPr>
        <w:pStyle w:val="null3"/>
        <w:jc w:val="center"/>
        <w:outlineLvl w:val="5"/>
      </w:pPr>
      <w:r>
        <w:rPr>
          <w:rFonts w:ascii="仿宋_GB2312" w:hAnsi="仿宋_GB2312" w:cs="仿宋_GB2312" w:eastAsia="仿宋_GB2312"/>
          <w:sz w:val="15"/>
          <w:b/>
        </w:rPr>
        <w:t>西安市生态环境局新城分局环境监测站</w:t>
      </w:r>
    </w:p>
    <w:p>
      <w:pPr>
        <w:pStyle w:val="null3"/>
        <w:jc w:val="center"/>
        <w:outlineLvl w:val="5"/>
      </w:pPr>
      <w:r>
        <w:rPr>
          <w:rFonts w:ascii="仿宋_GB2312" w:hAnsi="仿宋_GB2312" w:cs="仿宋_GB2312" w:eastAsia="仿宋_GB2312"/>
          <w:sz w:val="15"/>
          <w:b/>
        </w:rPr>
        <w:t>陕西东卓项目管理有限公司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西安市生态环境局新城分局环境监测站</w:t>
      </w:r>
      <w:r>
        <w:rPr>
          <w:rFonts w:ascii="仿宋_GB2312" w:hAnsi="仿宋_GB2312" w:cs="仿宋_GB2312" w:eastAsia="仿宋_GB2312"/>
        </w:rPr>
        <w:t>委托，拟对</w:t>
      </w:r>
      <w:r>
        <w:rPr>
          <w:rFonts w:ascii="仿宋_GB2312" w:hAnsi="仿宋_GB2312" w:cs="仿宋_GB2312" w:eastAsia="仿宋_GB2312"/>
        </w:rPr>
        <w:t>办公业务用房租赁项目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SXDZ2026-ZC-DY013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办公业务用房租赁项目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 xml:space="preserve">     因工作需要，租赁西安市新城区长兴路 19 号商业街西侧 3 层和 4 层商业楼1500平方米作为实验室业务用房，满足重点区县实验室办公需求。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采购包1（办公业务用房租赁项目）：属于专门面向小微企业采购。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社会信用代码的营业执照：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度或2025年度经审计的财务报告（成立时间至响应文件递交截止时间不足一年的可提供成立后任意时段的资产负债表），或提供响应文件递交截止日前三个月内其基本存款账户开户银行出具的资信证明。</w:t>
      </w:r>
    </w:p>
    <w:p>
      <w:pPr>
        <w:pStyle w:val="null3"/>
      </w:pPr>
      <w:r>
        <w:rPr>
          <w:rFonts w:ascii="仿宋_GB2312" w:hAnsi="仿宋_GB2312" w:cs="仿宋_GB2312" w:eastAsia="仿宋_GB2312"/>
        </w:rPr>
        <w:t>3、具备履行合同所必需的设备和专业 技术能力：提供具有履行合同所必需的设备和专业技术能力的承诺</w:t>
      </w:r>
    </w:p>
    <w:p>
      <w:pPr>
        <w:pStyle w:val="null3"/>
      </w:pPr>
      <w:r>
        <w:rPr>
          <w:rFonts w:ascii="仿宋_GB2312" w:hAnsi="仿宋_GB2312" w:cs="仿宋_GB2312" w:eastAsia="仿宋_GB2312"/>
        </w:rPr>
        <w:t>4、依法缴纳税收的相关材料：提供磋商截止日前一年内已缴纳的至少一个月的纳税证明或完税证明，依法免税的单位应提供相关证明材料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5、社会保障资金的相关材料：提供磋商截止日前一年内已缴存的至少一个月的社会保障资金缴存单据或社保机构开具的社会保险参保缴费情况证明，依法不需要缴纳社会保障资金的单位应提供相关证明材料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相关证明资料，提供信用中国网及中国政府采购网相应查询结果网页截图加盖供应商章）</w:t>
      </w:r>
    </w:p>
    <w:p>
      <w:pPr>
        <w:pStyle w:val="null3"/>
      </w:pPr>
      <w:r>
        <w:rPr>
          <w:rFonts w:ascii="仿宋_GB2312" w:hAnsi="仿宋_GB2312" w:cs="仿宋_GB2312" w:eastAsia="仿宋_GB2312"/>
        </w:rPr>
        <w:t>9、本项目不接受联合体投标：本项目不接受联合体投标（提供书面承诺，加盖供应商公章）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西安市生态环境局新城分局环境监测站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西安市生态环境局新城分局环境监测站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13363937570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西安市莲湖区大兴东路御笔城市广场2号电梯408室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须向采购代理机构一次性支付招标代理服务费。 接收代理服务费账户名称：陕西东卓项目管理有限公司 开户银行：中国银行股份有限公司西安市经济技术开发区支行 账 号：102494375315 转账事由：（项目名称）代理服务费 咨询电话：029-86637322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西安市生态环境局新城分局环境监测站</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西安市生态环境局新城分局环境监测站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按合同条款要求及响应文件内容。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联系电话：029-86637322</w:t>
      </w:r>
    </w:p>
    <w:p>
      <w:pPr>
        <w:pStyle w:val="null3"/>
      </w:pPr>
      <w:r>
        <w:rPr>
          <w:rFonts w:ascii="仿宋_GB2312" w:hAnsi="仿宋_GB2312" w:cs="仿宋_GB2312" w:eastAsia="仿宋_GB2312"/>
        </w:rPr>
        <w:t>地址：西安市莲湖区大兴东路御笔城市广场2号电梯408室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租赁1500平方米作为办公业务，满足日常办公需求。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1350000</w:t>
            </w:r>
          </w:p>
        </w:tc>
        <w:tc>
          <w:tcPr>
            <w:tcW w:type="dxa" w:w="755"/>
          </w:tcPr>
          <w:p>
            <w:pPr>
              <w:pStyle w:val="null3"/>
              <w:jc w:val="right"/>
            </w:pPr>
            <w:r>
              <w:rPr>
                <w:rFonts w:ascii="仿宋_GB2312" w:hAnsi="仿宋_GB2312" w:cs="仿宋_GB2312" w:eastAsia="仿宋_GB2312"/>
              </w:rPr>
              <w:t>1,500.00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平方米</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标的名称：1350000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（一）项目概况：</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因工作需要，租赁西安市新城区长兴路 19 号商业街西侧 3 层和 4 层商业楼1500平方米作为实验室业务用房，满足重点区县实验室办公需求。</w:t>
            </w:r>
          </w:p>
          <w:p>
            <w:pPr>
              <w:pStyle w:val="null3"/>
            </w:pPr>
            <w:r>
              <w:rPr>
                <w:rFonts w:ascii="仿宋_GB2312" w:hAnsi="仿宋_GB2312" w:cs="仿宋_GB2312" w:eastAsia="仿宋_GB2312"/>
                <w:sz w:val="24"/>
                <w:color w:val="000000"/>
              </w:rPr>
              <w:t>（二）服务要求：</w:t>
            </w:r>
          </w:p>
          <w:p>
            <w:pPr>
              <w:pStyle w:val="null3"/>
            </w:pPr>
            <w:r>
              <w:rPr>
                <w:rFonts w:ascii="仿宋_GB2312" w:hAnsi="仿宋_GB2312" w:cs="仿宋_GB2312" w:eastAsia="仿宋_GB2312"/>
                <w:sz w:val="24"/>
                <w:color w:val="000000"/>
              </w:rPr>
              <w:t>1.租赁用房面积：约 1500 平方米。</w:t>
            </w:r>
          </w:p>
          <w:p>
            <w:pPr>
              <w:pStyle w:val="null3"/>
            </w:pPr>
            <w:r>
              <w:rPr>
                <w:rFonts w:ascii="仿宋_GB2312" w:hAnsi="仿宋_GB2312" w:cs="仿宋_GB2312" w:eastAsia="仿宋_GB2312"/>
                <w:sz w:val="24"/>
                <w:color w:val="000000"/>
              </w:rPr>
              <w:t>2.提供用房场所的正常使用，提供正常的物业服务，确保供水、供电、电梯等正常保障、设施完好。</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西安市新城区长兴路 19 号商业街西侧 3 层和 4 层商业楼</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 ，经甲方验收合格，达到付款条件起10个工作日内，支付合同总金额的40.0%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进度款，合同履约至三个月后，经甲方验收合格，达到付款条件起10个工作日内，支付合同总金额的60.0%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合同双方的权利和义务对等，如一方违约，另一方有权按约定条款追究责任并终止合同，由此造成的经济损失由违约方承担。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为保证项目备案顺利，成交供应商在领取纸质版成交通知书时，需提供纸质版响应文件一正两副，电子版响应文件二份。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统一社会信用代码的营业执照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提供2024年度或2025年度经审计的财务报告（成立时间至响应文件递交截止时间不足一年的可提供成立后任意时段的资产负债表），或提供响应文件递交截止日前三个月内其基本存款账户开户银行出具的资信证明。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具备履行合同所必需的设备和专业 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社会保障资金的相关材料</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相关证明资料，提供信用中国网及中国政府采购网相应查询结果网页截图加盖供应商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本项目不接受联合体投标（提供书面承诺，加盖供应商公章）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单一来源响应文件的完整性</w:t>
            </w:r>
          </w:p>
        </w:tc>
        <w:tc>
          <w:tcPr>
            <w:tcW w:type="dxa" w:w="3322"/>
          </w:tcPr>
          <w:p>
            <w:pPr>
              <w:pStyle w:val="null3"/>
            </w:pPr>
            <w:r>
              <w:rPr>
                <w:rFonts w:ascii="仿宋_GB2312" w:hAnsi="仿宋_GB2312" w:cs="仿宋_GB2312" w:eastAsia="仿宋_GB2312"/>
              </w:rPr>
              <w:t>单一来源响应文件的完整性（单一来源文件内容齐全、格式完整）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供应商拒绝政府采购领域商业贿赂承诺书.docx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单一来源响应文件的有效性</w:t>
            </w:r>
          </w:p>
        </w:tc>
        <w:tc>
          <w:tcPr>
            <w:tcW w:type="dxa" w:w="3322"/>
          </w:tcPr>
          <w:p>
            <w:pPr>
              <w:pStyle w:val="null3"/>
            </w:pPr>
            <w:r>
              <w:rPr>
                <w:rFonts w:ascii="仿宋_GB2312" w:hAnsi="仿宋_GB2312" w:cs="仿宋_GB2312" w:eastAsia="仿宋_GB2312"/>
              </w:rPr>
              <w:t>单一来源响应文件的有效性（签字、时间、盖章等）</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供应商拒绝政府采购领域商业贿赂承诺书.docx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投标截止之日起90日历天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单一来源响应文件的响应性</w:t>
            </w:r>
          </w:p>
        </w:tc>
        <w:tc>
          <w:tcPr>
            <w:tcW w:type="dxa" w:w="3322"/>
          </w:tcPr>
          <w:p>
            <w:pPr>
              <w:pStyle w:val="null3"/>
            </w:pPr>
            <w:r>
              <w:rPr>
                <w:rFonts w:ascii="仿宋_GB2312" w:hAnsi="仿宋_GB2312" w:cs="仿宋_GB2312" w:eastAsia="仿宋_GB2312"/>
              </w:rPr>
              <w:t>单一来源响应文件的响应性（是否存在实质性偏离、缺项、漏项等）</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供应商拒绝政府采购领域商业贿赂承诺书.docx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响应报价不得超过采购预算</w:t>
            </w:r>
          </w:p>
        </w:tc>
        <w:tc>
          <w:tcPr>
            <w:tcW w:type="dxa" w:w="3322"/>
          </w:tcPr>
          <w:p>
            <w:pPr>
              <w:pStyle w:val="null3"/>
            </w:pPr>
            <w:r>
              <w:rPr>
                <w:rFonts w:ascii="仿宋_GB2312" w:hAnsi="仿宋_GB2312" w:cs="仿宋_GB2312" w:eastAsia="仿宋_GB2312"/>
              </w:rPr>
              <w:t>响应报价不得超过采购预算</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