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版本号：LZBC2026-290（XDZ2026-27-N-11）20260506001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2026年度高新区建设工程规划审批技术服务外包项目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LZBC2026-290（XDZ2026-27-N-11）</w:t>
      </w:r>
      <w:r>
        <w:br/>
      </w:r>
      <w:r>
        <w:br/>
      </w:r>
      <w:r>
        <w:br/>
      </w:r>
    </w:p>
    <w:p>
      <w:pPr>
        <w:pStyle w:val="null3"/>
        <w:jc w:val="center"/>
        <w:outlineLvl w:val="2"/>
      </w:pPr>
      <w:r>
        <w:rPr>
          <w:rFonts w:ascii="仿宋_GB2312" w:hAnsi="仿宋_GB2312" w:cs="仿宋_GB2312" w:eastAsia="仿宋_GB2312"/>
          <w:sz w:val="28"/>
          <w:b/>
        </w:rPr>
        <w:t>西安高新技术产业开发区自然资源和规划局</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西安高新技术产业开发区自然资源和规划局</w:t>
      </w:r>
      <w:r>
        <w:rPr>
          <w:rFonts w:ascii="仿宋_GB2312" w:hAnsi="仿宋_GB2312" w:cs="仿宋_GB2312" w:eastAsia="仿宋_GB2312"/>
        </w:rPr>
        <w:t>委托，拟对</w:t>
      </w:r>
      <w:r>
        <w:rPr>
          <w:rFonts w:ascii="仿宋_GB2312" w:hAnsi="仿宋_GB2312" w:cs="仿宋_GB2312" w:eastAsia="仿宋_GB2312"/>
        </w:rPr>
        <w:t>2026年度高新区建设工程规划审批技术服务外包项目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LZBC2026-290（XDZ2026-27-N-11）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2026年度高新区建设工程规划审批技术服务外包项目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本项目拟对2026年度高新区建设工程规划审批技术服务外包进行采购，具体详见招标文件。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1、具有独立承担民事责任能力的法人、其他组织或自然人：法人或者其他组织提供营业执照等证明文件，自然人提供身份证件，投标人需在项目电子化交易系统中按要求上传相应证明文件并进行电子签章；</w:t>
      </w:r>
    </w:p>
    <w:p>
      <w:pPr>
        <w:pStyle w:val="null3"/>
      </w:pPr>
      <w:r>
        <w:rPr>
          <w:rFonts w:ascii="仿宋_GB2312" w:hAnsi="仿宋_GB2312" w:cs="仿宋_GB2312" w:eastAsia="仿宋_GB2312"/>
        </w:rPr>
        <w:t>2、税收缴纳凭证及社会保险缴纳的凭证：投标人在本项目投标文件递交截止时间前六个月内任意一个月的税收缴纳凭证及社会保险缴纳的凭证。依法免税或不需要缴纳社会保障资金的投标人，应提供相应文件证明其依法免税或不需要缴纳社会保障资金，投标人需在项目电子化交易系统中按要求上传相应证明文件或提供《基本资格条件承诺函》；</w:t>
      </w:r>
    </w:p>
    <w:p>
      <w:pPr>
        <w:pStyle w:val="null3"/>
      </w:pPr>
      <w:r>
        <w:rPr>
          <w:rFonts w:ascii="仿宋_GB2312" w:hAnsi="仿宋_GB2312" w:cs="仿宋_GB2312" w:eastAsia="仿宋_GB2312"/>
        </w:rPr>
        <w:t>3、财务状况报告：投标人提供2024年度或2025年度经审计的财务审计报告（事业法人可提供部门决算报告）；或提供投标人基本开户银行出具的资信证明；或提供专业担保机构出具的投标担保函，投标人需在项目电子化交易系统中按要求上传相应证明文件或提供《基本资格条件承诺函》；</w:t>
      </w:r>
    </w:p>
    <w:p>
      <w:pPr>
        <w:pStyle w:val="null3"/>
      </w:pPr>
      <w:r>
        <w:rPr>
          <w:rFonts w:ascii="仿宋_GB2312" w:hAnsi="仿宋_GB2312" w:cs="仿宋_GB2312" w:eastAsia="仿宋_GB2312"/>
        </w:rPr>
        <w:t>4、参加政府采购活动前3年内在经营活动中没有重大违法记录的书面声明：其中：重大违法记录是指投标人因违法经营受到刑事处罚或者责令停产停业、吊销许可证或者执照、较大数额罚款等行政处罚：参加政府采购活动前3年内在经营活动中没有重大违法记录的书面声明，投标人需在项目电子化交易系统中按要求上传相应证明文件或提供《基本资格条件承诺函》并进行电子签章；</w:t>
      </w:r>
    </w:p>
    <w:p>
      <w:pPr>
        <w:pStyle w:val="null3"/>
      </w:pPr>
      <w:r>
        <w:rPr>
          <w:rFonts w:ascii="仿宋_GB2312" w:hAnsi="仿宋_GB2312" w:cs="仿宋_GB2312" w:eastAsia="仿宋_GB2312"/>
        </w:rPr>
        <w:t>5、履行合同所必需的设备和专业技术能力书面声明函：具有履行合同所必需的设备和专业技术能力书面声明函，投标人需在项目电子化交易系统中按要求上传相应证明文件或提供《基本资格条件承诺函》并进行电子签章；</w:t>
      </w:r>
    </w:p>
    <w:p>
      <w:pPr>
        <w:pStyle w:val="null3"/>
      </w:pPr>
      <w:r>
        <w:rPr>
          <w:rFonts w:ascii="仿宋_GB2312" w:hAnsi="仿宋_GB2312" w:cs="仿宋_GB2312" w:eastAsia="仿宋_GB2312"/>
        </w:rPr>
        <w:t>6、信用状况：投标人不得为“信用中国”网站（www.creditchina.gov.cn）中列入失信被执行人和重大税收违法 失信主体的投标人，不得为中国政府采购网（www.ccgp.gov.cn）政府采购严重违法失信行为记录名单中被财政部门禁止参加政府采购活动的投标人。以投标文件递交截止时间后网站查询结果为准；</w:t>
      </w:r>
    </w:p>
    <w:p>
      <w:pPr>
        <w:pStyle w:val="null3"/>
      </w:pPr>
      <w:r>
        <w:rPr>
          <w:rFonts w:ascii="仿宋_GB2312" w:hAnsi="仿宋_GB2312" w:cs="仿宋_GB2312" w:eastAsia="仿宋_GB2312"/>
        </w:rPr>
        <w:t>7、企业资质：投标人具有城乡规划（国土空间规划）编制单位乙级及以上资质证书或建筑行业（建筑工程）专业甲级资质或建筑行业工程设计甲级资质或工程设计综合甲级资质。投标人需在项目电子化交易系统中按要求上传相应证明文件并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1、具有独立承担民事责任能力的法人、其他组织或自然人：法人或者其他组织提供营业执照等证明文件，自然人提供身份证件，投标人需在项目电子化交易系统中按要求上传相应证明文件并进行电子签章；</w:t>
      </w:r>
    </w:p>
    <w:p>
      <w:pPr>
        <w:pStyle w:val="null3"/>
      </w:pPr>
      <w:r>
        <w:rPr>
          <w:rFonts w:ascii="仿宋_GB2312" w:hAnsi="仿宋_GB2312" w:cs="仿宋_GB2312" w:eastAsia="仿宋_GB2312"/>
        </w:rPr>
        <w:t>2、税收缴纳凭证及社会保险缴纳的凭证：投标人在本项目投标文件递交截止时间前六个月内任意一个月的税收缴纳凭证及社会保险缴纳的凭证。依法免税或不需要缴纳社会保障资金的投标人，应提供相应文件证明其依法免税或不需要缴纳社会保障资金，投标人需在项目电子化交易系统中按要求上传相应证明文件或提供《基本资格条件承诺函》；</w:t>
      </w:r>
    </w:p>
    <w:p>
      <w:pPr>
        <w:pStyle w:val="null3"/>
      </w:pPr>
      <w:r>
        <w:rPr>
          <w:rFonts w:ascii="仿宋_GB2312" w:hAnsi="仿宋_GB2312" w:cs="仿宋_GB2312" w:eastAsia="仿宋_GB2312"/>
        </w:rPr>
        <w:t>3、财务状况报告：投标人提供2024年度或2025年度经审计的财务审计报告（事业法人可提供部门决算报告）；或提供投标人基本开户银行出具的资信证明；或提供专业担保机构出具的投标担保函，投标人需在项目电子化交易系统中按要求上传相应证明文件或提供《基本资格条件承诺函》；</w:t>
      </w:r>
    </w:p>
    <w:p>
      <w:pPr>
        <w:pStyle w:val="null3"/>
      </w:pPr>
      <w:r>
        <w:rPr>
          <w:rFonts w:ascii="仿宋_GB2312" w:hAnsi="仿宋_GB2312" w:cs="仿宋_GB2312" w:eastAsia="仿宋_GB2312"/>
        </w:rPr>
        <w:t>4、参加政府采购活动前3年内在经营活动中没有重大违法记录的书面声明：其中：重大违法记录是指投标人因违法经营受到刑事处罚或者责令停产停业、吊销许可证或者执照、较大数额罚款等行政处罚：参加政府采购活动前3年内在经营活动中没有重大违法记录的书面声明，投标人需在项目电子化交易系统中按要求上传相应证明文件或提供《基本资格条件承诺函》并进行电子签章；</w:t>
      </w:r>
    </w:p>
    <w:p>
      <w:pPr>
        <w:pStyle w:val="null3"/>
      </w:pPr>
      <w:r>
        <w:rPr>
          <w:rFonts w:ascii="仿宋_GB2312" w:hAnsi="仿宋_GB2312" w:cs="仿宋_GB2312" w:eastAsia="仿宋_GB2312"/>
        </w:rPr>
        <w:t>5、履行合同所必需的设备和专业技术能力书面声明函：具有履行合同所必需的设备和专业技术能力书面声明函，投标人需在项目电子化交易系统中按要求上传相应证明文件或提供《基本资格条件承诺函》并进行电子签章；</w:t>
      </w:r>
    </w:p>
    <w:p>
      <w:pPr>
        <w:pStyle w:val="null3"/>
      </w:pPr>
      <w:r>
        <w:rPr>
          <w:rFonts w:ascii="仿宋_GB2312" w:hAnsi="仿宋_GB2312" w:cs="仿宋_GB2312" w:eastAsia="仿宋_GB2312"/>
        </w:rPr>
        <w:t>6、信用状况：投标人不得为“信用中国”网站（www.creditchina.gov.cn）中列入失信被执行人和重大税收违法 失信主体的投标人，不得为中国政府采购网（www.ccgp.gov.cn）政府采购严重违法失信行为记录名单中被财政部门禁止参加政府采购活动的投标人。以投标文件递交截止时间后网站查询结果为准；</w:t>
      </w:r>
    </w:p>
    <w:p>
      <w:pPr>
        <w:pStyle w:val="null3"/>
      </w:pPr>
      <w:r>
        <w:rPr>
          <w:rFonts w:ascii="仿宋_GB2312" w:hAnsi="仿宋_GB2312" w:cs="仿宋_GB2312" w:eastAsia="仿宋_GB2312"/>
        </w:rPr>
        <w:t>7、企业资质：投标人具有城乡规划（国土空间规划）编制单位乙级及以上资质证书或建筑行业（建筑工程）专业甲级资质或建筑行业工程设计甲级资质或工程设计综合甲级资质。投标人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西安高新技术产业开发区自然资源和规划局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陕西省西安市高新区成章路丝路创智谷6号楼509室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李培富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029-88855861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陕西省西安市高新区太白南路181号A座A区501室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张正浩、王申午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029-88228899-632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采购包1：1,400,000.00元</w:t>
            </w:r>
          </w:p>
          <w:p>
            <w:pPr>
              <w:pStyle w:val="null3"/>
            </w:pPr>
            <w:r>
              <w:rPr>
                <w:rFonts w:ascii="仿宋_GB2312" w:hAnsi="仿宋_GB2312" w:cs="仿宋_GB2312" w:eastAsia="仿宋_GB2312"/>
              </w:rPr>
              <w:t>采购包2：1,400,000.00元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采购代理服务收费管理暂行办法的通知》（计价格[2002]1980号文件）、国家发改委办公厅颁发的《关于采购代理服务收费有关问题的通知》（发改办价格【2003】857号）文件等，由成交/中标（中标）单位在领取成交（中标）通知书前向受托人支付采购代理服务费用。</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西安高新技术产业开发区自然资源和规划局</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西安高新技术产业开发区自然资源和规划局</w:t>
      </w:r>
      <w:r>
        <w:rPr>
          <w:rFonts w:ascii="仿宋_GB2312" w:hAnsi="仿宋_GB2312" w:cs="仿宋_GB2312" w:eastAsia="仿宋_GB2312"/>
        </w:rPr>
        <w:t>负责解释。除上述招标文件内容，其他内容由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西安高新技术产业开发区自然资源和规划局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满足国家及行业相关标准及要求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满足国家及行业相关标准及要求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联系人：张正浩</w:t>
      </w:r>
    </w:p>
    <w:p>
      <w:pPr>
        <w:pStyle w:val="null3"/>
      </w:pPr>
      <w:r>
        <w:rPr>
          <w:rFonts w:ascii="仿宋_GB2312" w:hAnsi="仿宋_GB2312" w:cs="仿宋_GB2312" w:eastAsia="仿宋_GB2312"/>
        </w:rPr>
        <w:t>联系电话：029-88228899-632</w:t>
      </w:r>
    </w:p>
    <w:p>
      <w:pPr>
        <w:pStyle w:val="null3"/>
      </w:pPr>
      <w:r>
        <w:rPr>
          <w:rFonts w:ascii="仿宋_GB2312" w:hAnsi="仿宋_GB2312" w:cs="仿宋_GB2312" w:eastAsia="仿宋_GB2312"/>
        </w:rPr>
        <w:t>地址：陕西省西安市高新区太白南路181号西部电子社区A座A区501室</w:t>
      </w:r>
    </w:p>
    <w:p>
      <w:pPr>
        <w:pStyle w:val="null3"/>
      </w:pPr>
      <w:r>
        <w:rPr>
          <w:rFonts w:ascii="仿宋_GB2312" w:hAnsi="仿宋_GB2312" w:cs="仿宋_GB2312" w:eastAsia="仿宋_GB2312"/>
        </w:rPr>
        <w:t>邮编：710045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本项目拟对2026年度高新区建设工程规划审批技术服务外包进行采购，具体详见招标文件。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1,400,000.00</w:t>
      </w:r>
    </w:p>
    <w:p>
      <w:pPr>
        <w:pStyle w:val="null3"/>
      </w:pPr>
      <w:r>
        <w:rPr>
          <w:rFonts w:ascii="仿宋_GB2312" w:hAnsi="仿宋_GB2312" w:cs="仿宋_GB2312" w:eastAsia="仿宋_GB2312"/>
        </w:rPr>
        <w:t>采购包最高限价（元）: 1,400,000.00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韦斗路以北-科技路以南片区（北至科技路-南二环 南到韦斗路 西至西汉高速 东到太白南路）</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1,400,000.00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1,400,000.00</w:t>
      </w:r>
    </w:p>
    <w:p>
      <w:pPr>
        <w:pStyle w:val="null3"/>
      </w:pPr>
      <w:r>
        <w:rPr>
          <w:rFonts w:ascii="仿宋_GB2312" w:hAnsi="仿宋_GB2312" w:cs="仿宋_GB2312" w:eastAsia="仿宋_GB2312"/>
        </w:rPr>
        <w:t>采购包最高限价（元）: 1,400,000.00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韦斗路以南片区（北至韦斗路 南到关中环线 西至镇街边界 东到镇街边界）</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1,400,000.00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标的名称：韦斗路以北-科技路以南片区（北至科技路-南二环 南到韦斗路 西至西汉高速 东到太白南路）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一、服务内容</w:t>
            </w:r>
          </w:p>
          <w:p>
            <w:pPr>
              <w:pStyle w:val="null3"/>
            </w:pPr>
            <w:r>
              <w:rPr>
                <w:rFonts w:ascii="仿宋_GB2312" w:hAnsi="仿宋_GB2312" w:cs="仿宋_GB2312" w:eastAsia="仿宋_GB2312"/>
              </w:rPr>
              <w:t>（一）政策标准研究</w:t>
            </w:r>
            <w:r>
              <w:br/>
            </w:r>
            <w:r>
              <w:rPr>
                <w:rFonts w:ascii="仿宋_GB2312" w:hAnsi="仿宋_GB2312" w:cs="仿宋_GB2312" w:eastAsia="仿宋_GB2312"/>
              </w:rPr>
              <w:t xml:space="preserve"> 收集并研究国内大城市先进案例和创新做法，研究提出高新区建设工程行政许可事项流程优化和规划审批管理标准的建议，形成文件汇编和汇报材料；结合实际工作需求，完善、更新高新区行政许可事项企业申报材料范本与制图标准、方案图册范本、《技术审查意见书》范本、典型案例汇编等。</w:t>
            </w:r>
            <w:r>
              <w:br/>
            </w:r>
            <w:r>
              <w:rPr>
                <w:rFonts w:ascii="仿宋_GB2312" w:hAnsi="仿宋_GB2312" w:cs="仿宋_GB2312" w:eastAsia="仿宋_GB2312"/>
              </w:rPr>
              <w:t xml:space="preserve"> （二）建设工程规划相关事项的技术审查</w:t>
            </w:r>
            <w:r>
              <w:br/>
            </w:r>
            <w:r>
              <w:rPr>
                <w:rFonts w:ascii="仿宋_GB2312" w:hAnsi="仿宋_GB2312" w:cs="仿宋_GB2312" w:eastAsia="仿宋_GB2312"/>
              </w:rPr>
              <w:t xml:space="preserve"> （1）建设工程规划许可（建筑工程、重大市政交通工程）。对建设工程设计方案（包含但不限于总平面图、建筑单体套图、竖向布置图、配建公共服务设施、配建市政与交通基础设施、绿地、城市风貌方案、交通影响评价报告、日照分析报告等）是否符合技术规范、规划条件及政策性文件要求进行核查并出具《技术审查意见书》。</w:t>
            </w:r>
            <w:r>
              <w:br/>
            </w:r>
            <w:r>
              <w:rPr>
                <w:rFonts w:ascii="仿宋_GB2312" w:hAnsi="仿宋_GB2312" w:cs="仿宋_GB2312" w:eastAsia="仿宋_GB2312"/>
              </w:rPr>
              <w:t xml:space="preserve"> （2）用地预审与选址意见书。出具建设项目用地预审与选址论证报告的《技术审查意见书》；涉及重大项目用地预审及规划选址时，召开专家论证会。</w:t>
            </w:r>
            <w:r>
              <w:br/>
            </w:r>
            <w:r>
              <w:rPr>
                <w:rFonts w:ascii="仿宋_GB2312" w:hAnsi="仿宋_GB2312" w:cs="仿宋_GB2312" w:eastAsia="仿宋_GB2312"/>
              </w:rPr>
              <w:t xml:space="preserve"> （3）其他审批事项。低风险小型社会投资建设项目、建筑外立面改造、临时建筑、零星工程等项目设计方案出具《技术审查意见书》；规划条件核实时，核査建筑退线、停车位、建筑外立面等局部调整的合规性，并出具《技术审查意见书》。</w:t>
            </w:r>
            <w:r>
              <w:br/>
            </w:r>
            <w:r>
              <w:rPr>
                <w:rFonts w:ascii="仿宋_GB2312" w:hAnsi="仿宋_GB2312" w:cs="仿宋_GB2312" w:eastAsia="仿宋_GB2312"/>
              </w:rPr>
              <w:t xml:space="preserve"> （三）其他相关事项</w:t>
            </w:r>
            <w:r>
              <w:br/>
            </w:r>
            <w:r>
              <w:rPr>
                <w:rFonts w:ascii="仿宋_GB2312" w:hAnsi="仿宋_GB2312" w:cs="仿宋_GB2312" w:eastAsia="仿宋_GB2312"/>
              </w:rPr>
              <w:t xml:space="preserve"> 规划审批阶段各专项工作会议（包括交通影响评价报告评审会、专家及部门联审会等）；根据项目需要协助出具法律审查意见。</w:t>
            </w:r>
            <w:r>
              <w:br/>
            </w:r>
            <w:r>
              <w:rPr>
                <w:rFonts w:ascii="仿宋_GB2312" w:hAnsi="仿宋_GB2312" w:cs="仿宋_GB2312" w:eastAsia="仿宋_GB2312"/>
              </w:rPr>
              <w:t xml:space="preserve"> 二、服务要求</w:t>
            </w:r>
            <w:r>
              <w:br/>
            </w:r>
            <w:r>
              <w:rPr>
                <w:rFonts w:ascii="仿宋_GB2312" w:hAnsi="仿宋_GB2312" w:cs="仿宋_GB2312" w:eastAsia="仿宋_GB2312"/>
              </w:rPr>
              <w:t xml:space="preserve"> 1.外包单位常驻服务人员不少于3名（规划、建筑方向），职称职级应达到1名高级工程师，2名中级工程师标准。</w:t>
            </w:r>
            <w:r>
              <w:br/>
            </w:r>
            <w:r>
              <w:rPr>
                <w:rFonts w:ascii="仿宋_GB2312" w:hAnsi="仿宋_GB2312" w:cs="仿宋_GB2312" w:eastAsia="仿宋_GB2312"/>
              </w:rPr>
              <w:t xml:space="preserve"> 2.外包单位出具的《建设工程设计方案技术审查意见书》（以下简称《意见书》）需满足国家、省、市相关法规政策和技术标准。</w:t>
            </w:r>
            <w:r>
              <w:br/>
            </w:r>
            <w:r>
              <w:rPr>
                <w:rFonts w:ascii="仿宋_GB2312" w:hAnsi="仿宋_GB2312" w:cs="仿宋_GB2312" w:eastAsia="仿宋_GB2312"/>
              </w:rPr>
              <w:t xml:space="preserve"> 3.外包单位完成项目设计方案相应图件制作，设计方案汇报图册标准化整理、修改及汇总，跟进技术评审会议并形成记录。</w:t>
            </w:r>
            <w:r>
              <w:br/>
            </w:r>
            <w:r>
              <w:rPr>
                <w:rFonts w:ascii="仿宋_GB2312" w:hAnsi="仿宋_GB2312" w:cs="仿宋_GB2312" w:eastAsia="仿宋_GB2312"/>
              </w:rPr>
              <w:t xml:space="preserve"> 4.外包单位须以保密方式处理双方直接或间接提供的任何资料，以及因本项目研究工作所直接或间接取得、处理或接触的任何其它资料及信息，不得向第三方透露任何有关项目的内容，或公开任何项目中间成果或最终成果。</w:t>
            </w:r>
            <w:r>
              <w:br/>
            </w:r>
            <w:r>
              <w:rPr>
                <w:rFonts w:ascii="仿宋_GB2312" w:hAnsi="仿宋_GB2312" w:cs="仿宋_GB2312" w:eastAsia="仿宋_GB2312"/>
              </w:rPr>
              <w:t xml:space="preserve"> 5.外包单位对其完成的技术审查事项（服务周期内及之后）全程跟踪服务工作，包括：规划解释、政策咨询、技术协调等服务等工作。</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标的名称：韦斗路以南片区（北至韦斗路 南到关中环线 西至镇街边界 东到镇街边界）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一、服务内容</w:t>
            </w:r>
          </w:p>
          <w:p>
            <w:pPr>
              <w:pStyle w:val="null3"/>
            </w:pPr>
            <w:r>
              <w:rPr>
                <w:rFonts w:ascii="仿宋_GB2312" w:hAnsi="仿宋_GB2312" w:cs="仿宋_GB2312" w:eastAsia="仿宋_GB2312"/>
              </w:rPr>
              <w:t>（一）政策标准研究</w:t>
            </w:r>
            <w:r>
              <w:br/>
            </w:r>
            <w:r>
              <w:rPr>
                <w:rFonts w:ascii="仿宋_GB2312" w:hAnsi="仿宋_GB2312" w:cs="仿宋_GB2312" w:eastAsia="仿宋_GB2312"/>
              </w:rPr>
              <w:t xml:space="preserve"> 收集并研究国内大城市先进案例和创新做法，研究提出高新区建设工程行政许可事项流程优化和规划审批管理标准的建议，形成文件汇编和汇报材料；结合实际工作需求，完善、更新高新区行政许可事项企业申报材料范本与制图标准、方案图册范本、《技术审查意见书》范本、典型案例汇编等。</w:t>
            </w:r>
            <w:r>
              <w:br/>
            </w:r>
            <w:r>
              <w:rPr>
                <w:rFonts w:ascii="仿宋_GB2312" w:hAnsi="仿宋_GB2312" w:cs="仿宋_GB2312" w:eastAsia="仿宋_GB2312"/>
              </w:rPr>
              <w:t xml:space="preserve"> （二）建设工程规划相关事项的技术审查</w:t>
            </w:r>
            <w:r>
              <w:br/>
            </w:r>
            <w:r>
              <w:rPr>
                <w:rFonts w:ascii="仿宋_GB2312" w:hAnsi="仿宋_GB2312" w:cs="仿宋_GB2312" w:eastAsia="仿宋_GB2312"/>
              </w:rPr>
              <w:t xml:space="preserve"> （1）建设工程规划许可（建筑工程、重大市政交通工程）。对建设工程设计方案（包含但不限于总平面图、建筑单体套图、竖向布置图、配建公共服务设施、配建市政与交通基础设施、绿地、城市风貌方案、交通影响评价报告、日照分析报告等）是否符合技术规范、规划条件及政策性文件要求进行核查并出具《技术审查意见书》。</w:t>
            </w:r>
            <w:r>
              <w:br/>
            </w:r>
            <w:r>
              <w:rPr>
                <w:rFonts w:ascii="仿宋_GB2312" w:hAnsi="仿宋_GB2312" w:cs="仿宋_GB2312" w:eastAsia="仿宋_GB2312"/>
              </w:rPr>
              <w:t xml:space="preserve"> （2）用地预审与选址意见书。出具建设项目用地预审与选址论证报告的《技术审查意见书》；涉及重大项目用地预审及规划选址时，召开专家论证会。</w:t>
            </w:r>
            <w:r>
              <w:br/>
            </w:r>
            <w:r>
              <w:rPr>
                <w:rFonts w:ascii="仿宋_GB2312" w:hAnsi="仿宋_GB2312" w:cs="仿宋_GB2312" w:eastAsia="仿宋_GB2312"/>
              </w:rPr>
              <w:t xml:space="preserve"> （3）其他审批事项。低风险小型社会投资建设项目、建筑外立面改造、临时建筑、零星工程等项目设计方案出具《技术审查意见书》；规划条件核实时，核査建筑退线、停车位、建筑外立面等局部调整的合规性，并出具《技术审查意见书》。</w:t>
            </w:r>
            <w:r>
              <w:br/>
            </w:r>
            <w:r>
              <w:rPr>
                <w:rFonts w:ascii="仿宋_GB2312" w:hAnsi="仿宋_GB2312" w:cs="仿宋_GB2312" w:eastAsia="仿宋_GB2312"/>
              </w:rPr>
              <w:t xml:space="preserve"> （三）其他相关事项</w:t>
            </w:r>
            <w:r>
              <w:br/>
            </w:r>
            <w:r>
              <w:rPr>
                <w:rFonts w:ascii="仿宋_GB2312" w:hAnsi="仿宋_GB2312" w:cs="仿宋_GB2312" w:eastAsia="仿宋_GB2312"/>
              </w:rPr>
              <w:t xml:space="preserve"> 规划审批阶段各专项工作会议（包括交通影响评价报告评审会、专家及部门联审会等）；根据项目需要协助出具法律审查意见。</w:t>
            </w:r>
            <w:r>
              <w:br/>
            </w:r>
            <w:r>
              <w:rPr>
                <w:rFonts w:ascii="仿宋_GB2312" w:hAnsi="仿宋_GB2312" w:cs="仿宋_GB2312" w:eastAsia="仿宋_GB2312"/>
              </w:rPr>
              <w:t xml:space="preserve"> 二、服务要求</w:t>
            </w:r>
            <w:r>
              <w:br/>
            </w:r>
            <w:r>
              <w:rPr>
                <w:rFonts w:ascii="仿宋_GB2312" w:hAnsi="仿宋_GB2312" w:cs="仿宋_GB2312" w:eastAsia="仿宋_GB2312"/>
              </w:rPr>
              <w:t xml:space="preserve"> 1.外包单位常驻服务人员不少于3名（规划、建筑方向），职称职级应达到1名高级工程师，2名中级工程师标准。</w:t>
            </w:r>
            <w:r>
              <w:br/>
            </w:r>
            <w:r>
              <w:rPr>
                <w:rFonts w:ascii="仿宋_GB2312" w:hAnsi="仿宋_GB2312" w:cs="仿宋_GB2312" w:eastAsia="仿宋_GB2312"/>
              </w:rPr>
              <w:t xml:space="preserve"> 2.外包单位出具的《建设工程设计方案技术审查意见书》（以下简称《意见书》）需满足国家、省、市相关法规政策和技术标准。</w:t>
            </w:r>
            <w:r>
              <w:br/>
            </w:r>
            <w:r>
              <w:rPr>
                <w:rFonts w:ascii="仿宋_GB2312" w:hAnsi="仿宋_GB2312" w:cs="仿宋_GB2312" w:eastAsia="仿宋_GB2312"/>
              </w:rPr>
              <w:t xml:space="preserve"> 3.外包单位完成项目设计方案相应图件制作，设计方案汇报图册标准化整理、修改及汇总，跟进技术评审会议并形成记录。</w:t>
            </w:r>
            <w:r>
              <w:br/>
            </w:r>
            <w:r>
              <w:rPr>
                <w:rFonts w:ascii="仿宋_GB2312" w:hAnsi="仿宋_GB2312" w:cs="仿宋_GB2312" w:eastAsia="仿宋_GB2312"/>
              </w:rPr>
              <w:t xml:space="preserve"> 4.外包单位须以保密方式处理双方直接或间接提供的任何资料，以及因本项目研究工作所直接或间接取得、处理或接触的任何其它资料及信息，不得向第三方透露任何有关项目的内容，或公开任何项目中间成果或最终成果。</w:t>
            </w:r>
            <w:r>
              <w:br/>
            </w:r>
            <w:r>
              <w:rPr>
                <w:rFonts w:ascii="仿宋_GB2312" w:hAnsi="仿宋_GB2312" w:cs="仿宋_GB2312" w:eastAsia="仿宋_GB2312"/>
              </w:rPr>
              <w:t xml:space="preserve"> 5.外包单位对其完成的技术审查事项（服务周期内及之后）全程跟踪服务工作，包括：规划解释、政策咨询、技术协调等服务等工作。</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满足本项目需求。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满足本项目需求。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满足本项目需求。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合同签订后1年内。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合同签订后1年内。</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详见拟签订合同文本。</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服务期满6个月后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服务周期结束后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项目完成规定工作量且验收通过后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服务期满6个月后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服务周期结束后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项目完成规定工作量且验收通过后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1.按《中华人民共和国民法典》中的相关条款执行。2.未按合同要求提供服务或服务质量不能满足本次采购要求，甲方会同监督机构、采购代理机构有权终止合同和对乙方违约行为进行追究，同时按有关规定进行相应的处罚。 （二）合同争议解决的方式：本合同在履行过程中发生的争议，由甲、乙双方当事人协商解决，协商不成的按下列第2种方式解决：1.提交西安仲裁委员会仲裁；2.依法向有管辖权的人民法院起诉。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违约责任：1.按《中华人民共和国民法典》中的相关条款执行。2.未按合同要求提供服务或服务质量不能满足本次采购要求，甲方会同监督机构、采购代理机构有权终止合同和对乙方违约行为进行追究，同时按有关规定进行相应的处罚。 （二）合同争议解决的方式：本合同在履行过程中发生的争议，由甲、乙双方当事人协商解决，协商不成的按下列第2种方式解决：1.提交西安仲裁委员会仲裁；2.依法向有管辖权的人民法院起诉。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采购标的对应的中小企业划分标准所属行业为：其他未列明行业。划分标准：从业人员300人以下的为中小微型企业。其中，从业人员100人及以上的为中型企业;从业人员10人及以上的为小型企业;从业人员10人以下的为微型企业。2.需要落实的政府采购政策：1）《国务院办公厅关于建立政府强制采购节能产品制度的通知》（国办发〔2007〕51号）；2）《财政部司法部关于政府采购支持监狱企业发展有关问题的通知》（财库〔2014〕68号）；3）《三部门联合发布关于促进残疾人就业政府采购政策的通知》（财库〔2017〕141号）；4）《财政部发展改革委生态环境部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3.根据《西安高新区财政金融局关于开展政府采购供应商基本资格条件承诺制试点工作的通知（西高财函〔2024〕111号）》，简化对供应商资格条件等的形式审查，供应商只需以书面形式提供规定格式的《基本资格条件承诺函》(详见响应文件格式第六部分),即可替代以下材料：（1）财务状况报告(表)或其基本开户银行出具的资信证明材料；（2）依法缴纳税收的证明材料；（3）缴纳社会保障金的证明材料；（4）具有履行合同所必需的设备和专业技术能力的证明材料；（5）参加政府采购活动前三年内，在经营活动中没有重大违法记录的证明材料；（6）未被列入失信被执行人、重大税收违法案件当事人名单及政府采购严重违法失信行为记录名单的证明材料。简化后，供应商应对承诺内容的真实性、合法性、有效性负责。经调查核实为虚假承诺的，视同为“提供虚假材料谋取中标、成交”的违法行为，依照《中华人民共和国政府采购法》等法律法规追究相应责任。4.为保证项目的服务质量，投标单位至多中标1个采购包，评标时将从第1采购包开始依次评审，若投标单位在第1 采购包被评为第1 中标候选人，则其在后续采购包中不再被推荐为第一中标候选人，以此类推。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格式（采购包1）.docx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格式（采购包1）.docx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格式（采购包1）.docx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格式（采购包2）.docx 投标函 中小企业声明函 残疾人福利性单位声明函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开标一览表 格式（采购包2）.docx 中小企业声明函 残疾人福利性单位声明函 标的清单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格式（采购包2）.docx 投标函 中小企业声明函 残疾人福利性单位声明函 标的清单 监狱企业的证明文件</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法人或者其他组织提供营业执照等证明文件，自然人提供身份证件，投标人需在项目电子化交易系统中按要求上传相应证明文件并进行电子签章；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格式（采购包1）.docx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投标人在本项目投标文件递交截止时间前六个月内任意一个月的税收缴纳凭证及社会保险缴纳的凭证。依法免税或不需要缴纳社会保障资金的投标人，应提供相应文件证明其依法免税或不需要缴纳社会保障资金，投标人需在项目电子化交易系统中按要求上传相应证明文件或提供《基本资格条件承诺函》；</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格式（采购包1）.docx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投标人提供2024年度或2025年度经审计的财务审计报告（事业法人可提供部门决算报告）；或提供投标人基本开户银行出具的资信证明；或提供专业担保机构出具的投标担保函，投标人需在项目电子化交易系统中按要求上传相应证明文件或提供《基本资格条件承诺函》；</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格式（采购包1）.docx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其中：重大违法记录是指投标人因违法经营受到刑事处罚或者责令停产停业、吊销许可证或者执照、较大数额罚款等行政处罚：参加政府采购活动前3年内在经营活动中没有重大违法记录的书面声明，投标人需在项目电子化交易系统中按要求上传相应证明文件或提供《基本资格条件承诺函》并进行电子签章；</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格式（采购包1）.docx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具有履行合同所必需的设备和专业技术能力书面声明函，投标人需在项目电子化交易系统中按要求上传相应证明文件或提供《基本资格条件承诺函》并进行电子签章；</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格式（采购包1）.docx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信用状况</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 失信主体的投标人，不得为中国政府采购网（www.ccgp.gov.cn）政府采购严重违法失信行为记录名单中被财政部门禁止参加政府采购活动的投标人。以投标文件递交截止时间后网站查询结果为准；</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格式（采购包1）.docx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具有城乡规划（国土空间规划）编制单位乙级及以上资质证书或建筑行业（建筑工程）专业甲级资质或建筑行业工程设计甲级资质或工程设计综合甲级资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格式（采购包1）.docx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法人或者其他组织提供营业执照等证明文件，自然人提供身份证件，投标人需在项目电子化交易系统中按要求上传相应证明文件并进行电子签章；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开标一览表 格式（采购包2）.docx 投标函 中小企业声明函 残疾人福利性单位声明函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投标人在本项目投标文件递交截止时间前六个月内任意一个月的税收缴纳凭证及社会保险缴纳的凭证。依法免税或不需要缴纳社会保障资金的投标人，应提供相应文件证明其依法免税或不需要缴纳社会保障资金，投标人需在项目电子化交易系统中按要求上传相应证明文件或提供《基本资格条件承诺函》；</w:t>
            </w:r>
          </w:p>
        </w:tc>
        <w:tc>
          <w:tcPr>
            <w:tcW w:type="dxa" w:w="1661"/>
          </w:tcPr>
          <w:p>
            <w:pPr>
              <w:pStyle w:val="null3"/>
            </w:pPr>
            <w:r>
              <w:rPr>
                <w:rFonts w:ascii="仿宋_GB2312" w:hAnsi="仿宋_GB2312" w:cs="仿宋_GB2312" w:eastAsia="仿宋_GB2312"/>
              </w:rPr>
              <w:t>开标一览表 格式（采购包2）.docx 投标函 中小企业声明函 残疾人福利性单位声明函 标的清单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投标人提供2024年度或2025年度经审计的财务审计报告（事业法人可提供部门决算报告）；或提供投标人基本开户银行出具的资信证明；或提供专业担保机构出具的投标担保函，投标人需在项目电子化交易系统中按要求上传相应证明文件或提供《基本资格条件承诺函》；</w:t>
            </w:r>
          </w:p>
        </w:tc>
        <w:tc>
          <w:tcPr>
            <w:tcW w:type="dxa" w:w="1661"/>
          </w:tcPr>
          <w:p>
            <w:pPr>
              <w:pStyle w:val="null3"/>
            </w:pPr>
            <w:r>
              <w:rPr>
                <w:rFonts w:ascii="仿宋_GB2312" w:hAnsi="仿宋_GB2312" w:cs="仿宋_GB2312" w:eastAsia="仿宋_GB2312"/>
              </w:rPr>
              <w:t>开标一览表 格式（采购包2）.docx 投标函 中小企业声明函 残疾人福利性单位声明函 标的清单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其中：重大违法记录是指投标人因违法经营受到刑事处罚或者责令停产停业、吊销许可证或者执照、较大数额罚款等行政处罚：参加政府采购活动前3年内在经营活动中没有重大违法记录的书面声明，投标人需在项目电子化交易系统中按要求上传相应证明文件或提供《基本资格条件承诺函》并进行电子签章；</w:t>
            </w:r>
          </w:p>
        </w:tc>
        <w:tc>
          <w:tcPr>
            <w:tcW w:type="dxa" w:w="1661"/>
          </w:tcPr>
          <w:p>
            <w:pPr>
              <w:pStyle w:val="null3"/>
            </w:pPr>
            <w:r>
              <w:rPr>
                <w:rFonts w:ascii="仿宋_GB2312" w:hAnsi="仿宋_GB2312" w:cs="仿宋_GB2312" w:eastAsia="仿宋_GB2312"/>
              </w:rPr>
              <w:t>开标一览表 格式（采购包2）.docx 投标函 中小企业声明函 残疾人福利性单位声明函 标的清单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具有履行合同所必需的设备和专业技术能力书面声明函，投标人需在项目电子化交易系统中按要求上传相应证明文件或提供《基本资格条件承诺函》并进行电子签章；</w:t>
            </w:r>
          </w:p>
        </w:tc>
        <w:tc>
          <w:tcPr>
            <w:tcW w:type="dxa" w:w="1661"/>
          </w:tcPr>
          <w:p>
            <w:pPr>
              <w:pStyle w:val="null3"/>
            </w:pPr>
            <w:r>
              <w:rPr>
                <w:rFonts w:ascii="仿宋_GB2312" w:hAnsi="仿宋_GB2312" w:cs="仿宋_GB2312" w:eastAsia="仿宋_GB2312"/>
              </w:rPr>
              <w:t>开标一览表 格式（采购包2）.docx 投标函 中小企业声明函 残疾人福利性单位声明函 标的清单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信用状况</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 失信主体的投标人，不得为中国政府采购网（www.ccgp.gov.cn）政府采购严重违法失信行为记录名单中被财政部门禁止参加政府采购活动的投标人。以投标文件递交截止时间后网站查询结果为准；</w:t>
            </w:r>
          </w:p>
        </w:tc>
        <w:tc>
          <w:tcPr>
            <w:tcW w:type="dxa" w:w="1661"/>
          </w:tcPr>
          <w:p>
            <w:pPr>
              <w:pStyle w:val="null3"/>
            </w:pPr>
            <w:r>
              <w:rPr>
                <w:rFonts w:ascii="仿宋_GB2312" w:hAnsi="仿宋_GB2312" w:cs="仿宋_GB2312" w:eastAsia="仿宋_GB2312"/>
              </w:rPr>
              <w:t>开标一览表 格式（采购包2）.docx 投标函 中小企业声明函 残疾人福利性单位声明函 标的清单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具有城乡规划（国土空间规划）编制单位乙级及以上资质证书或建筑行业（建筑工程）专业甲级资质或建筑行业工程设计甲级资质或工程设计综合甲级资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开标一览表 格式（采购包2）.docx 投标函 中小企业声明函 残疾人福利性单位声明函 标的清单 监狱企业的证明文件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3.依据《关于推动解决政府采购异常低价问题的通知》（财库〔2026〕2号）：（一）政府采购评审中出现下列情形之一的，评审委员会应当启动异常低价投标（响应）审查程序：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格式（采购包1）.docx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 中小企业声明函 残疾人福利性单位声明函 标的清单 格式（采购包1）.docx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投标文件签署、签章</w:t>
            </w:r>
          </w:p>
        </w:tc>
        <w:tc>
          <w:tcPr>
            <w:tcW w:type="dxa" w:w="3322"/>
          </w:tcPr>
          <w:p>
            <w:pPr>
              <w:pStyle w:val="null3"/>
            </w:pPr>
            <w:r>
              <w:rPr>
                <w:rFonts w:ascii="仿宋_GB2312" w:hAnsi="仿宋_GB2312" w:cs="仿宋_GB2312" w:eastAsia="仿宋_GB2312"/>
              </w:rPr>
              <w:t>投标文件签署、盖章均按招标文件要求签字、盖章</w:t>
            </w:r>
          </w:p>
        </w:tc>
        <w:tc>
          <w:tcPr>
            <w:tcW w:type="dxa" w:w="1661"/>
          </w:tcPr>
          <w:p>
            <w:pPr>
              <w:pStyle w:val="null3"/>
            </w:pPr>
            <w:r>
              <w:rPr>
                <w:rFonts w:ascii="仿宋_GB2312" w:hAnsi="仿宋_GB2312" w:cs="仿宋_GB2312" w:eastAsia="仿宋_GB2312"/>
              </w:rPr>
              <w:t>投标函 中小企业声明函 残疾人福利性单位声明函 标的清单 格式（采购包1）.docx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投标文件报价</w:t>
            </w:r>
          </w:p>
        </w:tc>
        <w:tc>
          <w:tcPr>
            <w:tcW w:type="dxa" w:w="3322"/>
          </w:tcPr>
          <w:p>
            <w:pPr>
              <w:pStyle w:val="null3"/>
            </w:pPr>
            <w:r>
              <w:rPr>
                <w:rFonts w:ascii="仿宋_GB2312" w:hAnsi="仿宋_GB2312" w:cs="仿宋_GB2312" w:eastAsia="仿宋_GB2312"/>
              </w:rPr>
              <w:t>报价唯一，且没有高于采购预算或招标文件规定的最高限价</w:t>
            </w:r>
          </w:p>
        </w:tc>
        <w:tc>
          <w:tcPr>
            <w:tcW w:type="dxa" w:w="1661"/>
          </w:tcPr>
          <w:p>
            <w:pPr>
              <w:pStyle w:val="null3"/>
            </w:pPr>
            <w:r>
              <w:rPr>
                <w:rFonts w:ascii="仿宋_GB2312" w:hAnsi="仿宋_GB2312" w:cs="仿宋_GB2312" w:eastAsia="仿宋_GB2312"/>
              </w:rPr>
              <w:t>投标函 中小企业声明函 残疾人福利性单位声明函 标的清单 格式（采购包1）.docx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格式（采购包1）.docx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格式（采购包1）.docx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格式（采购包1）.docx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3.依据《关于推动解决政府采购异常低价问题的通知》（财库〔2026〕2号）：（一）政府采购评审中出现下列情形之一的，评审委员会应当启动异常低价投标（响应）审查程序：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格式（采购包2）.docx 投标函 中小企业声明函 残疾人福利性单位声明函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格式（采购包2）.docx 投标函 中小企业声明函 残疾人福利性单位声明函 标的清单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投标文件签署、签章</w:t>
            </w:r>
          </w:p>
        </w:tc>
        <w:tc>
          <w:tcPr>
            <w:tcW w:type="dxa" w:w="3322"/>
          </w:tcPr>
          <w:p>
            <w:pPr>
              <w:pStyle w:val="null3"/>
            </w:pPr>
            <w:r>
              <w:rPr>
                <w:rFonts w:ascii="仿宋_GB2312" w:hAnsi="仿宋_GB2312" w:cs="仿宋_GB2312" w:eastAsia="仿宋_GB2312"/>
              </w:rPr>
              <w:t>投标文件签署、盖章均按招标文件要求签字、盖章</w:t>
            </w:r>
          </w:p>
        </w:tc>
        <w:tc>
          <w:tcPr>
            <w:tcW w:type="dxa" w:w="1661"/>
          </w:tcPr>
          <w:p>
            <w:pPr>
              <w:pStyle w:val="null3"/>
            </w:pPr>
            <w:r>
              <w:rPr>
                <w:rFonts w:ascii="仿宋_GB2312" w:hAnsi="仿宋_GB2312" w:cs="仿宋_GB2312" w:eastAsia="仿宋_GB2312"/>
              </w:rPr>
              <w:t>格式（采购包2）.docx 投标函 中小企业声明函 残疾人福利性单位声明函 标的清单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投标文件报价</w:t>
            </w:r>
          </w:p>
        </w:tc>
        <w:tc>
          <w:tcPr>
            <w:tcW w:type="dxa" w:w="3322"/>
          </w:tcPr>
          <w:p>
            <w:pPr>
              <w:pStyle w:val="null3"/>
            </w:pPr>
            <w:r>
              <w:rPr>
                <w:rFonts w:ascii="仿宋_GB2312" w:hAnsi="仿宋_GB2312" w:cs="仿宋_GB2312" w:eastAsia="仿宋_GB2312"/>
              </w:rPr>
              <w:t>报价唯一，且没有高于采购预算或招标文件规定的最高限价</w:t>
            </w:r>
          </w:p>
        </w:tc>
        <w:tc>
          <w:tcPr>
            <w:tcW w:type="dxa" w:w="1661"/>
          </w:tcPr>
          <w:p>
            <w:pPr>
              <w:pStyle w:val="null3"/>
            </w:pPr>
            <w:r>
              <w:rPr>
                <w:rFonts w:ascii="仿宋_GB2312" w:hAnsi="仿宋_GB2312" w:cs="仿宋_GB2312" w:eastAsia="仿宋_GB2312"/>
              </w:rPr>
              <w:t>格式（采购包2）.docx 投标函 中小企业声明函 残疾人福利性单位声明函 标的清单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格式（采购包2）.docx 投标函 中小企业声明函 残疾人福利性单位声明函 标的清单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格式（采购包2）.docx 投标函 中小企业声明函 残疾人福利性单位声明函 标的清单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格式（采购包2）.docx 投标函 中小企业声明函 残疾人福利性单位声明函 标的清单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技术部分-项目理解</w:t>
            </w:r>
          </w:p>
        </w:tc>
        <w:tc>
          <w:tcPr>
            <w:tcW w:type="dxa" w:w="2492"/>
          </w:tcPr>
          <w:p>
            <w:pPr>
              <w:pStyle w:val="null3"/>
            </w:pPr>
            <w:r>
              <w:rPr>
                <w:rFonts w:ascii="仿宋_GB2312" w:hAnsi="仿宋_GB2312" w:cs="仿宋_GB2312" w:eastAsia="仿宋_GB2312"/>
              </w:rPr>
              <w:t>对项目理解充分，并进行详细解读的得[5]分；能够提出对项目的理解，但未进行详细解读的得[3]分；对项目理解不足且阐述缺失较多得[1]分，未提供不得分。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格式（采购包1）.docx</w:t>
            </w:r>
          </w:p>
        </w:tc>
      </w:tr>
      <w:tr>
        <w:tc>
          <w:tcPr>
            <w:tcW w:type="dxa" w:w="831"/>
            <w:vMerge/>
          </w:tcPr>
          <w:p/>
        </w:tc>
        <w:tc>
          <w:tcPr>
            <w:tcW w:type="dxa" w:w="1661"/>
          </w:tcPr>
          <w:p>
            <w:pPr>
              <w:pStyle w:val="null3"/>
            </w:pPr>
            <w:r>
              <w:rPr>
                <w:rFonts w:ascii="仿宋_GB2312" w:hAnsi="仿宋_GB2312" w:cs="仿宋_GB2312" w:eastAsia="仿宋_GB2312"/>
              </w:rPr>
              <w:t>技术部分-项目方案</w:t>
            </w:r>
          </w:p>
        </w:tc>
        <w:tc>
          <w:tcPr>
            <w:tcW w:type="dxa" w:w="2492"/>
          </w:tcPr>
          <w:p>
            <w:pPr>
              <w:pStyle w:val="null3"/>
            </w:pPr>
            <w:r>
              <w:rPr>
                <w:rFonts w:ascii="仿宋_GB2312" w:hAnsi="仿宋_GB2312" w:cs="仿宋_GB2312" w:eastAsia="仿宋_GB2312"/>
              </w:rPr>
              <w:t>根据项目情况制定的总体工作方案进行评分，全部响应采购要求与技术要求，方案详细、科学合理得[10]分；部分响应采购要求与技术要求，比较齐全、合理可行得[7]分；合理性一般，可行性一般得[3]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格式（采购包1）.docx</w:t>
            </w:r>
          </w:p>
        </w:tc>
      </w:tr>
      <w:tr>
        <w:tc>
          <w:tcPr>
            <w:tcW w:type="dxa" w:w="831"/>
            <w:vMerge/>
          </w:tcPr>
          <w:p/>
        </w:tc>
        <w:tc>
          <w:tcPr>
            <w:tcW w:type="dxa" w:w="1661"/>
          </w:tcPr>
          <w:p>
            <w:pPr>
              <w:pStyle w:val="null3"/>
            </w:pPr>
            <w:r>
              <w:rPr>
                <w:rFonts w:ascii="仿宋_GB2312" w:hAnsi="仿宋_GB2312" w:cs="仿宋_GB2312" w:eastAsia="仿宋_GB2312"/>
              </w:rPr>
              <w:t>技术部分-保障措施</w:t>
            </w:r>
          </w:p>
        </w:tc>
        <w:tc>
          <w:tcPr>
            <w:tcW w:type="dxa" w:w="2492"/>
          </w:tcPr>
          <w:p>
            <w:pPr>
              <w:pStyle w:val="null3"/>
            </w:pPr>
            <w:r>
              <w:rPr>
                <w:rFonts w:ascii="仿宋_GB2312" w:hAnsi="仿宋_GB2312" w:cs="仿宋_GB2312" w:eastAsia="仿宋_GB2312"/>
              </w:rPr>
              <w:t>根据各投标人提供的各项保障、保证措施，包括本次服务管理人员与采购人工作配合的保障措施、软件配套（平台支持）的保障措施等进行评分，详细、科学合理得[10]分；比较齐全、合理可行得[7]分；合理性一般，可行性一般得[3]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格式（采购包1）.docx</w:t>
            </w:r>
          </w:p>
        </w:tc>
      </w:tr>
      <w:tr>
        <w:tc>
          <w:tcPr>
            <w:tcW w:type="dxa" w:w="831"/>
            <w:vMerge/>
          </w:tcPr>
          <w:p/>
        </w:tc>
        <w:tc>
          <w:tcPr>
            <w:tcW w:type="dxa" w:w="1661"/>
          </w:tcPr>
          <w:p>
            <w:pPr>
              <w:pStyle w:val="null3"/>
            </w:pPr>
            <w:r>
              <w:rPr>
                <w:rFonts w:ascii="仿宋_GB2312" w:hAnsi="仿宋_GB2312" w:cs="仿宋_GB2312" w:eastAsia="仿宋_GB2312"/>
              </w:rPr>
              <w:t>技术部分-质量控制体系</w:t>
            </w:r>
          </w:p>
        </w:tc>
        <w:tc>
          <w:tcPr>
            <w:tcW w:type="dxa" w:w="2492"/>
          </w:tcPr>
          <w:p>
            <w:pPr>
              <w:pStyle w:val="null3"/>
            </w:pPr>
            <w:r>
              <w:rPr>
                <w:rFonts w:ascii="仿宋_GB2312" w:hAnsi="仿宋_GB2312" w:cs="仿宋_GB2312" w:eastAsia="仿宋_GB2312"/>
              </w:rPr>
              <w:t>有全面的质量控制体系，清晰的质量控制方法，明确质量责任人，质量控制方案内容的针对性强，能全面满足采购人项目需求并有效避免技术审查成果出现失误错误的得[10]分；有较全面的质量控制体系和质量控制方法，质量控制方案内容有一定针对性的得[7]分；有质量控制体系和质量控制方法，能基本满足项目需求的得[3]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格式（采购包1）.docx</w:t>
            </w:r>
          </w:p>
        </w:tc>
      </w:tr>
      <w:tr>
        <w:tc>
          <w:tcPr>
            <w:tcW w:type="dxa" w:w="831"/>
            <w:vMerge/>
          </w:tcPr>
          <w:p/>
        </w:tc>
        <w:tc>
          <w:tcPr>
            <w:tcW w:type="dxa" w:w="1661"/>
          </w:tcPr>
          <w:p>
            <w:pPr>
              <w:pStyle w:val="null3"/>
            </w:pPr>
            <w:r>
              <w:rPr>
                <w:rFonts w:ascii="仿宋_GB2312" w:hAnsi="仿宋_GB2312" w:cs="仿宋_GB2312" w:eastAsia="仿宋_GB2312"/>
              </w:rPr>
              <w:t>技术部分-重、难点分析及解决</w:t>
            </w:r>
          </w:p>
        </w:tc>
        <w:tc>
          <w:tcPr>
            <w:tcW w:type="dxa" w:w="2492"/>
          </w:tcPr>
          <w:p>
            <w:pPr>
              <w:pStyle w:val="null3"/>
            </w:pPr>
            <w:r>
              <w:rPr>
                <w:rFonts w:ascii="仿宋_GB2312" w:hAnsi="仿宋_GB2312" w:cs="仿宋_GB2312" w:eastAsia="仿宋_GB2312"/>
              </w:rPr>
              <w:t>根据本项目的实际情况，提出有针对性的关键点分析及解决方案，关键点分析准确，解决方案针对性强的得[5]分； 关键点分析基本准确、提出的解决方案有一定的针对性和可行性的得[3]分； 对重点、难点分析与项目实际情况存在偏离，部分解决方案的可行和合理的得[1]分；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格式（采购包1）.docx</w:t>
            </w:r>
          </w:p>
        </w:tc>
      </w:tr>
      <w:tr>
        <w:tc>
          <w:tcPr>
            <w:tcW w:type="dxa" w:w="831"/>
            <w:vMerge/>
          </w:tcPr>
          <w:p/>
        </w:tc>
        <w:tc>
          <w:tcPr>
            <w:tcW w:type="dxa" w:w="1661"/>
          </w:tcPr>
          <w:p>
            <w:pPr>
              <w:pStyle w:val="null3"/>
            </w:pPr>
            <w:r>
              <w:rPr>
                <w:rFonts w:ascii="仿宋_GB2312" w:hAnsi="仿宋_GB2312" w:cs="仿宋_GB2312" w:eastAsia="仿宋_GB2312"/>
              </w:rPr>
              <w:t>技术部分-项目总负责人</w:t>
            </w:r>
          </w:p>
        </w:tc>
        <w:tc>
          <w:tcPr>
            <w:tcW w:type="dxa" w:w="2492"/>
          </w:tcPr>
          <w:p>
            <w:pPr>
              <w:pStyle w:val="null3"/>
            </w:pPr>
            <w:r>
              <w:rPr>
                <w:rFonts w:ascii="仿宋_GB2312" w:hAnsi="仿宋_GB2312" w:cs="仿宋_GB2312" w:eastAsia="仿宋_GB2312"/>
              </w:rPr>
              <w:t>拟定项目总负责人为建筑或规划专业人员得2分；具备高级职称，得3分，满分5分；（提供证明资料复印件加盖公章）。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格式（采购包1）.docx</w:t>
            </w:r>
          </w:p>
        </w:tc>
      </w:tr>
      <w:tr>
        <w:tc>
          <w:tcPr>
            <w:tcW w:type="dxa" w:w="831"/>
            <w:vMerge/>
          </w:tcPr>
          <w:p/>
        </w:tc>
        <w:tc>
          <w:tcPr>
            <w:tcW w:type="dxa" w:w="1661"/>
          </w:tcPr>
          <w:p>
            <w:pPr>
              <w:pStyle w:val="null3"/>
            </w:pPr>
            <w:r>
              <w:rPr>
                <w:rFonts w:ascii="仿宋_GB2312" w:hAnsi="仿宋_GB2312" w:cs="仿宋_GB2312" w:eastAsia="仿宋_GB2312"/>
              </w:rPr>
              <w:t>技术部分-驻场总负责人</w:t>
            </w:r>
          </w:p>
        </w:tc>
        <w:tc>
          <w:tcPr>
            <w:tcW w:type="dxa" w:w="2492"/>
          </w:tcPr>
          <w:p>
            <w:pPr>
              <w:pStyle w:val="null3"/>
            </w:pPr>
            <w:r>
              <w:rPr>
                <w:rFonts w:ascii="仿宋_GB2312" w:hAnsi="仿宋_GB2312" w:cs="仿宋_GB2312" w:eastAsia="仿宋_GB2312"/>
              </w:rPr>
              <w:t>驻场服务人员专人专职专岗，不得擅离职守或从事无关的其他项目工作： 驻场服务人员设有1名高级职称人员作为现场总负责，得3分。具备国家注册建筑师或城乡规划师得2分，满分5分。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格式（采购包1）.docx</w:t>
            </w:r>
          </w:p>
        </w:tc>
      </w:tr>
      <w:tr>
        <w:tc>
          <w:tcPr>
            <w:tcW w:type="dxa" w:w="831"/>
            <w:vMerge/>
          </w:tcPr>
          <w:p/>
        </w:tc>
        <w:tc>
          <w:tcPr>
            <w:tcW w:type="dxa" w:w="1661"/>
          </w:tcPr>
          <w:p>
            <w:pPr>
              <w:pStyle w:val="null3"/>
            </w:pPr>
            <w:r>
              <w:rPr>
                <w:rFonts w:ascii="仿宋_GB2312" w:hAnsi="仿宋_GB2312" w:cs="仿宋_GB2312" w:eastAsia="仿宋_GB2312"/>
              </w:rPr>
              <w:t>技术部分-其他驻场服务人员</w:t>
            </w:r>
          </w:p>
        </w:tc>
        <w:tc>
          <w:tcPr>
            <w:tcW w:type="dxa" w:w="2492"/>
          </w:tcPr>
          <w:p>
            <w:pPr>
              <w:pStyle w:val="null3"/>
            </w:pPr>
            <w:r>
              <w:rPr>
                <w:rFonts w:ascii="仿宋_GB2312" w:hAnsi="仿宋_GB2312" w:cs="仿宋_GB2312" w:eastAsia="仿宋_GB2312"/>
              </w:rPr>
              <w:t>在满足采购需求的基础上： 拟派其他常驻服务人员2人及以上，且设有2名建筑或规划专业高级职称人员，且驻场人员专业构成囊括建筑、规划专业得10分； 其他常驻服务人员2人及以上，且设有1名建筑或规划高级职称人员、1名规划或建筑中级职称人员，且驻场人员专业构成囊括建筑、规划专业得7分； 其他常驻服务人员2人及以上，且设有2名规划或建筑中级职称人员，且驻场人员专业构成囊括建筑、规划专业得5分； 未提供或提供不全者不得分。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格式（采购包1）.docx</w:t>
            </w:r>
          </w:p>
        </w:tc>
      </w:tr>
      <w:tr>
        <w:tc>
          <w:tcPr>
            <w:tcW w:type="dxa" w:w="831"/>
            <w:vMerge/>
          </w:tcPr>
          <w:p/>
        </w:tc>
        <w:tc>
          <w:tcPr>
            <w:tcW w:type="dxa" w:w="1661"/>
          </w:tcPr>
          <w:p>
            <w:pPr>
              <w:pStyle w:val="null3"/>
            </w:pPr>
            <w:r>
              <w:rPr>
                <w:rFonts w:ascii="仿宋_GB2312" w:hAnsi="仿宋_GB2312" w:cs="仿宋_GB2312" w:eastAsia="仿宋_GB2312"/>
              </w:rPr>
              <w:t>技术部分-项目整体配备</w:t>
            </w:r>
          </w:p>
        </w:tc>
        <w:tc>
          <w:tcPr>
            <w:tcW w:type="dxa" w:w="2492"/>
          </w:tcPr>
          <w:p>
            <w:pPr>
              <w:pStyle w:val="null3"/>
            </w:pPr>
            <w:r>
              <w:rPr>
                <w:rFonts w:ascii="仿宋_GB2312" w:hAnsi="仿宋_GB2312" w:cs="仿宋_GB2312" w:eastAsia="仿宋_GB2312"/>
              </w:rPr>
              <w:t>根据项目组整体人员配备数量、相关学历及经验等情况、专业安排是否合理，分工是否明确赋分；配备力量强，人员为城市规划或建筑或市政专业本科出身，有过详规编制、建筑方案设计或审查的经历和经验，并有不少于3年的工作经验，且分工明确专业安排合理得[10]分；配备力量较强，人员为城市规划或建筑或市政专业本科出身，有过详规编制、建筑方案设计或审查的经历和经验，且分工较为合理得[7]分；配备力量满足基本要求，人员为城市规划或建筑或市政专业，详规编制、建筑方案设计或审查的经历和经验薄弱，且分工模糊得[3]分（提供证明资料复印件加盖公章），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格式（采购包1）.docx</w:t>
            </w:r>
          </w:p>
        </w:tc>
      </w:tr>
      <w:tr>
        <w:tc>
          <w:tcPr>
            <w:tcW w:type="dxa" w:w="831"/>
            <w:vMerge/>
          </w:tcPr>
          <w:p/>
        </w:tc>
        <w:tc>
          <w:tcPr>
            <w:tcW w:type="dxa" w:w="1661"/>
          </w:tcPr>
          <w:p>
            <w:pPr>
              <w:pStyle w:val="null3"/>
            </w:pPr>
            <w:r>
              <w:rPr>
                <w:rFonts w:ascii="仿宋_GB2312" w:hAnsi="仿宋_GB2312" w:cs="仿宋_GB2312" w:eastAsia="仿宋_GB2312"/>
              </w:rPr>
              <w:t>商务部分-业绩</w:t>
            </w:r>
          </w:p>
        </w:tc>
        <w:tc>
          <w:tcPr>
            <w:tcW w:type="dxa" w:w="2492"/>
          </w:tcPr>
          <w:p>
            <w:pPr>
              <w:pStyle w:val="null3"/>
            </w:pPr>
            <w:r>
              <w:rPr>
                <w:rFonts w:ascii="仿宋_GB2312" w:hAnsi="仿宋_GB2312" w:cs="仿宋_GB2312" w:eastAsia="仿宋_GB2312"/>
              </w:rPr>
              <w:t>根据各投标人提供的2023年1月1日至今类似项目业绩合同，时间以合同签订的日期为准，有一个得2分，满分10分。（合同复印件至少具备首页、内容页及签字盖章页）。</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格式（采购包1）.docx</w:t>
            </w:r>
          </w:p>
        </w:tc>
      </w:tr>
      <w:tr>
        <w:tc>
          <w:tcPr>
            <w:tcW w:type="dxa" w:w="831"/>
            <w:vMerge/>
          </w:tcPr>
          <w:p/>
        </w:tc>
        <w:tc>
          <w:tcPr>
            <w:tcW w:type="dxa" w:w="1661"/>
          </w:tcPr>
          <w:p>
            <w:pPr>
              <w:pStyle w:val="null3"/>
            </w:pPr>
            <w:r>
              <w:rPr>
                <w:rFonts w:ascii="仿宋_GB2312" w:hAnsi="仿宋_GB2312" w:cs="仿宋_GB2312" w:eastAsia="仿宋_GB2312"/>
              </w:rPr>
              <w:t>商务部分-服务承诺</w:t>
            </w:r>
          </w:p>
        </w:tc>
        <w:tc>
          <w:tcPr>
            <w:tcW w:type="dxa" w:w="2492"/>
          </w:tcPr>
          <w:p>
            <w:pPr>
              <w:pStyle w:val="null3"/>
            </w:pPr>
            <w:r>
              <w:rPr>
                <w:rFonts w:ascii="仿宋_GB2312" w:hAnsi="仿宋_GB2312" w:cs="仿宋_GB2312" w:eastAsia="仿宋_GB2312"/>
              </w:rPr>
              <w:t>服务承诺详实具体、人员配备真实有效、项目方案可操作性强的得[10]分；服务承诺比较详实具体、人员配备真实有效、项目方案可操作性比较强的得[7]分；服务承诺不详实具体、人员配备真实有效、项目方案可操作性一般的得[3]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格式（采购包1）.docx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 报价） ×价格评审值（注：满足招标文件要求且投标价格最低的投标报价为评标基准价。）最低报价不是中标的唯一依据。因落实政府采购政策进行价格调整的，以调整后的价格计算评标基准价和投标报价。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格式（采购包1）.docx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格式（采购包1）.docx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技术部分-项目理解</w:t>
            </w:r>
          </w:p>
        </w:tc>
        <w:tc>
          <w:tcPr>
            <w:tcW w:type="dxa" w:w="2492"/>
          </w:tcPr>
          <w:p>
            <w:pPr>
              <w:pStyle w:val="null3"/>
            </w:pPr>
            <w:r>
              <w:rPr>
                <w:rFonts w:ascii="仿宋_GB2312" w:hAnsi="仿宋_GB2312" w:cs="仿宋_GB2312" w:eastAsia="仿宋_GB2312"/>
              </w:rPr>
              <w:t>对项目理解充分，并进行详细解读的得[5]分；能够提出对项目的理解，但未进行详细解读的得[3]分；对项目理解不足且阐述缺失较多得[1]分，未提供不得分。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格式（采购包2）.docx</w:t>
            </w:r>
          </w:p>
        </w:tc>
      </w:tr>
      <w:tr>
        <w:tc>
          <w:tcPr>
            <w:tcW w:type="dxa" w:w="831"/>
            <w:vMerge/>
          </w:tcPr>
          <w:p/>
        </w:tc>
        <w:tc>
          <w:tcPr>
            <w:tcW w:type="dxa" w:w="1661"/>
          </w:tcPr>
          <w:p>
            <w:pPr>
              <w:pStyle w:val="null3"/>
            </w:pPr>
            <w:r>
              <w:rPr>
                <w:rFonts w:ascii="仿宋_GB2312" w:hAnsi="仿宋_GB2312" w:cs="仿宋_GB2312" w:eastAsia="仿宋_GB2312"/>
              </w:rPr>
              <w:t>技术部分-项目方案</w:t>
            </w:r>
          </w:p>
        </w:tc>
        <w:tc>
          <w:tcPr>
            <w:tcW w:type="dxa" w:w="2492"/>
          </w:tcPr>
          <w:p>
            <w:pPr>
              <w:pStyle w:val="null3"/>
            </w:pPr>
            <w:r>
              <w:rPr>
                <w:rFonts w:ascii="仿宋_GB2312" w:hAnsi="仿宋_GB2312" w:cs="仿宋_GB2312" w:eastAsia="仿宋_GB2312"/>
              </w:rPr>
              <w:t>根据项目情况制定的总体工作方案进行评分，全部响应采购要求与技术要求，方案详细、科学合理得[10]分；部分响应采购要求与技术要求，比较齐全、合理可行得[7]分；合理性一般，可行性一般得[3]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格式（采购包2）.docx</w:t>
            </w:r>
          </w:p>
        </w:tc>
      </w:tr>
      <w:tr>
        <w:tc>
          <w:tcPr>
            <w:tcW w:type="dxa" w:w="831"/>
            <w:vMerge/>
          </w:tcPr>
          <w:p/>
        </w:tc>
        <w:tc>
          <w:tcPr>
            <w:tcW w:type="dxa" w:w="1661"/>
          </w:tcPr>
          <w:p>
            <w:pPr>
              <w:pStyle w:val="null3"/>
            </w:pPr>
            <w:r>
              <w:rPr>
                <w:rFonts w:ascii="仿宋_GB2312" w:hAnsi="仿宋_GB2312" w:cs="仿宋_GB2312" w:eastAsia="仿宋_GB2312"/>
              </w:rPr>
              <w:t>技术部分-保障措施</w:t>
            </w:r>
          </w:p>
        </w:tc>
        <w:tc>
          <w:tcPr>
            <w:tcW w:type="dxa" w:w="2492"/>
          </w:tcPr>
          <w:p>
            <w:pPr>
              <w:pStyle w:val="null3"/>
            </w:pPr>
            <w:r>
              <w:rPr>
                <w:rFonts w:ascii="仿宋_GB2312" w:hAnsi="仿宋_GB2312" w:cs="仿宋_GB2312" w:eastAsia="仿宋_GB2312"/>
              </w:rPr>
              <w:t>根据各投标人提供的各项保障、保证措施，包括本次服务管理人员与采购人工作配合的保障措施、软件配套（平台支持）的保障措施等进行评分，详细、科学合理得[10]分；比较齐全、合理可行得[7]分；合理性一般，可行性一般得[3]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格式（采购包2）.docx</w:t>
            </w:r>
          </w:p>
        </w:tc>
      </w:tr>
      <w:tr>
        <w:tc>
          <w:tcPr>
            <w:tcW w:type="dxa" w:w="831"/>
            <w:vMerge/>
          </w:tcPr>
          <w:p/>
        </w:tc>
        <w:tc>
          <w:tcPr>
            <w:tcW w:type="dxa" w:w="1661"/>
          </w:tcPr>
          <w:p>
            <w:pPr>
              <w:pStyle w:val="null3"/>
            </w:pPr>
            <w:r>
              <w:rPr>
                <w:rFonts w:ascii="仿宋_GB2312" w:hAnsi="仿宋_GB2312" w:cs="仿宋_GB2312" w:eastAsia="仿宋_GB2312"/>
              </w:rPr>
              <w:t>技术部分-质量控制体系</w:t>
            </w:r>
          </w:p>
        </w:tc>
        <w:tc>
          <w:tcPr>
            <w:tcW w:type="dxa" w:w="2492"/>
          </w:tcPr>
          <w:p>
            <w:pPr>
              <w:pStyle w:val="null3"/>
            </w:pPr>
            <w:r>
              <w:rPr>
                <w:rFonts w:ascii="仿宋_GB2312" w:hAnsi="仿宋_GB2312" w:cs="仿宋_GB2312" w:eastAsia="仿宋_GB2312"/>
              </w:rPr>
              <w:t>有全面的质量控制体系，清晰的质量控制方法，明确质量责任人，质量控制方案内容的针对性强，能全面满足采购人项目需求并有效避免技术审查成果出现失误错误的得[10]分；有较全面的质量控制体系和质量控制方法，质量控制方案内容有一定针对性的得[7]分；有质量控制体系和质量控制方法，能基本满足项目需求的得[3]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格式（采购包2）.docx</w:t>
            </w:r>
          </w:p>
        </w:tc>
      </w:tr>
      <w:tr>
        <w:tc>
          <w:tcPr>
            <w:tcW w:type="dxa" w:w="831"/>
            <w:vMerge/>
          </w:tcPr>
          <w:p/>
        </w:tc>
        <w:tc>
          <w:tcPr>
            <w:tcW w:type="dxa" w:w="1661"/>
          </w:tcPr>
          <w:p>
            <w:pPr>
              <w:pStyle w:val="null3"/>
            </w:pPr>
            <w:r>
              <w:rPr>
                <w:rFonts w:ascii="仿宋_GB2312" w:hAnsi="仿宋_GB2312" w:cs="仿宋_GB2312" w:eastAsia="仿宋_GB2312"/>
              </w:rPr>
              <w:t>技术部分-重、难点分析及解决</w:t>
            </w:r>
          </w:p>
        </w:tc>
        <w:tc>
          <w:tcPr>
            <w:tcW w:type="dxa" w:w="2492"/>
          </w:tcPr>
          <w:p>
            <w:pPr>
              <w:pStyle w:val="null3"/>
            </w:pPr>
            <w:r>
              <w:rPr>
                <w:rFonts w:ascii="仿宋_GB2312" w:hAnsi="仿宋_GB2312" w:cs="仿宋_GB2312" w:eastAsia="仿宋_GB2312"/>
              </w:rPr>
              <w:t>根据本项目的实际情况，提出有针对性的关键点分析及解决方案，关键点分析准确，解决方案针对性强的得[5]分； 关键点分析基本准确、提出的解决方案有一定的针对性和可行性的得[3]分； 对重点、难点分析与项目实际情况存在偏离，部分解决方案的可行和合理的得[1]分；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格式（采购包2）.docx</w:t>
            </w:r>
          </w:p>
        </w:tc>
      </w:tr>
      <w:tr>
        <w:tc>
          <w:tcPr>
            <w:tcW w:type="dxa" w:w="831"/>
            <w:vMerge/>
          </w:tcPr>
          <w:p/>
        </w:tc>
        <w:tc>
          <w:tcPr>
            <w:tcW w:type="dxa" w:w="1661"/>
          </w:tcPr>
          <w:p>
            <w:pPr>
              <w:pStyle w:val="null3"/>
            </w:pPr>
            <w:r>
              <w:rPr>
                <w:rFonts w:ascii="仿宋_GB2312" w:hAnsi="仿宋_GB2312" w:cs="仿宋_GB2312" w:eastAsia="仿宋_GB2312"/>
              </w:rPr>
              <w:t>技术部分-项目总负责人</w:t>
            </w:r>
          </w:p>
        </w:tc>
        <w:tc>
          <w:tcPr>
            <w:tcW w:type="dxa" w:w="2492"/>
          </w:tcPr>
          <w:p>
            <w:pPr>
              <w:pStyle w:val="null3"/>
            </w:pPr>
            <w:r>
              <w:rPr>
                <w:rFonts w:ascii="仿宋_GB2312" w:hAnsi="仿宋_GB2312" w:cs="仿宋_GB2312" w:eastAsia="仿宋_GB2312"/>
              </w:rPr>
              <w:t>拟定项目总负责人为建筑或规划专业人员得2分；具备高级职称，得3分，满分5分；（提供证明资料复印件加盖公章）。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格式（采购包2）.docx</w:t>
            </w:r>
          </w:p>
        </w:tc>
      </w:tr>
      <w:tr>
        <w:tc>
          <w:tcPr>
            <w:tcW w:type="dxa" w:w="831"/>
            <w:vMerge/>
          </w:tcPr>
          <w:p/>
        </w:tc>
        <w:tc>
          <w:tcPr>
            <w:tcW w:type="dxa" w:w="1661"/>
          </w:tcPr>
          <w:p>
            <w:pPr>
              <w:pStyle w:val="null3"/>
            </w:pPr>
            <w:r>
              <w:rPr>
                <w:rFonts w:ascii="仿宋_GB2312" w:hAnsi="仿宋_GB2312" w:cs="仿宋_GB2312" w:eastAsia="仿宋_GB2312"/>
              </w:rPr>
              <w:t>技术部分-驻场总负责人</w:t>
            </w:r>
          </w:p>
        </w:tc>
        <w:tc>
          <w:tcPr>
            <w:tcW w:type="dxa" w:w="2492"/>
          </w:tcPr>
          <w:p>
            <w:pPr>
              <w:pStyle w:val="null3"/>
            </w:pPr>
            <w:r>
              <w:rPr>
                <w:rFonts w:ascii="仿宋_GB2312" w:hAnsi="仿宋_GB2312" w:cs="仿宋_GB2312" w:eastAsia="仿宋_GB2312"/>
              </w:rPr>
              <w:t>驻场服务人员专人专职专岗，不得擅离职守或从事无关的其他项目工作： 驻场服务人员设有1名高级职称人员作为现场总负责，得3分。具备国家注册建筑师或城乡规划师得2分，满分5分。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格式（采购包2）.docx</w:t>
            </w:r>
          </w:p>
        </w:tc>
      </w:tr>
      <w:tr>
        <w:tc>
          <w:tcPr>
            <w:tcW w:type="dxa" w:w="831"/>
            <w:vMerge/>
          </w:tcPr>
          <w:p/>
        </w:tc>
        <w:tc>
          <w:tcPr>
            <w:tcW w:type="dxa" w:w="1661"/>
          </w:tcPr>
          <w:p>
            <w:pPr>
              <w:pStyle w:val="null3"/>
            </w:pPr>
            <w:r>
              <w:rPr>
                <w:rFonts w:ascii="仿宋_GB2312" w:hAnsi="仿宋_GB2312" w:cs="仿宋_GB2312" w:eastAsia="仿宋_GB2312"/>
              </w:rPr>
              <w:t>技术部分-其他驻场服务人员</w:t>
            </w:r>
          </w:p>
        </w:tc>
        <w:tc>
          <w:tcPr>
            <w:tcW w:type="dxa" w:w="2492"/>
          </w:tcPr>
          <w:p>
            <w:pPr>
              <w:pStyle w:val="null3"/>
            </w:pPr>
            <w:r>
              <w:rPr>
                <w:rFonts w:ascii="仿宋_GB2312" w:hAnsi="仿宋_GB2312" w:cs="仿宋_GB2312" w:eastAsia="仿宋_GB2312"/>
              </w:rPr>
              <w:t>在满足采购需求的基础上： 拟派其他常驻服务人员2人及以上，且设有2名建筑或规划专业高级职称人员，且驻场人员专业构成囊括建筑、规划专业得10分； 其他常驻服务人员2人及以上，且设有1名建筑或规划高级职称人员、1名规划或建筑中级职称人员，且驻场人员专业构成囊括建筑、规划专业得7分； 其他常驻服务人员2人及以上，且设有2名规划或建筑中级职称人员，且驻场人员专业构成囊括建筑、规划专业得5分； 未提供或提供不全者不得分。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格式（采购包2）.docx</w:t>
            </w:r>
          </w:p>
        </w:tc>
      </w:tr>
      <w:tr>
        <w:tc>
          <w:tcPr>
            <w:tcW w:type="dxa" w:w="831"/>
            <w:vMerge/>
          </w:tcPr>
          <w:p/>
        </w:tc>
        <w:tc>
          <w:tcPr>
            <w:tcW w:type="dxa" w:w="1661"/>
          </w:tcPr>
          <w:p>
            <w:pPr>
              <w:pStyle w:val="null3"/>
            </w:pPr>
            <w:r>
              <w:rPr>
                <w:rFonts w:ascii="仿宋_GB2312" w:hAnsi="仿宋_GB2312" w:cs="仿宋_GB2312" w:eastAsia="仿宋_GB2312"/>
              </w:rPr>
              <w:t>技术部分-项目整体配备</w:t>
            </w:r>
          </w:p>
        </w:tc>
        <w:tc>
          <w:tcPr>
            <w:tcW w:type="dxa" w:w="2492"/>
          </w:tcPr>
          <w:p>
            <w:pPr>
              <w:pStyle w:val="null3"/>
            </w:pPr>
            <w:r>
              <w:rPr>
                <w:rFonts w:ascii="仿宋_GB2312" w:hAnsi="仿宋_GB2312" w:cs="仿宋_GB2312" w:eastAsia="仿宋_GB2312"/>
              </w:rPr>
              <w:t>根据项目组整体人员配备数量、相关学历及经验等情况、专业安排是否合理，分工是否明确赋分；配备力量强，人员为城市规划或建筑或市政专业本科出身，有过详规编制、建筑方案设计或审查的经历和经验，并有不少于3年的工作经验，且分工明确专业安排合理得[10]分；配备力量较强，人员为城市规划或建筑或市政专业本科出身，有过详规编制、建筑方案设计或审查的经历和经验，且分工较为合理得[7]分；配备力量满足基本要求，人员为城市规划或建筑或市政专业，详规编制、建筑方案设计或审查的经历和经验薄弱，且分工模糊得[3]分（提供证明资料复印件加盖公章），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格式（采购包2）.docx</w:t>
            </w:r>
          </w:p>
        </w:tc>
      </w:tr>
      <w:tr>
        <w:tc>
          <w:tcPr>
            <w:tcW w:type="dxa" w:w="831"/>
            <w:vMerge/>
          </w:tcPr>
          <w:p/>
        </w:tc>
        <w:tc>
          <w:tcPr>
            <w:tcW w:type="dxa" w:w="1661"/>
          </w:tcPr>
          <w:p>
            <w:pPr>
              <w:pStyle w:val="null3"/>
            </w:pPr>
            <w:r>
              <w:rPr>
                <w:rFonts w:ascii="仿宋_GB2312" w:hAnsi="仿宋_GB2312" w:cs="仿宋_GB2312" w:eastAsia="仿宋_GB2312"/>
              </w:rPr>
              <w:t>商务部分-业绩</w:t>
            </w:r>
          </w:p>
        </w:tc>
        <w:tc>
          <w:tcPr>
            <w:tcW w:type="dxa" w:w="2492"/>
          </w:tcPr>
          <w:p>
            <w:pPr>
              <w:pStyle w:val="null3"/>
            </w:pPr>
            <w:r>
              <w:rPr>
                <w:rFonts w:ascii="仿宋_GB2312" w:hAnsi="仿宋_GB2312" w:cs="仿宋_GB2312" w:eastAsia="仿宋_GB2312"/>
              </w:rPr>
              <w:t>根据各投标人提供的2023年1月1日至今类似项目业绩合同，时间以合同签订的日期为准，有一个得2分，满分10分。（合同复印件至少具备首页、内容页及签字盖章页）。</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格式（采购包2）.docx</w:t>
            </w:r>
          </w:p>
        </w:tc>
      </w:tr>
      <w:tr>
        <w:tc>
          <w:tcPr>
            <w:tcW w:type="dxa" w:w="831"/>
            <w:vMerge/>
          </w:tcPr>
          <w:p/>
        </w:tc>
        <w:tc>
          <w:tcPr>
            <w:tcW w:type="dxa" w:w="1661"/>
          </w:tcPr>
          <w:p>
            <w:pPr>
              <w:pStyle w:val="null3"/>
            </w:pPr>
            <w:r>
              <w:rPr>
                <w:rFonts w:ascii="仿宋_GB2312" w:hAnsi="仿宋_GB2312" w:cs="仿宋_GB2312" w:eastAsia="仿宋_GB2312"/>
              </w:rPr>
              <w:t>商务部分-服务承诺</w:t>
            </w:r>
          </w:p>
        </w:tc>
        <w:tc>
          <w:tcPr>
            <w:tcW w:type="dxa" w:w="2492"/>
          </w:tcPr>
          <w:p>
            <w:pPr>
              <w:pStyle w:val="null3"/>
            </w:pPr>
            <w:r>
              <w:rPr>
                <w:rFonts w:ascii="仿宋_GB2312" w:hAnsi="仿宋_GB2312" w:cs="仿宋_GB2312" w:eastAsia="仿宋_GB2312"/>
              </w:rPr>
              <w:t>服务承诺详实具体、人员配备真实有效、项目方案可操作性强的得[10]分；服务承诺比较详实具体、人员配备真实有效、项目方案可操作性比较强的得[7]分；服务承诺不详实具体、人员配备真实有效、项目方案可操作性一般的得[3]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格式（采购包2）.docx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 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格式（采购包2）.docx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格式（采购包2）.docx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详见附件：格式（采购包1）.docx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详见附件：格式（采购包2）.docx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详见附件：拟签订合同模板.docx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