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7FCAA6">
      <w:pPr>
        <w:spacing w:line="360" w:lineRule="auto"/>
        <w:rPr>
          <w:rFonts w:hint="eastAsia" w:ascii="仿宋_GB2312" w:hAnsi="仿宋_GB2312" w:eastAsia="仿宋_GB2312" w:cs="仿宋_GB2312"/>
          <w:sz w:val="30"/>
          <w:szCs w:val="30"/>
          <w:highlight w:val="none"/>
          <w:lang w:bidi="ar-SA"/>
        </w:rPr>
      </w:pPr>
      <w:r>
        <w:rPr>
          <w:rFonts w:hint="eastAsia" w:ascii="仿宋_GB2312" w:hAnsi="仿宋_GB2312" w:eastAsia="仿宋_GB2312" w:cs="仿宋_GB2312"/>
          <w:sz w:val="30"/>
          <w:szCs w:val="30"/>
          <w:highlight w:val="none"/>
          <w:lang w:bidi="ar-SA"/>
        </w:rPr>
        <w:t>合同登记编号：</w:t>
      </w:r>
    </w:p>
    <w:p w14:paraId="30AF2F3C">
      <w:pPr>
        <w:spacing w:line="360" w:lineRule="auto"/>
        <w:rPr>
          <w:rFonts w:hint="eastAsia" w:ascii="仿宋_GB2312" w:hAnsi="仿宋_GB2312" w:eastAsia="仿宋_GB2312" w:cs="仿宋_GB2312"/>
          <w:highlight w:val="none"/>
          <w:lang w:bidi="ar-SA"/>
        </w:rPr>
      </w:pPr>
      <w:r>
        <w:rPr>
          <w:rFonts w:hint="eastAsia" w:ascii="仿宋_GB2312" w:hAnsi="仿宋_GB2312" w:eastAsia="仿宋_GB2312" w:cs="仿宋_GB2312"/>
          <w:sz w:val="30"/>
          <w:szCs w:val="30"/>
          <w:highlight w:val="none"/>
          <w:lang w:bidi="ar-SA"/>
        </w:rPr>
        <w:tab/>
      </w:r>
      <w:r>
        <w:rPr>
          <w:rFonts w:hint="eastAsia" w:ascii="仿宋_GB2312" w:hAnsi="仿宋_GB2312" w:eastAsia="仿宋_GB2312" w:cs="仿宋_GB2312"/>
          <w:sz w:val="30"/>
          <w:szCs w:val="30"/>
          <w:highlight w:val="none"/>
          <w:lang w:bidi="ar-SA"/>
        </w:rPr>
        <w:tab/>
      </w:r>
      <w:r>
        <w:rPr>
          <w:rFonts w:hint="eastAsia" w:ascii="仿宋_GB2312" w:hAnsi="仿宋_GB2312" w:eastAsia="仿宋_GB2312" w:cs="仿宋_GB2312"/>
          <w:sz w:val="30"/>
          <w:szCs w:val="30"/>
          <w:highlight w:val="none"/>
          <w:lang w:bidi="ar-SA"/>
        </w:rPr>
        <w:tab/>
      </w:r>
      <w:r>
        <w:rPr>
          <w:rFonts w:hint="eastAsia" w:ascii="仿宋_GB2312" w:hAnsi="仿宋_GB2312" w:eastAsia="仿宋_GB2312" w:cs="仿宋_GB2312"/>
          <w:sz w:val="30"/>
          <w:szCs w:val="30"/>
          <w:highlight w:val="none"/>
          <w:lang w:bidi="ar-SA"/>
        </w:rPr>
        <w:tab/>
      </w:r>
      <w:r>
        <w:rPr>
          <w:rFonts w:hint="eastAsia" w:ascii="仿宋_GB2312" w:hAnsi="仿宋_GB2312" w:eastAsia="仿宋_GB2312" w:cs="仿宋_GB2312"/>
          <w:sz w:val="30"/>
          <w:szCs w:val="30"/>
          <w:highlight w:val="none"/>
          <w:lang w:bidi="ar-SA"/>
        </w:rPr>
        <w:tab/>
      </w:r>
      <w:r>
        <w:rPr>
          <w:rFonts w:hint="eastAsia" w:ascii="仿宋_GB2312" w:hAnsi="仿宋_GB2312" w:eastAsia="仿宋_GB2312" w:cs="仿宋_GB2312"/>
          <w:sz w:val="30"/>
          <w:szCs w:val="30"/>
          <w:highlight w:val="none"/>
          <w:lang w:bidi="ar-SA"/>
        </w:rPr>
        <w:tab/>
      </w:r>
      <w:r>
        <w:rPr>
          <w:rFonts w:hint="eastAsia" w:ascii="仿宋_GB2312" w:hAnsi="仿宋_GB2312" w:eastAsia="仿宋_GB2312" w:cs="仿宋_GB2312"/>
          <w:sz w:val="30"/>
          <w:szCs w:val="30"/>
          <w:highlight w:val="none"/>
          <w:lang w:bidi="ar-SA"/>
        </w:rPr>
        <w:tab/>
      </w:r>
      <w:r>
        <w:rPr>
          <w:rFonts w:hint="eastAsia" w:ascii="仿宋_GB2312" w:hAnsi="仿宋_GB2312" w:eastAsia="仿宋_GB2312" w:cs="仿宋_GB2312"/>
          <w:sz w:val="30"/>
          <w:szCs w:val="30"/>
          <w:highlight w:val="none"/>
          <w:lang w:bidi="ar-SA"/>
        </w:rPr>
        <w:tab/>
      </w:r>
      <w:r>
        <w:rPr>
          <w:rFonts w:hint="eastAsia" w:ascii="仿宋_GB2312" w:hAnsi="仿宋_GB2312" w:eastAsia="仿宋_GB2312" w:cs="仿宋_GB2312"/>
          <w:sz w:val="30"/>
          <w:szCs w:val="30"/>
          <w:highlight w:val="none"/>
          <w:lang w:bidi="ar-SA"/>
        </w:rPr>
        <w:tab/>
      </w:r>
      <w:r>
        <w:rPr>
          <w:rFonts w:hint="eastAsia" w:ascii="仿宋_GB2312" w:hAnsi="仿宋_GB2312" w:eastAsia="仿宋_GB2312" w:cs="仿宋_GB2312"/>
          <w:sz w:val="30"/>
          <w:szCs w:val="30"/>
          <w:highlight w:val="none"/>
          <w:lang w:bidi="ar-SA"/>
        </w:rPr>
        <w:tab/>
      </w:r>
      <w:r>
        <w:rPr>
          <w:rFonts w:hint="eastAsia" w:ascii="仿宋_GB2312" w:hAnsi="仿宋_GB2312" w:eastAsia="仿宋_GB2312" w:cs="仿宋_GB2312"/>
          <w:sz w:val="30"/>
          <w:szCs w:val="30"/>
          <w:highlight w:val="none"/>
          <w:lang w:bidi="ar-SA"/>
        </w:rPr>
        <w:tab/>
      </w:r>
      <w:r>
        <w:rPr>
          <w:rFonts w:hint="eastAsia" w:ascii="仿宋_GB2312" w:hAnsi="仿宋_GB2312" w:eastAsia="仿宋_GB2312" w:cs="仿宋_GB2312"/>
          <w:sz w:val="30"/>
          <w:szCs w:val="30"/>
          <w:highlight w:val="none"/>
          <w:lang w:bidi="ar-SA"/>
        </w:rPr>
        <w:tab/>
      </w:r>
      <w:r>
        <w:rPr>
          <w:rFonts w:hint="eastAsia" w:ascii="仿宋_GB2312" w:hAnsi="仿宋_GB2312" w:eastAsia="仿宋_GB2312" w:cs="仿宋_GB2312"/>
          <w:sz w:val="30"/>
          <w:szCs w:val="30"/>
          <w:highlight w:val="none"/>
          <w:lang w:bidi="ar-SA"/>
        </w:rPr>
        <w:tab/>
      </w:r>
    </w:p>
    <w:p w14:paraId="791A2F37">
      <w:pPr>
        <w:spacing w:line="360" w:lineRule="auto"/>
        <w:rPr>
          <w:rFonts w:hint="eastAsia" w:ascii="仿宋_GB2312" w:hAnsi="仿宋_GB2312" w:eastAsia="仿宋_GB2312" w:cs="仿宋_GB2312"/>
          <w:highlight w:val="none"/>
          <w:lang w:bidi="ar-SA"/>
        </w:rPr>
      </w:pPr>
    </w:p>
    <w:p w14:paraId="6DDF2316">
      <w:pPr>
        <w:spacing w:line="360" w:lineRule="auto"/>
        <w:rPr>
          <w:rFonts w:hint="eastAsia" w:ascii="仿宋_GB2312" w:hAnsi="仿宋_GB2312" w:eastAsia="仿宋_GB2312" w:cs="仿宋_GB2312"/>
          <w:highlight w:val="none"/>
          <w:lang w:bidi="ar-SA"/>
        </w:rPr>
      </w:pPr>
    </w:p>
    <w:p w14:paraId="09D0A3B1">
      <w:pPr>
        <w:spacing w:line="360" w:lineRule="auto"/>
        <w:jc w:val="center"/>
        <w:rPr>
          <w:rFonts w:hint="eastAsia" w:ascii="仿宋_GB2312" w:hAnsi="仿宋_GB2312" w:eastAsia="仿宋_GB2312" w:cs="仿宋_GB2312"/>
          <w:b/>
          <w:bCs/>
          <w:sz w:val="40"/>
          <w:szCs w:val="40"/>
          <w:highlight w:val="none"/>
          <w:lang w:bidi="ar-SA"/>
        </w:rPr>
      </w:pPr>
      <w:r>
        <w:rPr>
          <w:rFonts w:hint="eastAsia" w:ascii="仿宋_GB2312" w:hAnsi="仿宋_GB2312" w:eastAsia="仿宋_GB2312" w:cs="仿宋_GB2312"/>
          <w:b/>
          <w:bCs/>
          <w:sz w:val="40"/>
          <w:szCs w:val="40"/>
          <w:highlight w:val="none"/>
          <w:lang w:bidi="ar-SA"/>
        </w:rPr>
        <w:t>技术服务合同</w:t>
      </w:r>
    </w:p>
    <w:p w14:paraId="05DF9D85">
      <w:pPr>
        <w:spacing w:line="360" w:lineRule="auto"/>
        <w:rPr>
          <w:rFonts w:hint="eastAsia" w:ascii="仿宋_GB2312" w:hAnsi="仿宋_GB2312" w:eastAsia="仿宋_GB2312" w:cs="仿宋_GB2312"/>
          <w:sz w:val="30"/>
          <w:szCs w:val="30"/>
          <w:highlight w:val="none"/>
          <w:lang w:bidi="ar-SA"/>
        </w:rPr>
      </w:pPr>
    </w:p>
    <w:p w14:paraId="0C5C7229">
      <w:pPr>
        <w:spacing w:line="360" w:lineRule="auto"/>
        <w:rPr>
          <w:rFonts w:hint="eastAsia" w:ascii="仿宋_GB2312" w:hAnsi="仿宋_GB2312" w:eastAsia="仿宋_GB2312" w:cs="仿宋_GB2312"/>
          <w:sz w:val="30"/>
          <w:szCs w:val="30"/>
          <w:highlight w:val="none"/>
          <w:lang w:bidi="ar-SA"/>
        </w:rPr>
      </w:pPr>
    </w:p>
    <w:p w14:paraId="5D7D3098">
      <w:pPr>
        <w:spacing w:line="360" w:lineRule="auto"/>
        <w:rPr>
          <w:rFonts w:hint="eastAsia" w:ascii="仿宋_GB2312" w:hAnsi="仿宋_GB2312" w:eastAsia="仿宋_GB2312" w:cs="仿宋_GB2312"/>
          <w:sz w:val="30"/>
          <w:szCs w:val="30"/>
          <w:highlight w:val="none"/>
          <w:lang w:bidi="ar-SA"/>
        </w:rPr>
      </w:pPr>
    </w:p>
    <w:p w14:paraId="3F838B90">
      <w:pPr>
        <w:spacing w:line="360" w:lineRule="auto"/>
        <w:ind w:firstLine="560" w:firstLineChars="200"/>
        <w:rPr>
          <w:rFonts w:hint="eastAsia" w:ascii="仿宋_GB2312" w:hAnsi="仿宋_GB2312" w:eastAsia="仿宋_GB2312" w:cs="仿宋_GB2312"/>
          <w:sz w:val="28"/>
          <w:szCs w:val="28"/>
          <w:highlight w:val="none"/>
          <w:lang w:bidi="ar-SA"/>
        </w:rPr>
      </w:pPr>
      <w:r>
        <w:rPr>
          <w:rFonts w:hint="eastAsia" w:ascii="仿宋_GB2312" w:hAnsi="仿宋_GB2312" w:eastAsia="仿宋_GB2312" w:cs="仿宋_GB2312"/>
          <w:sz w:val="28"/>
          <w:szCs w:val="28"/>
          <w:highlight w:val="none"/>
          <w:lang w:bidi="ar-SA"/>
        </w:rPr>
        <w:t>项目名称：西安高新区建设工程规划审批技术服务外包</w:t>
      </w:r>
      <w:bookmarkStart w:id="0" w:name="_GoBack"/>
      <w:bookmarkEnd w:id="0"/>
    </w:p>
    <w:p w14:paraId="4369F485">
      <w:pPr>
        <w:spacing w:line="360" w:lineRule="auto"/>
        <w:ind w:firstLine="560" w:firstLineChars="200"/>
        <w:jc w:val="center"/>
        <w:rPr>
          <w:rFonts w:hint="eastAsia" w:ascii="仿宋_GB2312" w:hAnsi="仿宋_GB2312" w:eastAsia="仿宋_GB2312" w:cs="仿宋_GB2312"/>
          <w:sz w:val="28"/>
          <w:szCs w:val="28"/>
          <w:highlight w:val="none"/>
          <w:lang w:bidi="ar-SA"/>
        </w:rPr>
      </w:pPr>
    </w:p>
    <w:p w14:paraId="0501036F">
      <w:pPr>
        <w:spacing w:line="360" w:lineRule="auto"/>
        <w:jc w:val="center"/>
        <w:rPr>
          <w:rFonts w:hint="eastAsia" w:ascii="仿宋_GB2312" w:hAnsi="仿宋_GB2312" w:eastAsia="仿宋_GB2312" w:cs="仿宋_GB2312"/>
          <w:sz w:val="28"/>
          <w:szCs w:val="28"/>
          <w:highlight w:val="none"/>
          <w:lang w:bidi="ar-SA"/>
        </w:rPr>
      </w:pPr>
    </w:p>
    <w:p w14:paraId="6184C166">
      <w:pPr>
        <w:spacing w:line="360" w:lineRule="auto"/>
        <w:jc w:val="center"/>
        <w:rPr>
          <w:rFonts w:hint="eastAsia" w:ascii="仿宋_GB2312" w:hAnsi="仿宋_GB2312" w:eastAsia="仿宋_GB2312" w:cs="仿宋_GB2312"/>
          <w:sz w:val="28"/>
          <w:szCs w:val="28"/>
          <w:highlight w:val="none"/>
          <w:lang w:bidi="ar-SA"/>
        </w:rPr>
      </w:pPr>
    </w:p>
    <w:p w14:paraId="68D2A920">
      <w:pPr>
        <w:spacing w:line="360" w:lineRule="auto"/>
        <w:rPr>
          <w:rFonts w:hint="eastAsia" w:ascii="仿宋_GB2312" w:hAnsi="仿宋_GB2312" w:eastAsia="仿宋_GB2312" w:cs="仿宋_GB2312"/>
          <w:sz w:val="28"/>
          <w:szCs w:val="28"/>
          <w:highlight w:val="none"/>
          <w:lang w:bidi="ar-SA"/>
        </w:rPr>
      </w:pPr>
    </w:p>
    <w:p w14:paraId="772A3F7B">
      <w:pPr>
        <w:pStyle w:val="2"/>
        <w:rPr>
          <w:rFonts w:hint="eastAsia" w:ascii="仿宋_GB2312" w:hAnsi="仿宋_GB2312" w:eastAsia="仿宋_GB2312" w:cs="仿宋_GB2312"/>
          <w:sz w:val="28"/>
          <w:szCs w:val="28"/>
          <w:highlight w:val="none"/>
          <w:lang w:bidi="ar-SA"/>
        </w:rPr>
      </w:pPr>
    </w:p>
    <w:p w14:paraId="18F4A67E">
      <w:pPr>
        <w:pStyle w:val="2"/>
        <w:rPr>
          <w:rFonts w:hint="eastAsia" w:ascii="仿宋_GB2312" w:hAnsi="仿宋_GB2312" w:eastAsia="仿宋_GB2312" w:cs="仿宋_GB2312"/>
          <w:sz w:val="28"/>
          <w:szCs w:val="28"/>
          <w:highlight w:val="none"/>
          <w:lang w:bidi="ar-SA"/>
        </w:rPr>
      </w:pPr>
    </w:p>
    <w:p w14:paraId="1078BAD7">
      <w:pPr>
        <w:pStyle w:val="2"/>
        <w:rPr>
          <w:rFonts w:hint="eastAsia" w:ascii="仿宋_GB2312" w:hAnsi="仿宋_GB2312" w:eastAsia="仿宋_GB2312" w:cs="仿宋_GB2312"/>
          <w:sz w:val="28"/>
          <w:szCs w:val="28"/>
          <w:highlight w:val="none"/>
          <w:lang w:bidi="ar-SA"/>
        </w:rPr>
      </w:pPr>
    </w:p>
    <w:p w14:paraId="3660DBB4">
      <w:pPr>
        <w:spacing w:line="360" w:lineRule="auto"/>
        <w:rPr>
          <w:rFonts w:hint="eastAsia" w:ascii="仿宋_GB2312" w:hAnsi="仿宋_GB2312" w:eastAsia="仿宋_GB2312" w:cs="仿宋_GB2312"/>
          <w:sz w:val="28"/>
          <w:szCs w:val="28"/>
          <w:highlight w:val="none"/>
          <w:lang w:bidi="ar-SA"/>
        </w:rPr>
      </w:pPr>
    </w:p>
    <w:p w14:paraId="75D5A172">
      <w:pPr>
        <w:spacing w:line="360" w:lineRule="auto"/>
        <w:rPr>
          <w:rFonts w:hint="eastAsia" w:ascii="仿宋_GB2312" w:hAnsi="仿宋_GB2312" w:eastAsia="仿宋_GB2312" w:cs="仿宋_GB2312"/>
          <w:sz w:val="28"/>
          <w:szCs w:val="28"/>
          <w:highlight w:val="none"/>
          <w:lang w:bidi="ar-SA"/>
        </w:rPr>
      </w:pPr>
    </w:p>
    <w:p w14:paraId="5DE763A4">
      <w:pPr>
        <w:pStyle w:val="5"/>
        <w:rPr>
          <w:rFonts w:hint="eastAsia" w:ascii="仿宋_GB2312" w:hAnsi="仿宋_GB2312" w:eastAsia="仿宋_GB2312" w:cs="仿宋_GB2312"/>
          <w:sz w:val="28"/>
          <w:szCs w:val="28"/>
          <w:highlight w:val="none"/>
          <w:lang w:bidi="ar-SA"/>
        </w:rPr>
      </w:pPr>
    </w:p>
    <w:p w14:paraId="6BE07952">
      <w:pPr>
        <w:pStyle w:val="5"/>
        <w:rPr>
          <w:rFonts w:hint="eastAsia" w:ascii="仿宋_GB2312" w:hAnsi="仿宋_GB2312" w:eastAsia="仿宋_GB2312" w:cs="仿宋_GB2312"/>
          <w:sz w:val="28"/>
          <w:szCs w:val="28"/>
          <w:highlight w:val="none"/>
          <w:lang w:bidi="ar-SA"/>
        </w:rPr>
      </w:pPr>
    </w:p>
    <w:p w14:paraId="0F8B6A58">
      <w:pPr>
        <w:spacing w:line="360" w:lineRule="auto"/>
        <w:ind w:firstLine="3080" w:firstLineChars="1100"/>
        <w:rPr>
          <w:rFonts w:hint="eastAsia" w:ascii="仿宋_GB2312" w:hAnsi="仿宋_GB2312" w:eastAsia="仿宋_GB2312" w:cs="仿宋_GB2312"/>
          <w:sz w:val="28"/>
          <w:szCs w:val="28"/>
          <w:highlight w:val="none"/>
          <w:lang w:bidi="ar-SA"/>
        </w:rPr>
      </w:pPr>
      <w:r>
        <w:rPr>
          <w:rFonts w:hint="eastAsia" w:ascii="仿宋_GB2312" w:hAnsi="仿宋_GB2312" w:eastAsia="仿宋_GB2312" w:cs="仿宋_GB2312"/>
          <w:sz w:val="28"/>
          <w:szCs w:val="28"/>
          <w:highlight w:val="none"/>
          <w:lang w:bidi="ar-SA"/>
        </w:rPr>
        <w:t>签订地点：      陕西省西安市</w:t>
      </w:r>
    </w:p>
    <w:p w14:paraId="690842B0">
      <w:pPr>
        <w:spacing w:line="360" w:lineRule="auto"/>
        <w:ind w:firstLine="3080" w:firstLineChars="1100"/>
        <w:rPr>
          <w:rFonts w:hint="eastAsia" w:ascii="仿宋_GB2312" w:hAnsi="仿宋_GB2312" w:eastAsia="仿宋_GB2312" w:cs="仿宋_GB2312"/>
          <w:sz w:val="30"/>
          <w:highlight w:val="none"/>
          <w:lang w:bidi="ar-SA"/>
        </w:rPr>
      </w:pPr>
      <w:r>
        <w:rPr>
          <w:rFonts w:hint="eastAsia" w:ascii="仿宋_GB2312" w:hAnsi="仿宋_GB2312" w:eastAsia="仿宋_GB2312" w:cs="仿宋_GB2312"/>
          <w:sz w:val="28"/>
          <w:szCs w:val="28"/>
          <w:highlight w:val="none"/>
          <w:lang w:bidi="ar-SA"/>
        </w:rPr>
        <w:t xml:space="preserve">签订日期：      </w:t>
      </w:r>
      <w:r>
        <w:rPr>
          <w:rFonts w:hint="eastAsia" w:ascii="仿宋_GB2312" w:hAnsi="仿宋_GB2312" w:eastAsia="仿宋_GB2312" w:cs="仿宋_GB2312"/>
          <w:sz w:val="28"/>
          <w:szCs w:val="28"/>
          <w:highlight w:val="none"/>
          <w:lang w:val="en-US" w:eastAsia="zh-CN" w:bidi="ar-SA"/>
        </w:rPr>
        <w:t xml:space="preserve">     </w:t>
      </w:r>
      <w:r>
        <w:rPr>
          <w:rFonts w:hint="eastAsia" w:ascii="仿宋_GB2312" w:hAnsi="仿宋_GB2312" w:eastAsia="仿宋_GB2312" w:cs="仿宋_GB2312"/>
          <w:sz w:val="28"/>
          <w:szCs w:val="28"/>
          <w:highlight w:val="none"/>
          <w:lang w:bidi="ar-SA"/>
        </w:rPr>
        <w:t>年</w:t>
      </w:r>
      <w:r>
        <w:rPr>
          <w:rFonts w:hint="eastAsia" w:ascii="仿宋_GB2312" w:hAnsi="仿宋_GB2312" w:eastAsia="仿宋_GB2312" w:cs="仿宋_GB2312"/>
          <w:sz w:val="28"/>
          <w:szCs w:val="28"/>
          <w:highlight w:val="none"/>
          <w:lang w:val="en-US" w:eastAsia="zh-CN" w:bidi="ar-SA"/>
        </w:rPr>
        <w:t xml:space="preserve">   </w:t>
      </w:r>
      <w:r>
        <w:rPr>
          <w:rFonts w:hint="eastAsia" w:ascii="仿宋_GB2312" w:hAnsi="仿宋_GB2312" w:eastAsia="仿宋_GB2312" w:cs="仿宋_GB2312"/>
          <w:sz w:val="28"/>
          <w:szCs w:val="28"/>
          <w:highlight w:val="none"/>
          <w:lang w:bidi="ar-SA"/>
        </w:rPr>
        <w:t>月</w:t>
      </w:r>
    </w:p>
    <w:p w14:paraId="3A68F7D6">
      <w:pPr>
        <w:pStyle w:val="5"/>
        <w:rPr>
          <w:rFonts w:hint="eastAsia" w:ascii="仿宋_GB2312" w:hAnsi="仿宋_GB2312" w:eastAsia="仿宋_GB2312" w:cs="仿宋_GB2312"/>
          <w:sz w:val="30"/>
          <w:highlight w:val="none"/>
          <w:lang w:bidi="ar-SA"/>
        </w:rPr>
      </w:pPr>
    </w:p>
    <w:p w14:paraId="271146F8">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根据西安高新区建设工程规划审批技术服务外包中标公告，乙方经过公开招标，成为了西安高新区建设工程规划审批技术服务外包中标单位。根据有关技术合同的规定及其他相关法律法规的规定，双方经友好协商，同意就以下条款订立本合同，共同信守执行。</w:t>
      </w:r>
    </w:p>
    <w:p w14:paraId="4A990E01">
      <w:pPr>
        <w:spacing w:line="360" w:lineRule="auto"/>
        <w:rPr>
          <w:rFonts w:hint="eastAsia" w:ascii="仿宋_GB2312" w:hAnsi="仿宋_GB2312" w:eastAsia="仿宋_GB2312" w:cs="仿宋_GB2312"/>
          <w:b/>
          <w:bCs/>
          <w:sz w:val="32"/>
          <w:szCs w:val="32"/>
          <w:highlight w:val="none"/>
          <w:lang w:bidi="ar-SA"/>
        </w:rPr>
      </w:pPr>
      <w:r>
        <w:rPr>
          <w:rFonts w:hint="eastAsia" w:ascii="仿宋_GB2312" w:hAnsi="仿宋_GB2312" w:eastAsia="仿宋_GB2312" w:cs="仿宋_GB2312"/>
          <w:b/>
          <w:bCs/>
          <w:sz w:val="32"/>
          <w:szCs w:val="32"/>
          <w:highlight w:val="none"/>
          <w:lang w:bidi="ar-SA"/>
        </w:rPr>
        <w:t>一、项目名称</w:t>
      </w:r>
    </w:p>
    <w:p w14:paraId="039B22A1">
      <w:pPr>
        <w:widowControl w:val="0"/>
        <w:spacing w:line="312" w:lineRule="auto"/>
        <w:ind w:firstLine="640" w:firstLineChars="200"/>
        <w:textAlignment w:val="auto"/>
        <w:rPr>
          <w:rFonts w:hint="eastAsia" w:ascii="仿宋" w:hAnsi="仿宋" w:eastAsia="仿宋" w:cs="仿宋"/>
          <w:sz w:val="32"/>
          <w:szCs w:val="32"/>
          <w:highlight w:val="none"/>
          <w:lang w:bidi="ar-SA"/>
        </w:rPr>
      </w:pPr>
      <w:r>
        <w:rPr>
          <w:rFonts w:hint="eastAsia" w:ascii="仿宋_GB2312" w:hAnsi="仿宋_GB2312" w:eastAsia="仿宋_GB2312" w:cs="仿宋_GB2312"/>
          <w:sz w:val="32"/>
          <w:szCs w:val="32"/>
          <w:highlight w:val="none"/>
          <w:lang w:bidi="ar-SA"/>
        </w:rPr>
        <w:t>西安高新区建设工程规划审批技术服务外包。</w:t>
      </w:r>
    </w:p>
    <w:p w14:paraId="63599911">
      <w:pPr>
        <w:spacing w:line="360" w:lineRule="auto"/>
        <w:rPr>
          <w:rFonts w:hint="eastAsia" w:ascii="仿宋_GB2312" w:hAnsi="仿宋_GB2312" w:eastAsia="仿宋_GB2312" w:cs="仿宋_GB2312"/>
          <w:b/>
          <w:bCs/>
          <w:sz w:val="32"/>
          <w:szCs w:val="32"/>
          <w:highlight w:val="none"/>
          <w:lang w:bidi="ar-SA"/>
        </w:rPr>
      </w:pPr>
      <w:r>
        <w:rPr>
          <w:rFonts w:hint="eastAsia" w:ascii="仿宋_GB2312" w:hAnsi="仿宋_GB2312" w:eastAsia="仿宋_GB2312" w:cs="仿宋_GB2312"/>
          <w:b/>
          <w:bCs/>
          <w:sz w:val="32"/>
          <w:szCs w:val="32"/>
          <w:highlight w:val="none"/>
          <w:lang w:bidi="ar-SA"/>
        </w:rPr>
        <w:t>二、项目范围及规模</w:t>
      </w:r>
    </w:p>
    <w:p w14:paraId="08D41C3E">
      <w:pPr>
        <w:spacing w:line="360" w:lineRule="auto"/>
        <w:ind w:firstLine="640" w:firstLineChars="200"/>
        <w:rPr>
          <w:rFonts w:hint="eastAsia" w:ascii="仿宋_GB2312" w:hAnsi="仿宋_GB2312" w:eastAsia="仿宋_GB2312" w:cs="仿宋_GB2312"/>
          <w:sz w:val="32"/>
          <w:szCs w:val="32"/>
          <w:highlight w:val="none"/>
          <w:lang w:val="en-US" w:eastAsia="zh-CN" w:bidi="ar-SA"/>
        </w:rPr>
      </w:pPr>
      <w:r>
        <w:rPr>
          <w:rFonts w:hint="eastAsia" w:ascii="仿宋_GB2312" w:hAnsi="仿宋_GB2312" w:eastAsia="仿宋_GB2312" w:cs="仿宋_GB2312"/>
          <w:sz w:val="32"/>
          <w:szCs w:val="32"/>
          <w:highlight w:val="none"/>
          <w:lang w:bidi="ar-SA"/>
        </w:rPr>
        <w:t>为高新区辖区范围内的所有建设项目提供规划审批技术服务，主要服务高新主城区域约</w:t>
      </w:r>
      <w:r>
        <w:rPr>
          <w:rFonts w:hint="eastAsia" w:ascii="仿宋_GB2312" w:hAnsi="仿宋_GB2312" w:eastAsia="仿宋_GB2312" w:cs="仿宋_GB2312"/>
          <w:b/>
          <w:bCs/>
          <w:sz w:val="32"/>
          <w:szCs w:val="32"/>
          <w:highlight w:val="none"/>
          <w:lang w:bidi="ar-SA"/>
        </w:rPr>
        <w:t>307.78</w:t>
      </w:r>
      <w:r>
        <w:rPr>
          <w:rFonts w:hint="eastAsia" w:ascii="仿宋_GB2312" w:hAnsi="仿宋_GB2312" w:eastAsia="仿宋_GB2312" w:cs="仿宋_GB2312"/>
          <w:sz w:val="32"/>
          <w:szCs w:val="32"/>
          <w:highlight w:val="none"/>
          <w:lang w:bidi="ar-SA"/>
        </w:rPr>
        <w:t>平方公里。经公开招标为第</w:t>
      </w:r>
      <w:r>
        <w:rPr>
          <w:rFonts w:hint="eastAsia" w:ascii="仿宋_GB2312" w:hAnsi="仿宋_GB2312" w:eastAsia="仿宋_GB2312" w:cs="仿宋_GB2312"/>
          <w:sz w:val="32"/>
          <w:szCs w:val="32"/>
          <w:highlight w:val="none"/>
          <w:lang w:eastAsia="zh-CN" w:bidi="ar-SA"/>
        </w:rPr>
        <w:t>一</w:t>
      </w:r>
      <w:r>
        <w:rPr>
          <w:rFonts w:hint="eastAsia" w:ascii="仿宋_GB2312" w:hAnsi="仿宋_GB2312" w:eastAsia="仿宋_GB2312" w:cs="仿宋_GB2312"/>
          <w:sz w:val="32"/>
          <w:szCs w:val="32"/>
          <w:highlight w:val="none"/>
          <w:lang w:bidi="ar-SA"/>
        </w:rPr>
        <w:t>标段，韦斗路以北-科技路以南片区（北至科技路-南二环，南到韦斗路，西至西汉高速，东到太白南路）</w:t>
      </w:r>
      <w:r>
        <w:rPr>
          <w:rFonts w:hint="eastAsia" w:ascii="仿宋_GB2312" w:hAnsi="仿宋_GB2312" w:eastAsia="仿宋_GB2312" w:cs="仿宋_GB2312"/>
          <w:sz w:val="32"/>
          <w:szCs w:val="32"/>
          <w:highlight w:val="none"/>
          <w:lang w:eastAsia="zh-CN" w:bidi="ar-SA"/>
        </w:rPr>
        <w:t>；</w:t>
      </w:r>
      <w:r>
        <w:rPr>
          <w:rFonts w:hint="eastAsia" w:ascii="仿宋_GB2312" w:hAnsi="仿宋_GB2312" w:eastAsia="仿宋_GB2312" w:cs="仿宋_GB2312"/>
          <w:sz w:val="32"/>
          <w:szCs w:val="32"/>
          <w:highlight w:val="none"/>
          <w:lang w:val="en-US" w:eastAsia="zh-CN" w:bidi="ar-SA"/>
        </w:rPr>
        <w:t>第二标段，韦斗路以南片区（北至韦斗路，南到关中环线，西至镇街边界，东到镇街边界）。</w:t>
      </w:r>
    </w:p>
    <w:p w14:paraId="22197C88">
      <w:pPr>
        <w:spacing w:line="360" w:lineRule="auto"/>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b/>
          <w:bCs/>
          <w:sz w:val="32"/>
          <w:szCs w:val="32"/>
          <w:highlight w:val="none"/>
          <w:lang w:bidi="ar-SA"/>
        </w:rPr>
        <w:t>三、项目内容</w:t>
      </w:r>
    </w:p>
    <w:p w14:paraId="1846B266">
      <w:pPr>
        <w:spacing w:line="360" w:lineRule="auto"/>
        <w:ind w:firstLine="640" w:firstLineChars="200"/>
        <w:rPr>
          <w:rFonts w:hint="eastAsia" w:ascii="仿宋_GB2312" w:hAnsi="仿宋_GB2312" w:eastAsia="仿宋_GB2312" w:cs="仿宋_GB2312"/>
          <w:sz w:val="32"/>
          <w:szCs w:val="32"/>
          <w:highlight w:val="none"/>
          <w:lang w:val="en-US" w:eastAsia="zh-CN" w:bidi="ar-SA"/>
        </w:rPr>
      </w:pPr>
      <w:r>
        <w:rPr>
          <w:rFonts w:hint="eastAsia" w:ascii="仿宋_GB2312" w:hAnsi="仿宋_GB2312" w:eastAsia="仿宋_GB2312" w:cs="仿宋_GB2312"/>
          <w:sz w:val="32"/>
          <w:szCs w:val="32"/>
          <w:highlight w:val="none"/>
          <w:lang w:val="en-US" w:eastAsia="zh-CN" w:bidi="ar-SA"/>
        </w:rPr>
        <w:t>（一）政策标准研究</w:t>
      </w:r>
    </w:p>
    <w:p w14:paraId="690D47F1">
      <w:pPr>
        <w:spacing w:line="360" w:lineRule="auto"/>
        <w:ind w:firstLine="640" w:firstLineChars="200"/>
        <w:rPr>
          <w:rFonts w:hint="eastAsia" w:ascii="仿宋_GB2312" w:hAnsi="仿宋_GB2312" w:eastAsia="仿宋_GB2312" w:cs="仿宋_GB2312"/>
          <w:sz w:val="32"/>
          <w:szCs w:val="32"/>
          <w:highlight w:val="none"/>
          <w:lang w:val="en-US" w:eastAsia="zh-CN" w:bidi="ar-SA"/>
        </w:rPr>
      </w:pPr>
      <w:r>
        <w:rPr>
          <w:rFonts w:hint="eastAsia" w:ascii="仿宋_GB2312" w:hAnsi="仿宋_GB2312" w:eastAsia="仿宋_GB2312" w:cs="仿宋_GB2312"/>
          <w:sz w:val="32"/>
          <w:szCs w:val="32"/>
          <w:highlight w:val="none"/>
          <w:lang w:val="en-US" w:eastAsia="zh-CN" w:bidi="ar-SA"/>
        </w:rPr>
        <w:t>收集并研究国内大城市先进案例和创新做法，研究提出高新区建设工程行政许可事项流程优化和规划审批管理标准的建议，形成文件汇编和汇报材料；结合实际工作需求，完善、更新高新区行政许可事项企业申报材料范本与制图标准、方案图册范本、《技术审查意见书》范本、典型案例汇编等。</w:t>
      </w:r>
    </w:p>
    <w:p w14:paraId="73AE07C0">
      <w:pPr>
        <w:spacing w:line="360" w:lineRule="auto"/>
        <w:ind w:firstLine="640" w:firstLineChars="200"/>
        <w:rPr>
          <w:rFonts w:hint="eastAsia" w:ascii="仿宋_GB2312" w:hAnsi="仿宋_GB2312" w:eastAsia="仿宋_GB2312" w:cs="仿宋_GB2312"/>
          <w:sz w:val="32"/>
          <w:szCs w:val="32"/>
          <w:highlight w:val="none"/>
          <w:lang w:val="en-US" w:eastAsia="zh-CN" w:bidi="ar-SA"/>
        </w:rPr>
      </w:pPr>
      <w:r>
        <w:rPr>
          <w:rFonts w:hint="eastAsia" w:ascii="仿宋_GB2312" w:hAnsi="仿宋_GB2312" w:eastAsia="仿宋_GB2312" w:cs="仿宋_GB2312"/>
          <w:sz w:val="32"/>
          <w:szCs w:val="32"/>
          <w:highlight w:val="none"/>
          <w:lang w:val="en-US" w:eastAsia="zh-CN" w:bidi="ar-SA"/>
        </w:rPr>
        <w:t>（二）建设工程规划相关事项的技术审查</w:t>
      </w:r>
    </w:p>
    <w:p w14:paraId="00614293">
      <w:pPr>
        <w:spacing w:line="360" w:lineRule="auto"/>
        <w:ind w:firstLine="640" w:firstLineChars="200"/>
        <w:rPr>
          <w:rFonts w:hint="eastAsia" w:ascii="仿宋_GB2312" w:hAnsi="仿宋_GB2312" w:eastAsia="仿宋_GB2312" w:cs="仿宋_GB2312"/>
          <w:sz w:val="32"/>
          <w:szCs w:val="32"/>
          <w:highlight w:val="none"/>
          <w:lang w:val="en-US" w:eastAsia="zh-CN" w:bidi="ar-SA"/>
        </w:rPr>
      </w:pPr>
      <w:r>
        <w:rPr>
          <w:rFonts w:hint="eastAsia" w:ascii="仿宋_GB2312" w:hAnsi="仿宋_GB2312" w:eastAsia="仿宋_GB2312" w:cs="仿宋_GB2312"/>
          <w:sz w:val="32"/>
          <w:szCs w:val="32"/>
          <w:highlight w:val="none"/>
          <w:lang w:val="en-US" w:eastAsia="zh-CN" w:bidi="ar-SA"/>
        </w:rPr>
        <w:t>（1）建设工程规划许可（建筑工程、重大市政交通工程）。对建设工程设计方案（包含但不限于总平面图、建筑单体套图、竖向布置图、配建公共服务设施、配建市政与交通基础设施、绿地、城市风貌方案、交通影响评价报告、日照分析报告等）是否符合技术规范、规划条件及政策性文件要求进行核查并出具《技术审查意见书》。</w:t>
      </w:r>
    </w:p>
    <w:p w14:paraId="3A694437">
      <w:pPr>
        <w:spacing w:line="360" w:lineRule="auto"/>
        <w:ind w:firstLine="640" w:firstLineChars="200"/>
        <w:rPr>
          <w:rFonts w:hint="eastAsia" w:ascii="仿宋_GB2312" w:hAnsi="仿宋_GB2312" w:eastAsia="仿宋_GB2312" w:cs="仿宋_GB2312"/>
          <w:sz w:val="32"/>
          <w:szCs w:val="32"/>
          <w:highlight w:val="none"/>
          <w:lang w:val="en-US" w:eastAsia="zh-CN" w:bidi="ar-SA"/>
        </w:rPr>
      </w:pPr>
      <w:r>
        <w:rPr>
          <w:rFonts w:hint="eastAsia" w:ascii="仿宋_GB2312" w:hAnsi="仿宋_GB2312" w:eastAsia="仿宋_GB2312" w:cs="仿宋_GB2312"/>
          <w:sz w:val="32"/>
          <w:szCs w:val="32"/>
          <w:highlight w:val="none"/>
          <w:lang w:val="en-US" w:eastAsia="zh-CN" w:bidi="ar-SA"/>
        </w:rPr>
        <w:t>（2）用地预审与选址意见书。出具建设项目用地预审与选址论证报告的《技术审查意见书》；涉及重大项目用地预审及规划选址时，召开专家论证会。</w:t>
      </w:r>
    </w:p>
    <w:p w14:paraId="2605A051">
      <w:pPr>
        <w:spacing w:line="360" w:lineRule="auto"/>
        <w:ind w:firstLine="640" w:firstLineChars="200"/>
        <w:rPr>
          <w:rFonts w:hint="eastAsia" w:ascii="仿宋_GB2312" w:hAnsi="仿宋_GB2312" w:eastAsia="仿宋_GB2312" w:cs="仿宋_GB2312"/>
          <w:sz w:val="32"/>
          <w:szCs w:val="32"/>
          <w:highlight w:val="none"/>
          <w:lang w:val="en-US" w:eastAsia="zh-CN" w:bidi="ar-SA"/>
        </w:rPr>
      </w:pPr>
      <w:r>
        <w:rPr>
          <w:rFonts w:hint="eastAsia" w:ascii="仿宋_GB2312" w:hAnsi="仿宋_GB2312" w:eastAsia="仿宋_GB2312" w:cs="仿宋_GB2312"/>
          <w:sz w:val="32"/>
          <w:szCs w:val="32"/>
          <w:highlight w:val="none"/>
          <w:lang w:val="en-US" w:eastAsia="zh-CN" w:bidi="ar-SA"/>
        </w:rPr>
        <w:t>（3）其他审批事项。低风险小型社会投资建设项目、建筑外立面改造、临时建筑、零星工程等项目设计方案出具《技术审查意见书》；规划条件核实时，核査建筑退线、停车位、建筑外立面等局部调整的合规性，并出具《技术审查意见书》。</w:t>
      </w:r>
    </w:p>
    <w:p w14:paraId="4AF66E5B">
      <w:pPr>
        <w:spacing w:line="360" w:lineRule="auto"/>
        <w:ind w:firstLine="640" w:firstLineChars="200"/>
        <w:rPr>
          <w:rFonts w:hint="eastAsia" w:ascii="仿宋_GB2312" w:hAnsi="仿宋_GB2312" w:eastAsia="仿宋_GB2312" w:cs="仿宋_GB2312"/>
          <w:sz w:val="32"/>
          <w:szCs w:val="32"/>
          <w:highlight w:val="none"/>
          <w:lang w:val="en-US" w:eastAsia="zh-CN" w:bidi="ar-SA"/>
        </w:rPr>
      </w:pPr>
      <w:r>
        <w:rPr>
          <w:rFonts w:hint="eastAsia" w:ascii="仿宋_GB2312" w:hAnsi="仿宋_GB2312" w:eastAsia="仿宋_GB2312" w:cs="仿宋_GB2312"/>
          <w:sz w:val="32"/>
          <w:szCs w:val="32"/>
          <w:highlight w:val="none"/>
          <w:lang w:val="en-US" w:eastAsia="zh-CN" w:bidi="ar-SA"/>
        </w:rPr>
        <w:t>（三）其他相关事项</w:t>
      </w:r>
    </w:p>
    <w:p w14:paraId="7AC98920">
      <w:pPr>
        <w:spacing w:line="360" w:lineRule="auto"/>
        <w:ind w:firstLine="640" w:firstLineChars="200"/>
        <w:rPr>
          <w:rFonts w:hint="eastAsia" w:ascii="仿宋_GB2312" w:hAnsi="仿宋_GB2312" w:eastAsia="仿宋_GB2312" w:cs="仿宋_GB2312"/>
          <w:sz w:val="32"/>
          <w:szCs w:val="32"/>
          <w:highlight w:val="none"/>
          <w:lang w:val="en-US" w:eastAsia="zh-CN" w:bidi="ar-SA"/>
        </w:rPr>
      </w:pPr>
      <w:r>
        <w:rPr>
          <w:rFonts w:hint="eastAsia" w:ascii="仿宋_GB2312" w:hAnsi="仿宋_GB2312" w:eastAsia="仿宋_GB2312" w:cs="仿宋_GB2312"/>
          <w:sz w:val="32"/>
          <w:szCs w:val="32"/>
          <w:highlight w:val="none"/>
          <w:lang w:val="en-US" w:eastAsia="zh-CN" w:bidi="ar-SA"/>
        </w:rPr>
        <w:t>规划审批阶段各专项工作会议（包括交通影响评价报告评审会、专家及部门联审会等）；根据项目需要协助出具法律审查意见。</w:t>
      </w:r>
    </w:p>
    <w:p w14:paraId="5C32932E">
      <w:pPr>
        <w:spacing w:line="360" w:lineRule="auto"/>
        <w:rPr>
          <w:rFonts w:hint="eastAsia" w:ascii="仿宋_GB2312" w:hAnsi="仿宋_GB2312" w:eastAsia="仿宋_GB2312" w:cs="仿宋_GB2312"/>
          <w:b/>
          <w:sz w:val="32"/>
          <w:szCs w:val="32"/>
          <w:highlight w:val="none"/>
          <w:lang w:bidi="ar-SA"/>
        </w:rPr>
      </w:pPr>
      <w:r>
        <w:rPr>
          <w:rFonts w:hint="eastAsia" w:ascii="仿宋_GB2312" w:hAnsi="仿宋_GB2312" w:eastAsia="仿宋_GB2312" w:cs="仿宋_GB2312"/>
          <w:b/>
          <w:sz w:val="32"/>
          <w:szCs w:val="32"/>
          <w:highlight w:val="none"/>
          <w:lang w:bidi="ar-SA"/>
        </w:rPr>
        <w:t>四、服务周期、地点和方式</w:t>
      </w:r>
    </w:p>
    <w:p w14:paraId="3F0F626A">
      <w:pPr>
        <w:spacing w:line="360" w:lineRule="auto"/>
        <w:ind w:left="319" w:leftChars="152" w:firstLine="320" w:firstLineChars="1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本合同服务期限为</w:t>
      </w:r>
      <w:r>
        <w:rPr>
          <w:rFonts w:hint="eastAsia" w:ascii="仿宋_GB2312" w:hAnsi="仿宋_GB2312" w:eastAsia="仿宋_GB2312" w:cs="仿宋_GB2312"/>
          <w:sz w:val="32"/>
          <w:szCs w:val="32"/>
          <w:highlight w:val="none"/>
          <w:lang w:val="en-US" w:eastAsia="zh-CN" w:bidi="ar-SA"/>
        </w:rPr>
        <w:t xml:space="preserve">    </w:t>
      </w:r>
      <w:r>
        <w:rPr>
          <w:rFonts w:hint="eastAsia" w:ascii="仿宋_GB2312" w:hAnsi="仿宋_GB2312" w:eastAsia="仿宋_GB2312" w:cs="仿宋_GB2312"/>
          <w:sz w:val="32"/>
          <w:szCs w:val="32"/>
          <w:highlight w:val="none"/>
          <w:lang w:bidi="ar-SA"/>
        </w:rPr>
        <w:t>年</w:t>
      </w:r>
      <w:r>
        <w:rPr>
          <w:rFonts w:hint="eastAsia" w:ascii="仿宋_GB2312" w:hAnsi="仿宋_GB2312" w:eastAsia="仿宋_GB2312" w:cs="仿宋_GB2312"/>
          <w:sz w:val="32"/>
          <w:szCs w:val="32"/>
          <w:highlight w:val="none"/>
          <w:lang w:val="en-US" w:eastAsia="zh-CN" w:bidi="ar-SA"/>
        </w:rPr>
        <w:t xml:space="preserve">  </w:t>
      </w:r>
      <w:r>
        <w:rPr>
          <w:rFonts w:hint="eastAsia" w:ascii="仿宋_GB2312" w:hAnsi="仿宋_GB2312" w:eastAsia="仿宋_GB2312" w:cs="仿宋_GB2312"/>
          <w:sz w:val="32"/>
          <w:szCs w:val="32"/>
          <w:highlight w:val="none"/>
          <w:lang w:bidi="ar-SA"/>
        </w:rPr>
        <w:t>月</w:t>
      </w:r>
      <w:r>
        <w:rPr>
          <w:rFonts w:hint="eastAsia" w:ascii="仿宋_GB2312" w:hAnsi="仿宋_GB2312" w:eastAsia="仿宋_GB2312" w:cs="仿宋_GB2312"/>
          <w:sz w:val="32"/>
          <w:szCs w:val="32"/>
          <w:highlight w:val="none"/>
          <w:lang w:val="en-US" w:eastAsia="zh-CN" w:bidi="ar-SA"/>
        </w:rPr>
        <w:t xml:space="preserve">  </w:t>
      </w:r>
      <w:r>
        <w:rPr>
          <w:rFonts w:hint="eastAsia" w:ascii="仿宋_GB2312" w:hAnsi="仿宋_GB2312" w:eastAsia="仿宋_GB2312" w:cs="仿宋_GB2312"/>
          <w:sz w:val="32"/>
          <w:szCs w:val="32"/>
          <w:highlight w:val="none"/>
          <w:lang w:bidi="ar-SA"/>
        </w:rPr>
        <w:t>日至</w:t>
      </w:r>
      <w:r>
        <w:rPr>
          <w:rFonts w:hint="eastAsia" w:ascii="仿宋_GB2312" w:hAnsi="仿宋_GB2312" w:eastAsia="仿宋_GB2312" w:cs="仿宋_GB2312"/>
          <w:sz w:val="32"/>
          <w:szCs w:val="32"/>
          <w:highlight w:val="none"/>
          <w:lang w:val="en-US" w:eastAsia="zh-CN" w:bidi="ar-SA"/>
        </w:rPr>
        <w:t xml:space="preserve">    </w:t>
      </w:r>
      <w:r>
        <w:rPr>
          <w:rFonts w:hint="eastAsia" w:ascii="仿宋_GB2312" w:hAnsi="仿宋_GB2312" w:eastAsia="仿宋_GB2312" w:cs="仿宋_GB2312"/>
          <w:sz w:val="32"/>
          <w:szCs w:val="32"/>
          <w:highlight w:val="none"/>
          <w:lang w:bidi="ar-SA"/>
        </w:rPr>
        <w:t>年</w:t>
      </w:r>
      <w:r>
        <w:rPr>
          <w:rFonts w:hint="eastAsia" w:ascii="仿宋_GB2312" w:hAnsi="仿宋_GB2312" w:eastAsia="仿宋_GB2312" w:cs="仿宋_GB2312"/>
          <w:sz w:val="32"/>
          <w:szCs w:val="32"/>
          <w:highlight w:val="none"/>
          <w:lang w:val="en-US" w:eastAsia="zh-CN" w:bidi="ar-SA"/>
        </w:rPr>
        <w:t xml:space="preserve">  </w:t>
      </w:r>
      <w:r>
        <w:rPr>
          <w:rFonts w:hint="eastAsia" w:ascii="仿宋_GB2312" w:hAnsi="仿宋_GB2312" w:eastAsia="仿宋_GB2312" w:cs="仿宋_GB2312"/>
          <w:sz w:val="32"/>
          <w:szCs w:val="32"/>
          <w:highlight w:val="none"/>
          <w:lang w:bidi="ar-SA"/>
        </w:rPr>
        <w:t>月</w:t>
      </w:r>
      <w:r>
        <w:rPr>
          <w:rFonts w:hint="eastAsia" w:ascii="仿宋_GB2312" w:hAnsi="仿宋_GB2312" w:eastAsia="仿宋_GB2312" w:cs="仿宋_GB2312"/>
          <w:sz w:val="32"/>
          <w:szCs w:val="32"/>
          <w:highlight w:val="none"/>
          <w:lang w:val="en-US" w:eastAsia="zh-CN" w:bidi="ar-SA"/>
        </w:rPr>
        <w:t xml:space="preserve">  </w:t>
      </w:r>
      <w:r>
        <w:rPr>
          <w:rFonts w:hint="eastAsia" w:ascii="仿宋_GB2312" w:hAnsi="仿宋_GB2312" w:eastAsia="仿宋_GB2312" w:cs="仿宋_GB2312"/>
          <w:sz w:val="32"/>
          <w:szCs w:val="32"/>
          <w:highlight w:val="none"/>
          <w:lang w:bidi="ar-SA"/>
        </w:rPr>
        <w:t>日，共计</w:t>
      </w:r>
      <w:r>
        <w:rPr>
          <w:rFonts w:hint="eastAsia" w:ascii="仿宋_GB2312" w:hAnsi="仿宋_GB2312" w:eastAsia="仿宋_GB2312" w:cs="仿宋_GB2312"/>
          <w:sz w:val="32"/>
          <w:szCs w:val="32"/>
          <w:highlight w:val="none"/>
          <w:u w:val="single"/>
          <w:lang w:val="en-US" w:eastAsia="zh-CN" w:bidi="ar-SA"/>
        </w:rPr>
        <w:t xml:space="preserve">   </w:t>
      </w:r>
      <w:r>
        <w:rPr>
          <w:rFonts w:hint="eastAsia" w:ascii="仿宋_GB2312" w:hAnsi="仿宋_GB2312" w:eastAsia="仿宋_GB2312" w:cs="仿宋_GB2312"/>
          <w:sz w:val="32"/>
          <w:szCs w:val="32"/>
          <w:highlight w:val="none"/>
          <w:lang w:bidi="ar-SA"/>
        </w:rPr>
        <w:t>个自然月，本合同在陕西省西安市履行。</w:t>
      </w:r>
    </w:p>
    <w:p w14:paraId="34128543">
      <w:pPr>
        <w:spacing w:line="360" w:lineRule="auto"/>
        <w:rPr>
          <w:rFonts w:hint="eastAsia" w:ascii="仿宋_GB2312" w:hAnsi="仿宋_GB2312" w:eastAsia="仿宋_GB2312" w:cs="仿宋_GB2312"/>
          <w:b/>
          <w:bCs/>
          <w:sz w:val="32"/>
          <w:szCs w:val="32"/>
          <w:highlight w:val="none"/>
          <w:lang w:bidi="ar-SA"/>
        </w:rPr>
      </w:pPr>
      <w:r>
        <w:rPr>
          <w:rFonts w:hint="eastAsia" w:ascii="仿宋_GB2312" w:hAnsi="仿宋_GB2312" w:eastAsia="仿宋_GB2312" w:cs="仿宋_GB2312"/>
          <w:b/>
          <w:bCs/>
          <w:sz w:val="32"/>
          <w:szCs w:val="32"/>
          <w:highlight w:val="none"/>
          <w:lang w:bidi="ar-SA"/>
        </w:rPr>
        <w:t>五、服务要求</w:t>
      </w:r>
    </w:p>
    <w:p w14:paraId="4EDEB68A">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1.外包单位常驻服务人员不少于3名（规划、建筑方向），职称职级应达到1名高级工程师，2名中级工程师标准。</w:t>
      </w:r>
    </w:p>
    <w:p w14:paraId="024E0921">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2.外包单位出具的《建设工程设计方案技术审查意见书》（以下简称《意见书》）需满足国家、省、市相关法规政策和技术标准。</w:t>
      </w:r>
    </w:p>
    <w:p w14:paraId="00ABF34C">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3.外包单位完成项目设计方案相应图件制作，设计方案汇报图册标准化整理、修改及汇总，跟进技术评审会议并形成记录。</w:t>
      </w:r>
    </w:p>
    <w:p w14:paraId="7BDB6C44">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4.外包单位须以保密方式处理双方直接或间接提供的任何资料，以及因本项目研究工作所直接或间接取得、处理或接触的任何其它资料及信息，不得向第三方透露任何有关项目的内容，或公开任何项目中间成果或最终成果。</w:t>
      </w:r>
    </w:p>
    <w:p w14:paraId="2D513815">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5.外包单位对其完成的技术审查事项（服务周期内及之后）全程跟踪服务工作，包括：规划解释、政策咨询、技术协调等服务等工作。</w:t>
      </w:r>
    </w:p>
    <w:p w14:paraId="0BCEABB9">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6.国家行政主管部门颁发的城乡规划（国土空间规划）乙级或建筑行业（建筑工程）甲级资质或建筑行业工程设计甲级资质或工程设计综合甲级资质，须满足其中至少一项要求。</w:t>
      </w:r>
    </w:p>
    <w:p w14:paraId="401D23B1">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7.本合同第三条“服务内容”约定中的各服务成果，乙方应按甲方要求按时保质的提交，逾期提交的，乙方除应承担违约责任外，甲方有权另行委托第三方代为履行部分合同义务，产生的相应费用从本合同价款中扣除</w:t>
      </w:r>
    </w:p>
    <w:p w14:paraId="381A5DA6">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8.乙方须在服务范围、服务期内完成不少于</w:t>
      </w:r>
      <w:r>
        <w:rPr>
          <w:rFonts w:hint="eastAsia" w:ascii="仿宋_GB2312" w:hAnsi="仿宋_GB2312" w:eastAsia="仿宋_GB2312" w:cs="仿宋_GB2312"/>
          <w:sz w:val="32"/>
          <w:szCs w:val="32"/>
          <w:highlight w:val="none"/>
          <w:u w:val="single"/>
          <w:lang w:val="en-US" w:eastAsia="zh-CN" w:bidi="ar-SA"/>
        </w:rPr>
        <w:t xml:space="preserve">    </w:t>
      </w:r>
      <w:r>
        <w:rPr>
          <w:rFonts w:hint="eastAsia" w:ascii="仿宋_GB2312" w:hAnsi="仿宋_GB2312" w:eastAsia="仿宋_GB2312" w:cs="仿宋_GB2312"/>
          <w:sz w:val="32"/>
          <w:szCs w:val="32"/>
          <w:highlight w:val="none"/>
          <w:lang w:bidi="ar-SA"/>
        </w:rPr>
        <w:t>万平方米的技术审查方案审查。如未完成，根据实际工作量支付相应费用，据实结算。政策研究及标准制定按照每项</w:t>
      </w:r>
      <w:r>
        <w:rPr>
          <w:rFonts w:hint="eastAsia" w:ascii="仿宋_GB2312" w:hAnsi="仿宋_GB2312" w:eastAsia="仿宋_GB2312" w:cs="仿宋_GB2312"/>
          <w:sz w:val="32"/>
          <w:szCs w:val="32"/>
          <w:highlight w:val="none"/>
          <w:u w:val="single"/>
          <w:lang w:val="en-US" w:eastAsia="zh-CN" w:bidi="ar-SA"/>
        </w:rPr>
        <w:t xml:space="preserve">    </w:t>
      </w:r>
      <w:r>
        <w:rPr>
          <w:rFonts w:hint="eastAsia" w:ascii="仿宋_GB2312" w:hAnsi="仿宋_GB2312" w:eastAsia="仿宋_GB2312" w:cs="仿宋_GB2312"/>
          <w:sz w:val="32"/>
          <w:szCs w:val="32"/>
          <w:highlight w:val="none"/>
          <w:lang w:bidi="ar-SA"/>
        </w:rPr>
        <w:t>万元、用地预审与选址意见书审查按照每项</w:t>
      </w:r>
      <w:r>
        <w:rPr>
          <w:rFonts w:hint="eastAsia" w:ascii="仿宋_GB2312" w:hAnsi="仿宋_GB2312" w:eastAsia="仿宋_GB2312" w:cs="仿宋_GB2312"/>
          <w:sz w:val="32"/>
          <w:szCs w:val="32"/>
          <w:highlight w:val="none"/>
          <w:u w:val="single"/>
          <w:lang w:val="en-US" w:eastAsia="zh-CN" w:bidi="ar-SA"/>
        </w:rPr>
        <w:t xml:space="preserve">    </w:t>
      </w:r>
      <w:r>
        <w:rPr>
          <w:rFonts w:hint="eastAsia" w:ascii="仿宋_GB2312" w:hAnsi="仿宋_GB2312" w:eastAsia="仿宋_GB2312" w:cs="仿宋_GB2312"/>
          <w:sz w:val="32"/>
          <w:szCs w:val="32"/>
          <w:highlight w:val="none"/>
          <w:lang w:bidi="ar-SA"/>
        </w:rPr>
        <w:t>万元计算、房屋建设工程设计方案技术审查单价按</w:t>
      </w:r>
      <w:r>
        <w:rPr>
          <w:rFonts w:hint="eastAsia" w:ascii="仿宋_GB2312" w:hAnsi="仿宋_GB2312" w:eastAsia="仿宋_GB2312" w:cs="仿宋_GB2312"/>
          <w:sz w:val="32"/>
          <w:szCs w:val="32"/>
          <w:highlight w:val="none"/>
          <w:u w:val="single"/>
          <w:lang w:val="en-US" w:eastAsia="zh-CN" w:bidi="ar-SA"/>
        </w:rPr>
        <w:t xml:space="preserve">    </w:t>
      </w:r>
      <w:r>
        <w:rPr>
          <w:rFonts w:hint="eastAsia" w:ascii="仿宋_GB2312" w:hAnsi="仿宋_GB2312" w:eastAsia="仿宋_GB2312" w:cs="仿宋_GB2312"/>
          <w:sz w:val="32"/>
          <w:szCs w:val="32"/>
          <w:highlight w:val="none"/>
          <w:lang w:bidi="ar-SA"/>
        </w:rPr>
        <w:t>元/平方米计算（包含各类公示牌制作费用）。</w:t>
      </w:r>
    </w:p>
    <w:p w14:paraId="1D269448">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9.甲方有其他服务要求的，可采用书面形式提出，乙方须按相应要求提供服务，但甲方所提要求明显不合理的除外。</w:t>
      </w:r>
    </w:p>
    <w:p w14:paraId="719E95EF">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10.服务期限届满前30日内，乙方应向甲方提出服务评价申请，甲方采用对乙方提交的服务成果、服务态度、服务效率、服务质量等进行综合评价的方式进行验收。</w:t>
      </w:r>
    </w:p>
    <w:p w14:paraId="661C0448">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11.服务期限届满后30日内，乙方应预留一名项目服务责任驻场，保障项目顺利过渡。</w:t>
      </w:r>
    </w:p>
    <w:p w14:paraId="2AB3F703">
      <w:pPr>
        <w:spacing w:line="360" w:lineRule="auto"/>
        <w:rPr>
          <w:rFonts w:hint="eastAsia" w:ascii="仿宋_GB2312" w:hAnsi="仿宋_GB2312" w:eastAsia="仿宋_GB2312" w:cs="仿宋_GB2312"/>
          <w:b/>
          <w:sz w:val="32"/>
          <w:szCs w:val="32"/>
          <w:highlight w:val="none"/>
          <w:lang w:bidi="ar-SA"/>
        </w:rPr>
      </w:pPr>
      <w:r>
        <w:rPr>
          <w:rFonts w:hint="eastAsia" w:ascii="仿宋_GB2312" w:hAnsi="仿宋_GB2312" w:eastAsia="仿宋_GB2312" w:cs="仿宋_GB2312"/>
          <w:b/>
          <w:sz w:val="32"/>
          <w:szCs w:val="32"/>
          <w:highlight w:val="none"/>
          <w:lang w:bidi="ar-SA"/>
        </w:rPr>
        <w:t>六、合同价款及付款方式</w:t>
      </w:r>
    </w:p>
    <w:p w14:paraId="277A9FA3">
      <w:pPr>
        <w:spacing w:line="360" w:lineRule="auto"/>
        <w:ind w:firstLine="643" w:firstLineChars="200"/>
        <w:rPr>
          <w:rFonts w:hint="eastAsia" w:ascii="仿宋_GB2312" w:hAnsi="仿宋_GB2312" w:eastAsia="仿宋_GB2312" w:cs="仿宋_GB2312"/>
          <w:b/>
          <w:bCs/>
          <w:sz w:val="32"/>
          <w:szCs w:val="32"/>
          <w:highlight w:val="none"/>
          <w:lang w:bidi="ar-SA"/>
        </w:rPr>
      </w:pPr>
      <w:r>
        <w:rPr>
          <w:rFonts w:hint="eastAsia" w:ascii="仿宋_GB2312" w:hAnsi="仿宋_GB2312" w:eastAsia="仿宋_GB2312" w:cs="仿宋_GB2312"/>
          <w:b/>
          <w:bCs/>
          <w:sz w:val="32"/>
          <w:szCs w:val="32"/>
          <w:highlight w:val="none"/>
          <w:lang w:bidi="ar-SA"/>
        </w:rPr>
        <w:t xml:space="preserve"> 第1包：中标合同总价为</w:t>
      </w:r>
      <w:r>
        <w:rPr>
          <w:rFonts w:hint="eastAsia" w:ascii="仿宋_GB2312" w:hAnsi="仿宋_GB2312" w:eastAsia="仿宋_GB2312" w:cs="仿宋_GB2312"/>
          <w:b/>
          <w:bCs/>
          <w:sz w:val="32"/>
          <w:szCs w:val="32"/>
          <w:highlight w:val="none"/>
          <w:u w:val="single"/>
          <w:lang w:val="en-US" w:eastAsia="zh-CN" w:bidi="ar-SA"/>
        </w:rPr>
        <w:t xml:space="preserve">        </w:t>
      </w:r>
      <w:r>
        <w:rPr>
          <w:rFonts w:hint="eastAsia" w:ascii="仿宋_GB2312" w:hAnsi="仿宋_GB2312" w:eastAsia="仿宋_GB2312" w:cs="仿宋_GB2312"/>
          <w:b/>
          <w:bCs/>
          <w:sz w:val="32"/>
          <w:szCs w:val="32"/>
          <w:highlight w:val="none"/>
          <w:lang w:bidi="ar-SA"/>
        </w:rPr>
        <w:t>万元（大写：</w:t>
      </w:r>
      <w:r>
        <w:rPr>
          <w:rFonts w:hint="eastAsia" w:ascii="仿宋_GB2312" w:hAnsi="仿宋_GB2312" w:eastAsia="仿宋_GB2312" w:cs="仿宋_GB2312"/>
          <w:b/>
          <w:bCs/>
          <w:sz w:val="32"/>
          <w:szCs w:val="32"/>
          <w:highlight w:val="none"/>
          <w:u w:val="single"/>
          <w:lang w:val="en-US" w:eastAsia="zh-CN" w:bidi="ar-SA"/>
        </w:rPr>
        <w:t xml:space="preserve">      </w:t>
      </w:r>
      <w:r>
        <w:rPr>
          <w:rFonts w:hint="eastAsia" w:ascii="仿宋_GB2312" w:hAnsi="仿宋_GB2312" w:eastAsia="仿宋_GB2312" w:cs="仿宋_GB2312"/>
          <w:b/>
          <w:bCs/>
          <w:sz w:val="32"/>
          <w:szCs w:val="32"/>
          <w:highlight w:val="none"/>
          <w:lang w:bidi="ar-SA"/>
        </w:rPr>
        <w:t>）。</w:t>
      </w:r>
    </w:p>
    <w:p w14:paraId="6BDE6980">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1、合同签订后支付20%；服务期满6个月后支付30%，若工作量累计未达到50%（</w:t>
      </w:r>
      <w:r>
        <w:rPr>
          <w:rFonts w:hint="eastAsia" w:ascii="仿宋_GB2312" w:hAnsi="仿宋_GB2312" w:eastAsia="仿宋_GB2312" w:cs="仿宋_GB2312"/>
          <w:sz w:val="32"/>
          <w:szCs w:val="32"/>
          <w:highlight w:val="none"/>
          <w:u w:val="single"/>
          <w:lang w:val="en-US" w:eastAsia="zh-CN" w:bidi="ar-SA"/>
        </w:rPr>
        <w:t xml:space="preserve">    </w:t>
      </w:r>
      <w:r>
        <w:rPr>
          <w:rFonts w:hint="eastAsia" w:ascii="仿宋_GB2312" w:hAnsi="仿宋_GB2312" w:eastAsia="仿宋_GB2312" w:cs="仿宋_GB2312"/>
          <w:sz w:val="32"/>
          <w:szCs w:val="32"/>
          <w:highlight w:val="none"/>
          <w:lang w:bidi="ar-SA"/>
        </w:rPr>
        <w:t>万平方米），按工作量据实支付；服务周期结束后支付30%，若工作量累计未达到100%（</w:t>
      </w:r>
      <w:r>
        <w:rPr>
          <w:rFonts w:hint="eastAsia" w:ascii="仿宋_GB2312" w:hAnsi="仿宋_GB2312" w:eastAsia="仿宋_GB2312" w:cs="仿宋_GB2312"/>
          <w:sz w:val="32"/>
          <w:szCs w:val="32"/>
          <w:highlight w:val="none"/>
          <w:u w:val="single"/>
          <w:lang w:val="en-US" w:eastAsia="zh-CN" w:bidi="ar-SA"/>
        </w:rPr>
        <w:t xml:space="preserve">    </w:t>
      </w:r>
      <w:r>
        <w:rPr>
          <w:rFonts w:hint="eastAsia" w:ascii="仿宋_GB2312" w:hAnsi="仿宋_GB2312" w:eastAsia="仿宋_GB2312" w:cs="仿宋_GB2312"/>
          <w:sz w:val="32"/>
          <w:szCs w:val="32"/>
          <w:highlight w:val="none"/>
          <w:lang w:bidi="ar-SA"/>
        </w:rPr>
        <w:t>万平方米），按工作量据实支付；项目完成规定工作量且验收通过后剩余20%一次性付清。</w:t>
      </w:r>
    </w:p>
    <w:p w14:paraId="4FDD5457">
      <w:pPr>
        <w:spacing w:line="360" w:lineRule="auto"/>
        <w:ind w:firstLine="640" w:firstLineChars="200"/>
        <w:rPr>
          <w:rFonts w:hint="eastAsia" w:ascii="仿宋_GB2312" w:hAnsi="仿宋_GB2312" w:eastAsia="仿宋_GB2312" w:cs="仿宋_GB2312"/>
          <w:bCs/>
          <w:sz w:val="32"/>
          <w:szCs w:val="32"/>
          <w:highlight w:val="none"/>
          <w:lang w:bidi="ar-SA"/>
        </w:rPr>
      </w:pPr>
      <w:r>
        <w:rPr>
          <w:rFonts w:hint="eastAsia" w:ascii="仿宋_GB2312" w:hAnsi="仿宋_GB2312" w:eastAsia="仿宋_GB2312" w:cs="仿宋_GB2312"/>
          <w:sz w:val="32"/>
          <w:szCs w:val="32"/>
          <w:highlight w:val="none"/>
          <w:lang w:bidi="ar-SA"/>
        </w:rPr>
        <w:t>2、中标单位在服务范围、服务期内须完成不少于</w:t>
      </w:r>
      <w:r>
        <w:rPr>
          <w:rFonts w:hint="eastAsia" w:ascii="仿宋_GB2312" w:hAnsi="仿宋_GB2312" w:eastAsia="仿宋_GB2312" w:cs="仿宋_GB2312"/>
          <w:sz w:val="32"/>
          <w:szCs w:val="32"/>
          <w:highlight w:val="none"/>
          <w:u w:val="single"/>
          <w:lang w:val="en-US" w:eastAsia="zh-CN" w:bidi="ar-SA"/>
        </w:rPr>
        <w:t xml:space="preserve">    </w:t>
      </w:r>
      <w:r>
        <w:rPr>
          <w:rFonts w:hint="eastAsia" w:ascii="仿宋_GB2312" w:hAnsi="仿宋_GB2312" w:eastAsia="仿宋_GB2312" w:cs="仿宋_GB2312"/>
          <w:sz w:val="32"/>
          <w:szCs w:val="32"/>
          <w:highlight w:val="none"/>
          <w:lang w:bidi="ar-SA"/>
        </w:rPr>
        <w:t>万平方米的技术审查即可按照中标价付款，超出部分不再增补费用。</w:t>
      </w:r>
    </w:p>
    <w:p w14:paraId="273EDDC7">
      <w:pPr>
        <w:spacing w:line="360" w:lineRule="auto"/>
        <w:ind w:left="420" w:left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乙方账开户银行名称、户名和账号为：</w:t>
      </w:r>
    </w:p>
    <w:p w14:paraId="4321834F">
      <w:pPr>
        <w:spacing w:line="360" w:lineRule="auto"/>
        <w:ind w:left="420" w:left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开户银行：</w:t>
      </w:r>
    </w:p>
    <w:p w14:paraId="45148CBD">
      <w:pPr>
        <w:spacing w:line="360" w:lineRule="auto"/>
        <w:ind w:left="420" w:left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户    名：</w:t>
      </w:r>
    </w:p>
    <w:p w14:paraId="6FBEAA27">
      <w:pPr>
        <w:spacing w:line="360" w:lineRule="auto"/>
        <w:ind w:left="420" w:left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账    号：</w:t>
      </w:r>
    </w:p>
    <w:p w14:paraId="4EF06CE7">
      <w:pPr>
        <w:spacing w:line="360" w:lineRule="auto"/>
        <w:rPr>
          <w:rFonts w:hint="eastAsia" w:ascii="仿宋_GB2312" w:hAnsi="仿宋_GB2312" w:eastAsia="仿宋_GB2312" w:cs="仿宋_GB2312"/>
          <w:b/>
          <w:bCs/>
          <w:sz w:val="32"/>
          <w:szCs w:val="32"/>
          <w:highlight w:val="none"/>
          <w:lang w:bidi="ar-SA"/>
        </w:rPr>
      </w:pPr>
      <w:r>
        <w:rPr>
          <w:rFonts w:hint="eastAsia" w:ascii="仿宋_GB2312" w:hAnsi="仿宋_GB2312" w:eastAsia="仿宋_GB2312" w:cs="仿宋_GB2312"/>
          <w:b/>
          <w:bCs/>
          <w:sz w:val="32"/>
          <w:szCs w:val="32"/>
          <w:highlight w:val="none"/>
          <w:lang w:bidi="ar-SA"/>
        </w:rPr>
        <w:t>七、工作条件和协作事项</w:t>
      </w:r>
    </w:p>
    <w:p w14:paraId="4AE4DA3D">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1．甲乙双方共同拥有投标人提交的全部成果所有的知识产权。乙方将该项目成果用于甲方管辖区域外的其他项目或用于服务甲方以外第三方的，须经甲方同意；</w:t>
      </w:r>
    </w:p>
    <w:p w14:paraId="06F907C2">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2．甲方为乙方在西安市开展调研工作提供协调、支持帮助；</w:t>
      </w:r>
    </w:p>
    <w:p w14:paraId="0B05EBA2">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3.甲、乙双方均应遵守《中华人民共和国保守国家秘密法》和其它相关规定，妥善保管对方提供的资料，保守对方的各项秘密，并保护对方的知识产权；未经对方许可，不得利用知悉的对方资料和成果为自己或第三方谋取利益；</w:t>
      </w:r>
    </w:p>
    <w:p w14:paraId="4479A33F">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4. 乙方应按国家及地方相关法律、法规、规范、标准规定的和合同约定的成果深度及要求进行编制，并按本合同约定的内容、时间及份数向甲方提交文件。</w:t>
      </w:r>
    </w:p>
    <w:p w14:paraId="156BCA19">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5. 乙方应配合甲方完成项目各阶段成果的汇报、审查、研讨、公示及公众咨询等工作，并负责解答相应的技术问题。</w:t>
      </w:r>
    </w:p>
    <w:p w14:paraId="01D0F14A">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6. 乙方应对提交文件的质量负责，在服务周期内乙方有义务配合甲方对方案进行合理的修改和调整。</w:t>
      </w:r>
    </w:p>
    <w:p w14:paraId="091037DC">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7. 乙方应对其工作人员在现场工作期间的一切行为负责，并对自身人员因意外事故而发生的人身、财产损害承担责任。</w:t>
      </w:r>
    </w:p>
    <w:p w14:paraId="167A5FD1">
      <w:pPr>
        <w:spacing w:line="360" w:lineRule="auto"/>
        <w:rPr>
          <w:rFonts w:hint="eastAsia" w:ascii="仿宋_GB2312" w:hAnsi="仿宋_GB2312" w:eastAsia="仿宋_GB2312" w:cs="仿宋_GB2312"/>
          <w:b/>
          <w:bCs/>
          <w:sz w:val="32"/>
          <w:szCs w:val="32"/>
          <w:highlight w:val="none"/>
          <w:lang w:bidi="ar-SA"/>
        </w:rPr>
      </w:pPr>
      <w:r>
        <w:rPr>
          <w:rFonts w:hint="eastAsia" w:ascii="仿宋_GB2312" w:hAnsi="仿宋_GB2312" w:eastAsia="仿宋_GB2312" w:cs="仿宋_GB2312"/>
          <w:b/>
          <w:bCs/>
          <w:sz w:val="32"/>
          <w:szCs w:val="32"/>
          <w:highlight w:val="none"/>
          <w:lang w:bidi="ar-SA"/>
        </w:rPr>
        <w:t>八、违约责任</w:t>
      </w:r>
    </w:p>
    <w:p w14:paraId="591289B5">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1.甲方责任</w:t>
      </w:r>
    </w:p>
    <w:p w14:paraId="107A0822">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（1）甲方应协助乙方进行现状调研和相关资料收集、组织相关单位的座谈会。除非双方特别约定，甲方应自收到乙方有关于此的协助需求后7个工作日内协调解决完毕；逾期，乙方该阶段工作时限顺延。</w:t>
      </w:r>
    </w:p>
    <w:p w14:paraId="6F0D0B75">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（2）甲方变更委托项目、规模、条件或对所提供资料作较大修改，致使本合同约定义务发生根本性变化，双方另行协商签订补充协议（或另订合同）、重新明确有关条款。</w:t>
      </w:r>
    </w:p>
    <w:p w14:paraId="5933C2B6">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（3）甲方应按本合同规定的金额和日期向乙方支付编制费。</w:t>
      </w:r>
    </w:p>
    <w:p w14:paraId="558DA210">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2．乙方责任</w:t>
      </w:r>
    </w:p>
    <w:p w14:paraId="355E9F56">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（1） 因乙方原因造成项目成果质量问题的，乙方除负责及时采取有效补救措施外，应免收受损失部分的合同价款，并支付合同总价款10%的违约金。</w:t>
      </w:r>
    </w:p>
    <w:p w14:paraId="440DBBDE">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（2） 由于乙方原因，延误了成果交付时间，每延误一天，应减收该项目设计费的万分之二，延误超过30日后，甲方有权解除合同，合同解除前乙方应退还甲方已付款项并向甲方支付合同总价款10%的违约金。</w:t>
      </w:r>
    </w:p>
    <w:p w14:paraId="153CE85F">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3）乙方提交的成果文件不能通过甲方组织的审查会的，乙方需在15个工作日时间内予以修改完善，经修改完善后，超过约定期限仍不能通过验收的，视为乙方根本违约，甲方有权解除合同，并要求乙方退还已付合同款项，并支付合同10%的违约金。</w:t>
      </w:r>
    </w:p>
    <w:p w14:paraId="70E3B764">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4）成果文件通过审查后，在本合同约定的剩余服务期限内，乙方无正当理由拒绝甲方提出的合理服务需求的，甲方有权拒绝支付剩余10%的款项。未经甲方同意，乙方擅自修改已经验收的成果文件，应承担因此产生的一切后果。</w:t>
      </w:r>
    </w:p>
    <w:p w14:paraId="48BFED9B">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（5）因乙方其他违约行为造成合同终止或解除的，乙方须退还甲方已付的所有款项，并赔偿甲方合同价款10%的违约金。</w:t>
      </w:r>
    </w:p>
    <w:p w14:paraId="44A193FE">
      <w:pPr>
        <w:spacing w:line="360" w:lineRule="auto"/>
        <w:ind w:firstLine="643" w:firstLineChars="200"/>
        <w:rPr>
          <w:rFonts w:hint="eastAsia" w:ascii="仿宋_GB2312" w:hAnsi="仿宋_GB2312" w:eastAsia="仿宋_GB2312" w:cs="仿宋_GB2312"/>
          <w:b/>
          <w:bCs/>
          <w:sz w:val="32"/>
          <w:szCs w:val="32"/>
          <w:highlight w:val="none"/>
          <w:lang w:bidi="ar-SA"/>
        </w:rPr>
      </w:pPr>
      <w:r>
        <w:rPr>
          <w:rFonts w:hint="eastAsia" w:ascii="仿宋_GB2312" w:hAnsi="仿宋_GB2312" w:eastAsia="仿宋_GB2312" w:cs="仿宋_GB2312"/>
          <w:b/>
          <w:bCs/>
          <w:sz w:val="32"/>
          <w:szCs w:val="32"/>
          <w:highlight w:val="none"/>
          <w:lang w:bidi="ar-SA"/>
        </w:rPr>
        <w:t>九、解决合同纠纷的方式</w:t>
      </w:r>
    </w:p>
    <w:p w14:paraId="76B4DCF3">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在履行本合同的过程中发生争议，双方当事人和解或调解不成，可采取由西安仲裁委员会仲裁解决。</w:t>
      </w:r>
    </w:p>
    <w:p w14:paraId="2F1766E9">
      <w:pPr>
        <w:spacing w:line="360" w:lineRule="auto"/>
        <w:ind w:firstLine="643" w:firstLineChars="200"/>
        <w:rPr>
          <w:rFonts w:hint="eastAsia" w:ascii="仿宋_GB2312" w:hAnsi="仿宋_GB2312" w:eastAsia="仿宋_GB2312" w:cs="仿宋_GB2312"/>
          <w:b/>
          <w:bCs/>
          <w:sz w:val="32"/>
          <w:szCs w:val="32"/>
          <w:highlight w:val="none"/>
          <w:lang w:bidi="ar-SA"/>
        </w:rPr>
      </w:pPr>
      <w:r>
        <w:rPr>
          <w:rFonts w:hint="eastAsia" w:ascii="仿宋_GB2312" w:hAnsi="仿宋_GB2312" w:eastAsia="仿宋_GB2312" w:cs="仿宋_GB2312"/>
          <w:b/>
          <w:bCs/>
          <w:sz w:val="32"/>
          <w:szCs w:val="32"/>
          <w:highlight w:val="none"/>
          <w:lang w:bidi="ar-SA"/>
        </w:rPr>
        <w:t>十、其它</w:t>
      </w:r>
    </w:p>
    <w:p w14:paraId="00568430">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1．本合同一式</w:t>
      </w:r>
      <w:r>
        <w:rPr>
          <w:rFonts w:hint="eastAsia" w:ascii="仿宋_GB2312" w:hAnsi="仿宋_GB2312" w:eastAsia="仿宋_GB2312" w:cs="仿宋_GB2312"/>
          <w:sz w:val="32"/>
          <w:szCs w:val="32"/>
          <w:highlight w:val="none"/>
          <w:u w:val="single"/>
          <w:lang w:bidi="ar-SA"/>
        </w:rPr>
        <w:t xml:space="preserve"> 壹拾 </w:t>
      </w:r>
      <w:r>
        <w:rPr>
          <w:rFonts w:hint="eastAsia" w:ascii="仿宋_GB2312" w:hAnsi="仿宋_GB2312" w:eastAsia="仿宋_GB2312" w:cs="仿宋_GB2312"/>
          <w:sz w:val="32"/>
          <w:szCs w:val="32"/>
          <w:highlight w:val="none"/>
          <w:lang w:bidi="ar-SA"/>
        </w:rPr>
        <w:t>份，甲方、乙方各执</w:t>
      </w:r>
      <w:r>
        <w:rPr>
          <w:rFonts w:hint="eastAsia" w:ascii="仿宋_GB2312" w:hAnsi="仿宋_GB2312" w:eastAsia="仿宋_GB2312" w:cs="仿宋_GB2312"/>
          <w:sz w:val="32"/>
          <w:szCs w:val="32"/>
          <w:highlight w:val="none"/>
          <w:u w:val="single"/>
          <w:lang w:bidi="ar-SA"/>
        </w:rPr>
        <w:t xml:space="preserve"> 伍 </w:t>
      </w:r>
      <w:r>
        <w:rPr>
          <w:rFonts w:hint="eastAsia" w:ascii="仿宋_GB2312" w:hAnsi="仿宋_GB2312" w:eastAsia="仿宋_GB2312" w:cs="仿宋_GB2312"/>
          <w:sz w:val="32"/>
          <w:szCs w:val="32"/>
          <w:highlight w:val="none"/>
          <w:lang w:bidi="ar-SA"/>
        </w:rPr>
        <w:t>份。</w:t>
      </w:r>
    </w:p>
    <w:p w14:paraId="01F7C744">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2．本合同未尽事宜，以国家有关规定办理，或经甲、乙双方另行签订补充协议和书面文件。</w:t>
      </w:r>
    </w:p>
    <w:p w14:paraId="0E49FCDF">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3．本合同自甲、乙双方签字、盖章之日起生效，在履行完本合同各项条款时终止。</w:t>
      </w:r>
    </w:p>
    <w:p w14:paraId="5154CF07">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4. 本合同附件包括招标文件、中标人投标文件。</w:t>
      </w:r>
    </w:p>
    <w:p w14:paraId="39508135">
      <w:pPr>
        <w:spacing w:line="360" w:lineRule="auto"/>
        <w:ind w:firstLine="640" w:firstLineChars="200"/>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5.由于不可抗力（包括因战争、动乱或其它非甲、乙方责任造成的爆炸、火灾及其它不能预见、不能避免并不能克服的客观情况）致使合同无法履行时，应按有关法律规定及时协商解决。</w:t>
      </w:r>
    </w:p>
    <w:p w14:paraId="1E7D92FE">
      <w:pPr>
        <w:spacing w:line="360" w:lineRule="auto"/>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（以下无正文）</w:t>
      </w:r>
    </w:p>
    <w:p w14:paraId="5E307780">
      <w:pPr>
        <w:spacing w:line="360" w:lineRule="auto"/>
        <w:rPr>
          <w:rFonts w:hint="eastAsia" w:ascii="仿宋_GB2312" w:hAnsi="仿宋_GB2312" w:eastAsia="仿宋_GB2312" w:cs="仿宋_GB2312"/>
          <w:sz w:val="32"/>
          <w:szCs w:val="32"/>
          <w:highlight w:val="none"/>
          <w:lang w:bidi="ar-SA"/>
        </w:rPr>
      </w:pPr>
    </w:p>
    <w:p w14:paraId="7CAA1834">
      <w:pPr>
        <w:spacing w:line="360" w:lineRule="auto"/>
        <w:rPr>
          <w:rFonts w:hint="eastAsia" w:ascii="仿宋_GB2312" w:hAnsi="仿宋_GB2312" w:eastAsia="仿宋_GB2312" w:cs="仿宋_GB2312"/>
          <w:sz w:val="32"/>
          <w:szCs w:val="32"/>
          <w:highlight w:val="none"/>
          <w:lang w:bidi="ar-SA"/>
        </w:rPr>
      </w:pPr>
    </w:p>
    <w:p w14:paraId="103E5B61">
      <w:pPr>
        <w:spacing w:line="360" w:lineRule="auto"/>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 xml:space="preserve">甲方名称（盖章）：               乙方名称（盖章）： </w:t>
      </w:r>
    </w:p>
    <w:p w14:paraId="39B6BD41">
      <w:pPr>
        <w:spacing w:line="360" w:lineRule="auto"/>
        <w:rPr>
          <w:rFonts w:hint="eastAsia" w:ascii="仿宋_GB2312" w:hAnsi="仿宋_GB2312" w:eastAsia="仿宋_GB2312" w:cs="仿宋_GB2312"/>
          <w:sz w:val="32"/>
          <w:szCs w:val="32"/>
          <w:highlight w:val="none"/>
          <w:lang w:bidi="ar-SA"/>
        </w:rPr>
      </w:pPr>
    </w:p>
    <w:p w14:paraId="305BBDAE">
      <w:pPr>
        <w:spacing w:line="360" w:lineRule="auto"/>
        <w:rPr>
          <w:rFonts w:hint="eastAsia" w:ascii="仿宋_GB2312" w:hAnsi="仿宋_GB2312" w:eastAsia="仿宋_GB2312" w:cs="仿宋_GB2312"/>
          <w:sz w:val="32"/>
          <w:szCs w:val="32"/>
          <w:highlight w:val="none"/>
          <w:lang w:bidi="ar-SA"/>
        </w:rPr>
      </w:pPr>
    </w:p>
    <w:p w14:paraId="7AF96C35">
      <w:pPr>
        <w:spacing w:line="360" w:lineRule="auto"/>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 xml:space="preserve">法定代表人                      法定代表人                    </w:t>
      </w:r>
    </w:p>
    <w:p w14:paraId="609093DF">
      <w:pPr>
        <w:spacing w:line="360" w:lineRule="auto"/>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 xml:space="preserve">或委托代理人：（签字）            或委托代理人：（签字）   </w:t>
      </w:r>
    </w:p>
    <w:p w14:paraId="72C9F25B">
      <w:pPr>
        <w:spacing w:line="360" w:lineRule="auto"/>
        <w:rPr>
          <w:rFonts w:hint="eastAsia" w:ascii="仿宋_GB2312" w:hAnsi="仿宋_GB2312" w:eastAsia="仿宋_GB2312" w:cs="仿宋_GB2312"/>
          <w:sz w:val="32"/>
          <w:szCs w:val="32"/>
          <w:highlight w:val="none"/>
          <w:lang w:bidi="ar-SA"/>
        </w:rPr>
      </w:pPr>
    </w:p>
    <w:p w14:paraId="68759EA1">
      <w:pPr>
        <w:spacing w:line="360" w:lineRule="auto"/>
        <w:rPr>
          <w:rFonts w:hint="eastAsia" w:ascii="仿宋_GB2312" w:hAnsi="仿宋_GB2312" w:eastAsia="仿宋_GB2312" w:cs="仿宋_GB2312"/>
          <w:sz w:val="32"/>
          <w:szCs w:val="32"/>
          <w:highlight w:val="none"/>
          <w:lang w:bidi="ar-SA"/>
        </w:rPr>
      </w:pPr>
      <w:r>
        <w:rPr>
          <w:rFonts w:hint="eastAsia" w:ascii="仿宋_GB2312" w:hAnsi="仿宋_GB2312" w:eastAsia="仿宋_GB2312" w:cs="仿宋_GB2312"/>
          <w:sz w:val="32"/>
          <w:szCs w:val="32"/>
          <w:highlight w:val="none"/>
          <w:lang w:bidi="ar-SA"/>
        </w:rPr>
        <w:t xml:space="preserve">      </w:t>
      </w:r>
    </w:p>
    <w:p w14:paraId="2D46815D">
      <w:pPr>
        <w:snapToGrid w:val="0"/>
        <w:spacing w:line="360" w:lineRule="auto"/>
        <w:jc w:val="left"/>
        <w:rPr>
          <w:highlight w:val="none"/>
        </w:rPr>
      </w:pPr>
      <w:r>
        <w:rPr>
          <w:rFonts w:hint="eastAsia" w:ascii="仿宋_GB2312" w:hAnsi="仿宋_GB2312" w:eastAsia="仿宋_GB2312" w:cs="仿宋_GB2312"/>
          <w:sz w:val="32"/>
          <w:szCs w:val="32"/>
          <w:highlight w:val="none"/>
          <w:lang w:bidi="ar-SA"/>
        </w:rPr>
        <w:t>签订日期：</w:t>
      </w:r>
      <w:r>
        <w:rPr>
          <w:rFonts w:hint="eastAsia" w:ascii="仿宋_GB2312" w:hAnsi="仿宋_GB2312" w:eastAsia="仿宋_GB2312" w:cs="仿宋_GB2312"/>
          <w:sz w:val="32"/>
          <w:szCs w:val="32"/>
          <w:highlight w:val="none"/>
          <w:lang w:val="en-US" w:eastAsia="zh-CN" w:bidi="ar-SA"/>
        </w:rPr>
        <w:t xml:space="preserve">  </w:t>
      </w:r>
      <w:r>
        <w:rPr>
          <w:rFonts w:hint="eastAsia" w:ascii="仿宋_GB2312" w:hAnsi="仿宋_GB2312" w:eastAsia="仿宋_GB2312" w:cs="仿宋_GB2312"/>
          <w:sz w:val="32"/>
          <w:szCs w:val="32"/>
          <w:highlight w:val="none"/>
          <w:lang w:bidi="ar-SA"/>
        </w:rPr>
        <w:t xml:space="preserve">年  月  日  </w:t>
      </w:r>
      <w:r>
        <w:rPr>
          <w:rFonts w:hint="eastAsia" w:ascii="仿宋_GB2312" w:hAnsi="仿宋_GB2312" w:eastAsia="仿宋_GB2312" w:cs="仿宋_GB2312"/>
          <w:sz w:val="32"/>
          <w:szCs w:val="32"/>
          <w:highlight w:val="none"/>
          <w:lang w:val="en-US" w:eastAsia="zh-CN" w:bidi="ar-SA"/>
        </w:rPr>
        <w:t xml:space="preserve">  </w:t>
      </w:r>
      <w:r>
        <w:rPr>
          <w:rFonts w:hint="eastAsia" w:ascii="仿宋_GB2312" w:hAnsi="仿宋_GB2312" w:eastAsia="仿宋_GB2312" w:cs="仿宋_GB2312"/>
          <w:sz w:val="32"/>
          <w:szCs w:val="32"/>
          <w:highlight w:val="none"/>
          <w:lang w:bidi="ar-SA"/>
        </w:rPr>
        <w:t xml:space="preserve"> </w:t>
      </w:r>
      <w:r>
        <w:rPr>
          <w:rFonts w:hint="eastAsia" w:ascii="仿宋_GB2312" w:hAnsi="仿宋_GB2312" w:eastAsia="仿宋_GB2312" w:cs="仿宋_GB2312"/>
          <w:sz w:val="32"/>
          <w:szCs w:val="32"/>
          <w:highlight w:val="none"/>
          <w:lang w:val="en-US" w:eastAsia="zh-CN" w:bidi="ar-SA"/>
        </w:rPr>
        <w:t xml:space="preserve">   </w:t>
      </w:r>
      <w:r>
        <w:rPr>
          <w:rFonts w:hint="eastAsia" w:ascii="仿宋_GB2312" w:hAnsi="仿宋_GB2312" w:eastAsia="仿宋_GB2312" w:cs="仿宋_GB2312"/>
          <w:sz w:val="32"/>
          <w:szCs w:val="32"/>
          <w:highlight w:val="none"/>
          <w:lang w:bidi="ar-SA"/>
        </w:rPr>
        <w:t>签订日期：</w:t>
      </w:r>
      <w:r>
        <w:rPr>
          <w:rFonts w:hint="eastAsia" w:ascii="仿宋_GB2312" w:hAnsi="仿宋_GB2312" w:eastAsia="仿宋_GB2312" w:cs="仿宋_GB2312"/>
          <w:sz w:val="32"/>
          <w:szCs w:val="32"/>
          <w:highlight w:val="none"/>
          <w:lang w:val="en-US" w:eastAsia="zh-CN" w:bidi="ar-SA"/>
        </w:rPr>
        <w:t xml:space="preserve">  </w:t>
      </w:r>
      <w:r>
        <w:rPr>
          <w:rFonts w:hint="eastAsia" w:ascii="仿宋_GB2312" w:hAnsi="仿宋_GB2312" w:eastAsia="仿宋_GB2312" w:cs="仿宋_GB2312"/>
          <w:sz w:val="32"/>
          <w:szCs w:val="32"/>
          <w:highlight w:val="none"/>
          <w:lang w:bidi="ar-SA"/>
        </w:rPr>
        <w:t>年</w:t>
      </w:r>
      <w:r>
        <w:rPr>
          <w:rFonts w:hint="eastAsia" w:ascii="仿宋_GB2312" w:hAnsi="仿宋_GB2312" w:eastAsia="仿宋_GB2312" w:cs="仿宋_GB2312"/>
          <w:sz w:val="32"/>
          <w:szCs w:val="32"/>
          <w:highlight w:val="none"/>
          <w:lang w:val="en-US" w:eastAsia="zh-CN" w:bidi="ar-SA"/>
        </w:rPr>
        <w:t xml:space="preserve">  </w:t>
      </w:r>
      <w:r>
        <w:rPr>
          <w:rFonts w:hint="eastAsia" w:ascii="仿宋_GB2312" w:hAnsi="仿宋_GB2312" w:eastAsia="仿宋_GB2312" w:cs="仿宋_GB2312"/>
          <w:sz w:val="32"/>
          <w:szCs w:val="32"/>
          <w:highlight w:val="none"/>
          <w:lang w:bidi="ar-SA"/>
        </w:rPr>
        <w:t>月</w:t>
      </w:r>
      <w:r>
        <w:rPr>
          <w:rFonts w:hint="eastAsia" w:ascii="仿宋_GB2312" w:hAnsi="仿宋_GB2312" w:eastAsia="仿宋_GB2312" w:cs="仿宋_GB2312"/>
          <w:sz w:val="32"/>
          <w:szCs w:val="32"/>
          <w:highlight w:val="none"/>
          <w:lang w:val="en-US" w:eastAsia="zh-CN" w:bidi="ar-SA"/>
        </w:rPr>
        <w:t xml:space="preserve">  </w:t>
      </w:r>
      <w:r>
        <w:rPr>
          <w:rFonts w:hint="eastAsia" w:ascii="仿宋_GB2312" w:hAnsi="仿宋_GB2312" w:eastAsia="仿宋_GB2312" w:cs="仿宋_GB2312"/>
          <w:sz w:val="32"/>
          <w:szCs w:val="32"/>
          <w:highlight w:val="none"/>
          <w:lang w:bidi="ar-SA"/>
        </w:rPr>
        <w:t>日</w:t>
      </w:r>
    </w:p>
    <w:p w14:paraId="28C0D711"/>
    <w:sectPr>
      <w:footerReference r:id="rId3" w:type="default"/>
      <w:pgSz w:w="11906" w:h="16838"/>
      <w:pgMar w:top="1440" w:right="1800" w:bottom="1440" w:left="1800" w:header="850" w:footer="283" w:gutter="0"/>
      <w:pgNumType w:chapStyle="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文泉驿正黑">
    <w:altName w:val="黑体"/>
    <w:panose1 w:val="02000603000000000000"/>
    <w:charset w:val="86"/>
    <w:family w:val="script"/>
    <w:pitch w:val="default"/>
    <w:sig w:usb0="00000000" w:usb1="00000000" w:usb2="00000036" w:usb3="00000000" w:csb0="603E000D" w:csb1="D2D7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EEC44">
    <w:pPr>
      <w:pStyle w:val="4"/>
      <w:spacing w:before="471" w:beforeLines="151" w:beforeAutospacing="0"/>
    </w:pPr>
    <w:r>
      <w:rPr>
        <w:sz w:val="18"/>
      </w:rPr>
      <mc:AlternateContent>
        <mc:Choice Requires="wps">
          <w:drawing>
            <wp:anchor distT="0" distB="0" distL="114300" distR="114300" simplePos="0" relativeHeight="251659264" behindDoc="0" locked="0" layoutInCell="1" allowOverlap="1">
              <wp:simplePos x="0" y="0"/>
              <wp:positionH relativeFrom="margin">
                <wp:posOffset>2179955</wp:posOffset>
              </wp:positionH>
              <wp:positionV relativeFrom="paragraph">
                <wp:posOffset>-283845</wp:posOffset>
              </wp:positionV>
              <wp:extent cx="961390" cy="165735"/>
              <wp:effectExtent l="0" t="0" r="0" b="0"/>
              <wp:wrapNone/>
              <wp:docPr id="1" name="文本框 1"/>
              <wp:cNvGraphicFramePr/>
              <a:graphic xmlns:a="http://schemas.openxmlformats.org/drawingml/2006/main">
                <a:graphicData uri="http://schemas.microsoft.com/office/word/2010/wordprocessingShape">
                  <wps:wsp>
                    <wps:cNvSpPr txBox="1"/>
                    <wps:spPr>
                      <a:xfrm>
                        <a:off x="0" y="0"/>
                        <a:ext cx="961390" cy="165735"/>
                      </a:xfrm>
                      <a:prstGeom prst="rect">
                        <a:avLst/>
                      </a:prstGeom>
                      <a:noFill/>
                      <a:ln>
                        <a:noFill/>
                      </a:ln>
                    </wps:spPr>
                    <wps:txbx>
                      <w:txbxContent>
                        <w:p w14:paraId="512C9A64">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12</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left:171.65pt;margin-top:-22.35pt;height:13.05pt;width:75.7pt;mso-position-horizontal-relative:margin;mso-wrap-style:none;z-index:251659264;mso-width-relative:page;mso-height-relative:page;" filled="f" stroked="f" coordsize="21600,21600" o:gfxdata="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nr+2y1wAAAAsBAAAPAAAAAAAAAAEAIAAAACIAAABk&#10;cnMvZG93bnJldi54bWxQSwECFAAUAAAACACHTuJA7PFVWM4BAACXAwAADgAAAAAAAAABACAAAAAm&#10;AQAAZHJzL2Uyb0RvYy54bWxQSwUGAAAAAAYABgBZAQAAZgUAAAAA&#10;">
              <v:path/>
              <v:fill on="f" focussize="0,0"/>
              <v:stroke on="f"/>
              <v:imagedata o:title=""/>
              <o:lock v:ext="edit"/>
              <v:textbox inset="0mm,0mm,0mm,0mm" style="mso-fit-shape-to-text:t;">
                <w:txbxContent>
                  <w:p w14:paraId="512C9A64">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C94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jc w:val="both"/>
      <w:textAlignment w:val="baseline"/>
    </w:pPr>
    <w:rPr>
      <w:rFonts w:ascii="Times New Roman" w:hAnsi="Times New Roman" w:eastAsia="宋体" w:cs="Times New Roman"/>
      <w:kern w:val="2"/>
      <w:sz w:val="21"/>
      <w:szCs w:val="20"/>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uiPriority w:val="0"/>
    <w:pPr>
      <w:ind w:firstLine="420"/>
    </w:pPr>
    <w:rPr>
      <w:szCs w:val="21"/>
    </w:rPr>
  </w:style>
  <w:style w:type="paragraph" w:styleId="3">
    <w:name w:val="Body Text"/>
    <w:basedOn w:val="1"/>
    <w:uiPriority w:val="0"/>
    <w:pPr>
      <w:ind w:left="538"/>
    </w:pPr>
    <w:rPr>
      <w:sz w:val="28"/>
      <w:szCs w:val="28"/>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Body Text First Indent"/>
    <w:basedOn w:val="3"/>
    <w:uiPriority w:val="0"/>
    <w:pPr>
      <w:ind w:firstLine="100" w:firstLineChars="100"/>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InnerWidth="-15" textInnerHeight="-1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2026-05-06T09:14:20Z</dcterms:created>
  <dc:creator>admin</dc:creator>
  <cp:lastModifiedBy>蜗牛。</cp:lastModifiedBy>
  <dcterms:modified xsi:type="dcterms:W3CDTF">2026-05-06T09:14:37Z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eyJoZGlkIjoiZDg3OWVkYTljNWRjNjlkMjk3MTU1NWUyZDI4NmM1NTUiLCJ1c2VySWQiOiIzMTg4NTQ0ODEifQ==</vt:lpwstr>
  </property>
  <property fmtid="{D5CDD505-2E9C-101B-9397-08002B2CF9AE}" pid="4" name="ICV">
    <vt:lpwstr>442DA122640A4BA588E0566DD880D35E_12</vt:lpwstr>
  </property>
</Properties>
</file>