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版本号：HC-FZB-2026-024.1B120260618001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2026年能源审计项目(二次)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HC-FZB-2026-024.1B1</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2026年能源审计项目(二次)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HC-FZB-2026-024.1B1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2026年能源审计项目(二次)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2026年能源审计项目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采购包1（2026年能源审计项目）：属于专门面向中小企业采购。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一年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解征、冯建正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18629060219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银行账号：30208471002919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时，向华春建设工程项目管理有限责任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下浮20%执行。 2.招标代理服务费应采用转账、刷卡、现金形式缴纳。 汇款账户：⑴开户行名称：华春建设工程项目管理有限责任公司 ⑵开户行：中国银行西安南二环支行 ⑶账 号：102807336850 备注：供应商在汇款（招标代理服务费）时须注明项目编号+项目简称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具体内容详见合同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成交人完成全部服务内容并提交最终服务成果资料，采购人完成签收留存后，即为履约完毕，满足付款及项目闭环条件。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联系人：解征、冯建正</w:t>
      </w:r>
    </w:p>
    <w:p>
      <w:pPr>
        <w:pStyle w:val="null3"/>
      </w:pPr>
      <w:r>
        <w:rPr>
          <w:rFonts w:ascii="仿宋_GB2312" w:hAnsi="仿宋_GB2312" w:cs="仿宋_GB2312" w:eastAsia="仿宋_GB2312"/>
        </w:rPr>
        <w:t>联系电话：18629060219</w:t>
      </w:r>
    </w:p>
    <w:p>
      <w:pPr>
        <w:pStyle w:val="null3"/>
      </w:pPr>
      <w:r>
        <w:rPr>
          <w:rFonts w:ascii="仿宋_GB2312" w:hAnsi="仿宋_GB2312" w:cs="仿宋_GB2312" w:eastAsia="仿宋_GB2312"/>
        </w:rPr>
        <w:t>地址：西安市南二环西段成长大厦8楼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2026年能源审计项目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2026年能源审计项目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标的名称：2026年能源审计项目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rPr>
              <w:t>一、项目概况</w:t>
            </w:r>
          </w:p>
          <w:p>
            <w:pPr>
              <w:pStyle w:val="null3"/>
              <w:ind w:firstLine="482"/>
              <w:jc w:val="both"/>
            </w:pPr>
            <w:r>
              <w:rPr>
                <w:rFonts w:ascii="仿宋_GB2312" w:hAnsi="仿宋_GB2312" w:cs="仿宋_GB2312" w:eastAsia="仿宋_GB2312"/>
              </w:rPr>
              <w:t>本项目为能源管理的节能诊断和改造方案与能耗基准线研究的能源审计咨询服务项目。</w:t>
            </w:r>
          </w:p>
          <w:p>
            <w:pPr>
              <w:pStyle w:val="null3"/>
              <w:ind w:firstLine="482"/>
              <w:jc w:val="both"/>
            </w:pPr>
            <w:r>
              <w:rPr>
                <w:rFonts w:ascii="仿宋_GB2312" w:hAnsi="仿宋_GB2312" w:cs="仿宋_GB2312" w:eastAsia="仿宋_GB2312"/>
              </w:rPr>
              <w:t>本项目核心目标为：通过专业能源审计咨询服务，针对两校区的能源使用情况完成节能诊断、研究科学合理的能耗基准线（能耗基线），助力学校建立完善能源管理体系，提供可落地的节能改造方案、最终实现节能降费、提升能源管理水平、推进节能降碳改造的核心诉求。审计对象为高新、临渭两个校区（涵盖教学楼、宿舍楼、实训楼、实训基地、运动场所等各类用能区域），需全面覆盖电、水、暖、燃气等全用能系统，杜绝形式化审计，确保审计成果可落地、可考核、可追溯，契合公共机构节能管理相关要求。</w:t>
            </w:r>
          </w:p>
          <w:p>
            <w:pPr>
              <w:pStyle w:val="null3"/>
              <w:ind w:firstLine="482"/>
              <w:jc w:val="both"/>
            </w:pPr>
            <w:r>
              <w:rPr>
                <w:rFonts w:ascii="仿宋_GB2312" w:hAnsi="仿宋_GB2312" w:cs="仿宋_GB2312" w:eastAsia="仿宋_GB2312"/>
              </w:rPr>
              <w:t>本项目招标范围包括但不限于：能源审计（含定量监测、数据核验、问题诊断、潜力测算等）、节能诊断、能耗基准线（能耗基线）研究与确立、节能改造方案编制（含落地实施路径、资金规划、托管衔接等）、能源管理体系完善建议、成效核验、长效技术咨询及复盘优化等全流程服务。</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1.核心服务目标</w:t>
            </w:r>
          </w:p>
          <w:p>
            <w:pPr>
              <w:pStyle w:val="null3"/>
            </w:pPr>
            <w:r>
              <w:rPr>
                <w:rFonts w:ascii="仿宋_GB2312" w:hAnsi="仿宋_GB2312" w:cs="仿宋_GB2312" w:eastAsia="仿宋_GB2312"/>
              </w:rPr>
              <w:t>通过本项目服务，实现以下核心目标：</w:t>
            </w:r>
          </w:p>
          <w:p>
            <w:pPr>
              <w:pStyle w:val="null3"/>
            </w:pPr>
            <w:r>
              <w:rPr>
                <w:rFonts w:ascii="仿宋_GB2312" w:hAnsi="仿宋_GB2312" w:cs="仿宋_GB2312" w:eastAsia="仿宋_GB2312"/>
              </w:rPr>
              <w:t>（1）完成全面、详实的能源审计，精准开展节能诊断，挖掘节能降费潜力，形成科学、专业的审计报告；</w:t>
            </w:r>
          </w:p>
          <w:p>
            <w:pPr>
              <w:pStyle w:val="null3"/>
            </w:pPr>
            <w:r>
              <w:rPr>
                <w:rFonts w:ascii="仿宋_GB2312" w:hAnsi="仿宋_GB2312" w:cs="仿宋_GB2312" w:eastAsia="仿宋_GB2312"/>
              </w:rPr>
              <w:t>（2）研究并确立科学合理的能耗基准线（能耗基线），明确基期能耗数据及修正机制，便于后续节能成效核验及结算；</w:t>
            </w:r>
          </w:p>
          <w:p>
            <w:pPr>
              <w:pStyle w:val="null3"/>
            </w:pPr>
            <w:r>
              <w:rPr>
                <w:rFonts w:ascii="仿宋_GB2312" w:hAnsi="仿宋_GB2312" w:cs="仿宋_GB2312" w:eastAsia="仿宋_GB2312"/>
              </w:rPr>
              <w:t>（3）制定可落地、具经济性的节能改造方案，明确实施路径、资金来源、责任分工，确保改造方案能切实落地并产生实效；</w:t>
            </w:r>
          </w:p>
          <w:p>
            <w:pPr>
              <w:pStyle w:val="null3"/>
            </w:pPr>
            <w:r>
              <w:rPr>
                <w:rFonts w:ascii="仿宋_GB2312" w:hAnsi="仿宋_GB2312" w:cs="仿宋_GB2312" w:eastAsia="仿宋_GB2312"/>
              </w:rPr>
              <w:t>（4）助力招标人完善能源管理体系，提升能源管理水平，建立长效节能管理机制；</w:t>
            </w:r>
          </w:p>
          <w:p>
            <w:pPr>
              <w:pStyle w:val="null3"/>
            </w:pPr>
            <w:r>
              <w:rPr>
                <w:rFonts w:ascii="仿宋_GB2312" w:hAnsi="仿宋_GB2312" w:cs="仿宋_GB2312" w:eastAsia="仿宋_GB2312"/>
              </w:rPr>
              <w:t>（5）实现约定的节能降费、碳减排目标，确保审计成果可落地、可考核、可追溯，建立全流程闭环管理体系。</w:t>
            </w:r>
          </w:p>
          <w:p>
            <w:pPr>
              <w:pStyle w:val="null3"/>
            </w:pPr>
            <w:r>
              <w:rPr>
                <w:rFonts w:ascii="仿宋_GB2312" w:hAnsi="仿宋_GB2312" w:cs="仿宋_GB2312" w:eastAsia="仿宋_GB2312"/>
              </w:rPr>
              <w:t>2.服务范围及内容</w:t>
            </w:r>
          </w:p>
          <w:p>
            <w:pPr>
              <w:pStyle w:val="null3"/>
            </w:pPr>
            <w:r>
              <w:rPr>
                <w:rFonts w:ascii="仿宋_GB2312" w:hAnsi="仿宋_GB2312" w:cs="仿宋_GB2312" w:eastAsia="仿宋_GB2312"/>
              </w:rPr>
              <w:t>（1）能源审计服务</w:t>
            </w:r>
          </w:p>
          <w:p>
            <w:pPr>
              <w:pStyle w:val="null3"/>
            </w:pPr>
            <w:r>
              <w:rPr>
                <w:rFonts w:ascii="仿宋_GB2312" w:hAnsi="仿宋_GB2312" w:cs="仿宋_GB2312" w:eastAsia="仿宋_GB2312"/>
              </w:rPr>
              <w:t>1）定量监测与数据核验：组建专业团队驻场审计（驻场时长不少于30天，人数不少于5人，结合项目规模确定），全面核查招标人各类用能系统（电、水、暖、燃气等），核验计量设备运行状态，按要求配备流量、温度、湿度、电力采集与分析仪器设备，采集近3年能耗数据及逐时气象、环境等相关数据，结合财务缴费凭证、三方结算数据，建立完整设备台账、运行记录，确保数据详实、可追溯；</w:t>
            </w:r>
          </w:p>
          <w:p>
            <w:pPr>
              <w:pStyle w:val="null3"/>
            </w:pPr>
            <w:r>
              <w:rPr>
                <w:rFonts w:ascii="仿宋_GB2312" w:hAnsi="仿宋_GB2312" w:cs="仿宋_GB2312" w:eastAsia="仿宋_GB2312"/>
              </w:rPr>
              <w:t>2）能耗分析：采用科学的处理方法，对逐时分类分项耗电、耗气、用水、用热数据进行处理与验证，量化各用能区域、各用能系统的能耗强度，分析能源利用效率、经济性及环境效果（碳排放量核算），精准识别低效用能环节及浪费问题；</w:t>
            </w:r>
          </w:p>
          <w:p>
            <w:pPr>
              <w:pStyle w:val="null3"/>
            </w:pPr>
            <w:r>
              <w:rPr>
                <w:rFonts w:ascii="仿宋_GB2312" w:hAnsi="仿宋_GB2312" w:cs="仿宋_GB2312" w:eastAsia="仿宋_GB2312"/>
              </w:rPr>
              <w:t>3）计量体系审计：完善计量边界、计量粒度，核查计量设备缺失、不准、未校准等问题，提出整改措施，编制完整、规范的能量平衡表、能源网络图和能流图；</w:t>
            </w:r>
          </w:p>
          <w:p>
            <w:pPr>
              <w:pStyle w:val="null3"/>
            </w:pPr>
            <w:r>
              <w:rPr>
                <w:rFonts w:ascii="仿宋_GB2312" w:hAnsi="仿宋_GB2312" w:cs="仿宋_GB2312" w:eastAsia="仿宋_GB2312"/>
              </w:rPr>
              <w:t>4）能源管理体系审计：核查招标人现有能源管理组织机构、管理制度、考核机制等，诊断管理层面问题，提出优化建议；</w:t>
            </w:r>
          </w:p>
          <w:p>
            <w:pPr>
              <w:pStyle w:val="null3"/>
            </w:pPr>
            <w:r>
              <w:rPr>
                <w:rFonts w:ascii="仿宋_GB2312" w:hAnsi="仿宋_GB2312" w:cs="仿宋_GB2312" w:eastAsia="仿宋_GB2312"/>
              </w:rPr>
              <w:t>5）问题诊断与障碍分析：精准梳理能源利用、计量管理、节能工作中的核心问题，深入剖析问题根源及主要障碍，形成专业、明晰的诊断结论；</w:t>
            </w:r>
          </w:p>
          <w:p>
            <w:pPr>
              <w:pStyle w:val="null3"/>
            </w:pPr>
            <w:r>
              <w:rPr>
                <w:rFonts w:ascii="仿宋_GB2312" w:hAnsi="仿宋_GB2312" w:cs="仿宋_GB2312" w:eastAsia="仿宋_GB2312"/>
              </w:rPr>
              <w:t>6）节能潜力测算：分专项量化节能降费、碳减排潜力，明确各专项节能率、费用节约额等量化指标，为节能改造方案提供支撑。</w:t>
            </w:r>
          </w:p>
          <w:p>
            <w:pPr>
              <w:pStyle w:val="null3"/>
            </w:pPr>
            <w:r>
              <w:rPr>
                <w:rFonts w:ascii="仿宋_GB2312" w:hAnsi="仿宋_GB2312" w:cs="仿宋_GB2312" w:eastAsia="仿宋_GB2312"/>
              </w:rPr>
              <w:t>（2）能耗基准线（能耗基线）研究与确立</w:t>
            </w:r>
          </w:p>
          <w:p>
            <w:pPr>
              <w:pStyle w:val="null3"/>
            </w:pPr>
            <w:r>
              <w:rPr>
                <w:rFonts w:ascii="仿宋_GB2312" w:hAnsi="仿宋_GB2312" w:cs="仿宋_GB2312" w:eastAsia="仿宋_GB2312"/>
              </w:rPr>
              <w:t>1）结合审计数据，开展边界条件和独立变量等参数模型的研究与建立，科学确立分区域、分项用能的能耗基准线，建立全能耗、用水、用气等相关模型并完成实际数据校核，明确基期能耗数据、核算方法及修正机制（应对季节、用能需求变化等因素），明确基线在报告期使用与调整方法及异议处理方法；</w:t>
            </w:r>
          </w:p>
          <w:p>
            <w:pPr>
              <w:pStyle w:val="null3"/>
            </w:pPr>
            <w:r>
              <w:rPr>
                <w:rFonts w:ascii="仿宋_GB2312" w:hAnsi="仿宋_GB2312" w:cs="仿宋_GB2312" w:eastAsia="仿宋_GB2312"/>
              </w:rPr>
              <w:t>2）能耗基线需经招标人及行业专家审核确认，确保科学合理、可执行、可核算，规避后续结算扯皮问题；</w:t>
            </w:r>
          </w:p>
          <w:p>
            <w:pPr>
              <w:pStyle w:val="null3"/>
            </w:pPr>
            <w:r>
              <w:rPr>
                <w:rFonts w:ascii="仿宋_GB2312" w:hAnsi="仿宋_GB2312" w:cs="仿宋_GB2312" w:eastAsia="仿宋_GB2312"/>
              </w:rPr>
              <w:t>3）提供能耗基线研究报告，明确基线确立依据、核算过程、修正方法及应用场景，确保报告内容详实、依据充分。</w:t>
            </w:r>
          </w:p>
          <w:p>
            <w:pPr>
              <w:pStyle w:val="null3"/>
            </w:pPr>
            <w:r>
              <w:rPr>
                <w:rFonts w:ascii="仿宋_GB2312" w:hAnsi="仿宋_GB2312" w:cs="仿宋_GB2312" w:eastAsia="仿宋_GB2312"/>
              </w:rPr>
              <w:t>（3）节能诊断与改造方案编制</w:t>
            </w:r>
          </w:p>
          <w:p>
            <w:pPr>
              <w:pStyle w:val="null3"/>
            </w:pPr>
            <w:r>
              <w:rPr>
                <w:rFonts w:ascii="仿宋_GB2312" w:hAnsi="仿宋_GB2312" w:cs="仿宋_GB2312" w:eastAsia="仿宋_GB2312"/>
              </w:rPr>
              <w:t>1）基于能源审计及节能诊断结果，制定针对性的节能降碳方案与规划，包括能效提升、新能源和可再生能源利用、灵活用能、智慧型综合改造等方案，明确面向5年的节能降碳规划，紧扣“问题对应措施、措施对应时限、时限对应责任、责任对应考核”逻辑；</w:t>
            </w:r>
          </w:p>
          <w:p>
            <w:pPr>
              <w:pStyle w:val="null3"/>
            </w:pPr>
            <w:r>
              <w:rPr>
                <w:rFonts w:ascii="仿宋_GB2312" w:hAnsi="仿宋_GB2312" w:cs="仿宋_GB2312" w:eastAsia="仿宋_GB2312"/>
              </w:rPr>
              <w:t>2）改造方案需明确具体实施步骤、资金来源（如托管方投入、节能收益分享等）、所需人员设备、实施周期、预期成效（与能耗基线对应，量化节能率、费用节约额等）；</w:t>
            </w:r>
          </w:p>
          <w:p>
            <w:pPr>
              <w:pStyle w:val="null3"/>
            </w:pPr>
            <w:r>
              <w:rPr>
                <w:rFonts w:ascii="仿宋_GB2312" w:hAnsi="仿宋_GB2312" w:cs="仿宋_GB2312" w:eastAsia="仿宋_GB2312"/>
              </w:rPr>
              <w:t>3）方案需衔接能源托管服务，明确托管服务商准入标准、责任分工、节能成效核算标准，杜绝“无投资托管方”“改造后成效无法核验”问题；</w:t>
            </w:r>
          </w:p>
          <w:p>
            <w:pPr>
              <w:pStyle w:val="null3"/>
            </w:pPr>
            <w:r>
              <w:rPr>
                <w:rFonts w:ascii="仿宋_GB2312" w:hAnsi="仿宋_GB2312" w:cs="仿宋_GB2312" w:eastAsia="仿宋_GB2312"/>
              </w:rPr>
              <w:t>4）方案编制完成后，组织招标人、行业专家等开展联合论证，论证通过后方可落地实施，确保方案可行性、完整性。</w:t>
            </w:r>
          </w:p>
          <w:p>
            <w:pPr>
              <w:pStyle w:val="null3"/>
            </w:pPr>
            <w:r>
              <w:rPr>
                <w:rFonts w:ascii="仿宋_GB2312" w:hAnsi="仿宋_GB2312" w:cs="仿宋_GB2312" w:eastAsia="仿宋_GB2312"/>
              </w:rPr>
              <w:t>（4）闭环管理服务</w:t>
            </w:r>
          </w:p>
          <w:p>
            <w:pPr>
              <w:pStyle w:val="null3"/>
            </w:pPr>
            <w:r>
              <w:rPr>
                <w:rFonts w:ascii="仿宋_GB2312" w:hAnsi="仿宋_GB2312" w:cs="仿宋_GB2312" w:eastAsia="仿宋_GB2312"/>
              </w:rPr>
              <w:t>投标人须建立“审计诊断—方案编制—落地实施—成效核验—复盘优化”全流程闭环管理体系，每个环节均明确责任、流程、时限及验收标准，具体要求如下：</w:t>
            </w:r>
          </w:p>
          <w:p>
            <w:pPr>
              <w:pStyle w:val="null3"/>
            </w:pPr>
            <w:r>
              <w:rPr>
                <w:rFonts w:ascii="仿宋_GB2312" w:hAnsi="仿宋_GB2312" w:cs="仿宋_GB2312" w:eastAsia="仿宋_GB2312"/>
              </w:rPr>
              <w:t>1）审计诊断闭环：确保审计数据可追溯、节能诊断有依据、潜力测算可验证、基线研判有支撑，审计报告经双重审核，不通过则限期整改；</w:t>
            </w:r>
          </w:p>
          <w:p>
            <w:pPr>
              <w:pStyle w:val="null3"/>
            </w:pPr>
            <w:r>
              <w:rPr>
                <w:rFonts w:ascii="仿宋_GB2312" w:hAnsi="仿宋_GB2312" w:cs="仿宋_GB2312" w:eastAsia="仿宋_GB2312"/>
              </w:rPr>
              <w:t>2）方案编制闭环：方案内容完整、论证充分，与审计结果、能耗基线高度契合，确保可落地、不流于形式；</w:t>
            </w:r>
          </w:p>
          <w:p>
            <w:pPr>
              <w:pStyle w:val="null3"/>
            </w:pPr>
            <w:r>
              <w:rPr>
                <w:rFonts w:ascii="仿宋_GB2312" w:hAnsi="仿宋_GB2312" w:cs="仿宋_GB2312" w:eastAsia="仿宋_GB2312"/>
              </w:rPr>
              <w:t>3）落地实施闭环：制定进度计划，建立质量管控体系，资金支付与进度、质量、节能成效（对照能耗基线核算）挂钩；</w:t>
            </w:r>
          </w:p>
          <w:p>
            <w:pPr>
              <w:pStyle w:val="null3"/>
            </w:pPr>
            <w:r>
              <w:rPr>
                <w:rFonts w:ascii="仿宋_GB2312" w:hAnsi="仿宋_GB2312" w:cs="仿宋_GB2312" w:eastAsia="仿宋_GB2312"/>
              </w:rPr>
              <w:t>4）成效核验闭环：由招标人、投标人、第三方机构联合核验，以能耗基线为基准，量化核验节能成效，未达标则限期整改；</w:t>
            </w:r>
          </w:p>
          <w:p>
            <w:pPr>
              <w:pStyle w:val="null3"/>
            </w:pPr>
            <w:r>
              <w:rPr>
                <w:rFonts w:ascii="仿宋_GB2312" w:hAnsi="仿宋_GB2312" w:cs="仿宋_GB2312" w:eastAsia="仿宋_GB2312"/>
              </w:rPr>
              <w:t>5）复盘优化闭环：成效核验，提供1年的技术咨询。</w:t>
            </w:r>
          </w:p>
          <w:p>
            <w:pPr>
              <w:pStyle w:val="null3"/>
            </w:pPr>
            <w:r>
              <w:rPr>
                <w:rFonts w:ascii="仿宋_GB2312" w:hAnsi="仿宋_GB2312" w:cs="仿宋_GB2312" w:eastAsia="仿宋_GB2312"/>
              </w:rPr>
              <w:t>（5） 其他服务</w:t>
            </w:r>
          </w:p>
          <w:p>
            <w:pPr>
              <w:pStyle w:val="null3"/>
            </w:pPr>
            <w:r>
              <w:rPr>
                <w:rFonts w:ascii="仿宋_GB2312" w:hAnsi="仿宋_GB2312" w:cs="仿宋_GB2312" w:eastAsia="仿宋_GB2312"/>
              </w:rPr>
              <w:t>1）协助招标人对接能源托管服务商，提供技术支持；</w:t>
            </w:r>
          </w:p>
          <w:p>
            <w:pPr>
              <w:pStyle w:val="null3"/>
            </w:pPr>
            <w:r>
              <w:rPr>
                <w:rFonts w:ascii="仿宋_GB2312" w:hAnsi="仿宋_GB2312" w:cs="仿宋_GB2312" w:eastAsia="仿宋_GB2312"/>
              </w:rPr>
              <w:t>2）能效验证，动态优化能耗基线；</w:t>
            </w:r>
          </w:p>
          <w:p>
            <w:pPr>
              <w:pStyle w:val="null3"/>
            </w:pPr>
            <w:r>
              <w:rPr>
                <w:rFonts w:ascii="仿宋_GB2312" w:hAnsi="仿宋_GB2312" w:cs="仿宋_GB2312" w:eastAsia="仿宋_GB2312"/>
              </w:rPr>
              <w:t>3）提供能源管理相关培训，提升招标人相关人员专业能力；</w:t>
            </w:r>
          </w:p>
          <w:p>
            <w:pPr>
              <w:pStyle w:val="null3"/>
            </w:pPr>
            <w:r>
              <w:rPr>
                <w:rFonts w:ascii="仿宋_GB2312" w:hAnsi="仿宋_GB2312" w:cs="仿宋_GB2312" w:eastAsia="仿宋_GB2312"/>
              </w:rPr>
              <w:t>3.服务质量要求</w:t>
            </w:r>
          </w:p>
          <w:p>
            <w:pPr>
              <w:pStyle w:val="null3"/>
            </w:pPr>
            <w:r>
              <w:rPr>
                <w:rFonts w:ascii="仿宋_GB2312" w:hAnsi="仿宋_GB2312" w:cs="仿宋_GB2312" w:eastAsia="仿宋_GB2312"/>
              </w:rPr>
              <w:t>（1）所有服务成果（审计报告、能耗基线研究报告、改造方案等）需符合国家《能源审计技术通则》《节能改造工程规范》等相关标准及招标人要求，符合公共机构节能服务质量标准；</w:t>
            </w:r>
          </w:p>
          <w:p>
            <w:pPr>
              <w:pStyle w:val="null3"/>
            </w:pPr>
            <w:r>
              <w:rPr>
                <w:rFonts w:ascii="仿宋_GB2312" w:hAnsi="仿宋_GB2312" w:cs="仿宋_GB2312" w:eastAsia="仿宋_GB2312"/>
              </w:rPr>
              <w:t>（2）审计数据详实、数据分析科学、问题诊断专业、能耗基线合理、改造方案可落地，无形式化内容；</w:t>
            </w:r>
          </w:p>
          <w:p>
            <w:pPr>
              <w:pStyle w:val="null3"/>
            </w:pPr>
            <w:r>
              <w:rPr>
                <w:rFonts w:ascii="仿宋_GB2312" w:hAnsi="仿宋_GB2312" w:cs="仿宋_GB2312" w:eastAsia="仿宋_GB2312"/>
              </w:rPr>
              <w:t>（3）服务过程中，及时响应招标人需求，定期上报服务进度，确保服务按时完成；</w:t>
            </w:r>
          </w:p>
          <w:p>
            <w:pPr>
              <w:pStyle w:val="null3"/>
            </w:pPr>
            <w:r>
              <w:rPr>
                <w:rFonts w:ascii="仿宋_GB2312" w:hAnsi="仿宋_GB2312" w:cs="仿宋_GB2312" w:eastAsia="仿宋_GB2312"/>
              </w:rPr>
              <w:t>（4）服务成果需通过招标人及行业专家双重审核，审核不通过的，投标人需限期修改完善，直至符合要求，确保服务质量达标。</w:t>
            </w:r>
          </w:p>
          <w:p>
            <w:pPr>
              <w:pStyle w:val="null3"/>
            </w:pPr>
            <w:r>
              <w:rPr>
                <w:rFonts w:ascii="仿宋_GB2312" w:hAnsi="仿宋_GB2312" w:cs="仿宋_GB2312" w:eastAsia="仿宋_GB2312"/>
              </w:rPr>
              <w:t>4.服务期限要求</w:t>
            </w:r>
          </w:p>
          <w:p>
            <w:pPr>
              <w:pStyle w:val="null3"/>
            </w:pPr>
            <w:r>
              <w:rPr>
                <w:rFonts w:ascii="仿宋_GB2312" w:hAnsi="仿宋_GB2312" w:cs="仿宋_GB2312" w:eastAsia="仿宋_GB2312"/>
              </w:rPr>
              <w:t>（1）自合同签订之日起60个工作日内，完成能源审计、节能诊断、能耗基线确立、节能改造方案编制及论证；</w:t>
            </w:r>
          </w:p>
          <w:p>
            <w:pPr>
              <w:pStyle w:val="null3"/>
            </w:pPr>
            <w:r>
              <w:rPr>
                <w:rFonts w:ascii="仿宋_GB2312" w:hAnsi="仿宋_GB2312" w:cs="仿宋_GB2312" w:eastAsia="仿宋_GB2312"/>
              </w:rPr>
              <w:t>（2）落地指导完成后，提供不少于1年的技术咨询服务，包括能耗基线动态优化、成效核验等。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根据项目情况合理配置。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根据项目情况合理配置。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国家及行业相关能源审计、节能改造、能耗基线确立的规范标准，符合公共机构节能管理相关要求，确保审计数据详实、数据分析科学、问题诊断专业、改造方案可落地、能耗基线科学合理，通过招标人及行业专家双重审核，实现约定的节能降费、碳减排及能源管理水平提升目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自合同签订之日起60个工作日内完成全部核心审计、咨询服务及改造方案落地指导，后续提供不少于1年的技术咨询服务（含能耗基线动态优化、成效核验等）。</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陕西铁路工程职业技术学院高新、临渭两个校区。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成交人完成全部服务内容并提交最终服务成果资料，采购人完成签收留存后，即为履约完毕，满足付款及项目闭环条件。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进度款，合同签订并生效后，达到付款条件起10个工作日内，支付合同总金额的40.0%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进度款，提交最终服务成果资料后，乙方持《成果资料签收单》原件和全额增值税专用发票，达到付款条件起10个工作日内，支付合同总金额的60.0%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 2.成交人在领取成交通知书时提供一正两副纸质竞争性磋商响应文件，纸质竞争性磋商响应文件采用书籍（胶装）方式装订成册，与电子竞争性磋商响应文件一致的签字、盖章的完整版本。3.保证金汇款时请备注项目编号，保证金的退还：自成交通知书发出之日起5个工作日内退还未成交人的磋商保证金,自采购合同签订之日起5个工作日内退还成交人的磋商保证金。以保函形式交纳的，供应商应在磋商截止前将清晰PDF扫描件发至指定邮箱（1061535317@qq.com）。 4.采购人应按照磋商文件和成交人磋商响应文件，在成交通知书发出之日起25日内签订合同。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供应商需在项目电子化交易系统中按要求上传相应证明文件并进行电子签章。此项审查内容与特殊资格条件中的“财务状况报告”为同一审查内容。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社会保障资金缴纳证明：提供截止至开标时间前一年内任意一个月的社保缴纳凭据或社保机构开具的社会保险参保缴纳情况证明（依法不需要缴纳社会保障资金的供应商应提供相关证明）；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供应商名称应与获取磋商文件的单位名称一致。</w:t>
            </w:r>
          </w:p>
        </w:tc>
        <w:tc>
          <w:tcPr>
            <w:tcW w:type="dxa" w:w="1661"/>
          </w:tcPr>
          <w:p>
            <w:pPr>
              <w:pStyle w:val="null3"/>
            </w:pPr>
            <w:r>
              <w:rPr>
                <w:rFonts w:ascii="仿宋_GB2312" w:hAnsi="仿宋_GB2312" w:cs="仿宋_GB2312" w:eastAsia="仿宋_GB2312"/>
              </w:rPr>
              <w:t>中小企业声明函 报价表 拒绝政府采购领域商业贿赂承诺书 响应文件封面 服务条款响应偏离表（格式） 承诺书（格式） 商务条款响应偏离表（格式） 资格证明文件 残疾人福利性单位声明函 标的清单 法定代表人授权委托书（格式）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除明确允许供应商可以自行编写的外，磋商响应文件应按照磋商文件给定的格式编制。</w:t>
            </w:r>
          </w:p>
        </w:tc>
        <w:tc>
          <w:tcPr>
            <w:tcW w:type="dxa" w:w="1661"/>
          </w:tcPr>
          <w:p>
            <w:pPr>
              <w:pStyle w:val="null3"/>
            </w:pPr>
            <w:r>
              <w:rPr>
                <w:rFonts w:ascii="仿宋_GB2312" w:hAnsi="仿宋_GB2312" w:cs="仿宋_GB2312" w:eastAsia="仿宋_GB2312"/>
              </w:rPr>
              <w:t>中小企业声明函 报价表 拒绝政府采购领域商业贿赂承诺书 响应文件封面 服务条款响应偏离表（格式） 承诺书（格式） 商务条款响应偏离表（格式） 资格证明文件 残疾人福利性单位声明函 标的清单 法定代表人授权委托书（格式）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磋商响应文件应按照磋商文件的要求盖章签字。</w:t>
            </w:r>
          </w:p>
        </w:tc>
        <w:tc>
          <w:tcPr>
            <w:tcW w:type="dxa" w:w="1661"/>
          </w:tcPr>
          <w:p>
            <w:pPr>
              <w:pStyle w:val="null3"/>
            </w:pPr>
            <w:r>
              <w:rPr>
                <w:rFonts w:ascii="仿宋_GB2312" w:hAnsi="仿宋_GB2312" w:cs="仿宋_GB2312" w:eastAsia="仿宋_GB2312"/>
              </w:rPr>
              <w:t>中小企业声明函 报价表 拒绝政府采购领域商业贿赂承诺书 服务条款响应偏离表（格式） 响应文件封面 承诺书（格式） 商务条款响应偏离表（格式） 资格证明文件 残疾人福利性单位声明函 标的清单 法定代表人授权委托书（格式）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磋商保证金交纳凭证或担保函；（磋商保证交纳金凭证为银行凭证，担保函为财政部门认可的政府采购信用担保机构出具）</w:t>
            </w:r>
          </w:p>
        </w:tc>
        <w:tc>
          <w:tcPr>
            <w:tcW w:type="dxa" w:w="1661"/>
          </w:tcPr>
          <w:p>
            <w:pPr>
              <w:pStyle w:val="null3"/>
            </w:pPr>
            <w:r>
              <w:rPr>
                <w:rFonts w:ascii="仿宋_GB2312" w:hAnsi="仿宋_GB2312" w:cs="仿宋_GB2312" w:eastAsia="仿宋_GB2312"/>
              </w:rPr>
              <w:t>磋商保证金交纳凭证或担保函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完全理解接受竞争性磋商文件商务条款</w:t>
            </w:r>
          </w:p>
        </w:tc>
        <w:tc>
          <w:tcPr>
            <w:tcW w:type="dxa" w:w="1661"/>
          </w:tcPr>
          <w:p>
            <w:pPr>
              <w:pStyle w:val="null3"/>
            </w:pPr>
            <w:r>
              <w:rPr>
                <w:rFonts w:ascii="仿宋_GB2312" w:hAnsi="仿宋_GB2312" w:cs="仿宋_GB2312" w:eastAsia="仿宋_GB2312"/>
              </w:rPr>
              <w:t>商务条款响应偏离表（格式）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采购人不能接受的附加条件</w:t>
            </w:r>
          </w:p>
        </w:tc>
        <w:tc>
          <w:tcPr>
            <w:tcW w:type="dxa" w:w="3322"/>
          </w:tcPr>
          <w:p>
            <w:pPr>
              <w:pStyle w:val="null3"/>
            </w:pPr>
            <w:r>
              <w:rPr>
                <w:rFonts w:ascii="仿宋_GB2312" w:hAnsi="仿宋_GB2312" w:cs="仿宋_GB2312" w:eastAsia="仿宋_GB2312"/>
              </w:rPr>
              <w:t>磋商响应文件不得含有采购人不能接受的附加条件。</w:t>
            </w:r>
          </w:p>
        </w:tc>
        <w:tc>
          <w:tcPr>
            <w:tcW w:type="dxa" w:w="1661"/>
          </w:tcPr>
          <w:p>
            <w:pPr>
              <w:pStyle w:val="null3"/>
            </w:pPr>
            <w:r>
              <w:rPr>
                <w:rFonts w:ascii="仿宋_GB2312" w:hAnsi="仿宋_GB2312" w:cs="仿宋_GB2312" w:eastAsia="仿宋_GB2312"/>
              </w:rPr>
              <w:t>能源审计服务及报告 中小企业声明函 业绩 供应商认为有必要说明的事宜（若有） 磋商保证金交纳凭证或担保函 报价表 项目团队 数据处理能力 拒绝政府采购领域商业贿赂承诺书 响应文件封面 服务条款响应偏离表（格式） 承诺书（格式） 服务与保障承诺 商务条款响应偏离表（格式） 资格证明文件 节能降碳方案与规划 校园文化 残疾人福利性单位声明函 用能系统与数据收集采集 标的清单 法定代表人授权委托书（格式） 响应函 监狱企业的证明文件 基准能耗研究与基线模型</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无法律、法规和磋商文件规定的其他无效响应情形。</w:t>
            </w:r>
          </w:p>
        </w:tc>
        <w:tc>
          <w:tcPr>
            <w:tcW w:type="dxa" w:w="1661"/>
          </w:tcPr>
          <w:p>
            <w:pPr>
              <w:pStyle w:val="null3"/>
            </w:pPr>
            <w:r>
              <w:rPr>
                <w:rFonts w:ascii="仿宋_GB2312" w:hAnsi="仿宋_GB2312" w:cs="仿宋_GB2312" w:eastAsia="仿宋_GB2312"/>
              </w:rPr>
              <w:t>能源审计服务及报告 中小企业声明函 业绩 供应商认为有必要说明的事宜（若有） 磋商保证金交纳凭证或担保函 报价表 项目团队 数据处理能力 拒绝政府采购领域商业贿赂承诺书 服务条款响应偏离表（格式） 响应文件封面 承诺书（格式） 服务与保障承诺 商务条款响应偏离表（格式） 资格证明文件 节能降碳方案与规划 校园文化 残疾人福利性单位声明函 用能系统与数据收集采集 标的清单 法定代表人授权委托书（格式） 响应函 监狱企业的证明文件 基准能耗研究与基线模型</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供应商需提供2021年1月1日至今同类项目业绩，每份计2分，满分6分。业绩须提供合同复印件、报告书，否则不予计分。 同类项目定义：能源诊断、改造方案、审计咨询服务业绩（含节能诊断、能耗基线、改造方案等内容）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拟派项目团队配备能源审计、能源管理、暖通空调、机电设备等具有相关行业专业资质证书的人员，每人限计1个专业，不重复计分；每提供1名符合要求的人员计1分，计满4分为止。 注：提供①人员行业专业资质证书复印件；②与投标人签订的有效劳动合同复印件；③开标前一年内任意3个月的社保缴纳证明；同一人员不得跨专业重复计分，否则该项不计分。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w:t>
            </w:r>
          </w:p>
        </w:tc>
      </w:tr>
      <w:tr>
        <w:tc>
          <w:tcPr>
            <w:tcW w:type="dxa" w:w="831"/>
            <w:vMerge/>
          </w:tcPr>
          <w:p/>
        </w:tc>
        <w:tc>
          <w:tcPr>
            <w:tcW w:type="dxa" w:w="1661"/>
          </w:tcPr>
          <w:p>
            <w:pPr>
              <w:pStyle w:val="null3"/>
            </w:pPr>
            <w:r>
              <w:rPr>
                <w:rFonts w:ascii="仿宋_GB2312" w:hAnsi="仿宋_GB2312" w:cs="仿宋_GB2312" w:eastAsia="仿宋_GB2312"/>
              </w:rPr>
              <w:t>用能系统与数据收集采集</w:t>
            </w:r>
          </w:p>
        </w:tc>
        <w:tc>
          <w:tcPr>
            <w:tcW w:type="dxa" w:w="2492"/>
          </w:tcPr>
          <w:p>
            <w:pPr>
              <w:pStyle w:val="null3"/>
            </w:pPr>
            <w:r>
              <w:rPr>
                <w:rFonts w:ascii="仿宋_GB2312" w:hAnsi="仿宋_GB2312" w:cs="仿宋_GB2312" w:eastAsia="仿宋_GB2312"/>
              </w:rPr>
              <w:t>一、评审内容 投标人提出针对于本项目用能系统与数据收集采集方案及与项目相关的流量、温度、湿度、电力采集与分析仪器设备等采集设备，内容包含但不限于：①用能用水的建筑、人员、设施设备、绿化、卫生需求和详细运行时间表等边界条件收集齐备；②气象数据等独立变量收集齐备；③用水用电用气用热的设备台账；④水电气暖等耗能耗水设备等运行时间与关键参数记录；⑤水电气暖等耗能耗水数据；⑥供暖、供冷、照明、新风等环境参数记录；⑦三方商业用能用水用气用热独立结算数据与方式不漏项；⑧水电气热等单价与结算方式明确；⑨补齐设计与施工改造偏移的能源与水市政系统图；⑩整理收集数据分类分项分时成体系。 二、评审标准 完整性：方案须全面，对评审内容中的各项要求有详细描述及说明； 可实施性：切合本项目实际情况，实施步骤清晰、合理； 针对性：方案能够紧扣项目实际情况，内容科学合理。 三、赋分标准 每有一项缺项扣1分；每有一处内容存在缺陷，扣0.5分，扣完为止。未提供不得分。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用能系统与数据收集采集</w:t>
            </w:r>
          </w:p>
        </w:tc>
      </w:tr>
      <w:tr>
        <w:tc>
          <w:tcPr>
            <w:tcW w:type="dxa" w:w="831"/>
            <w:vMerge/>
          </w:tcPr>
          <w:p/>
        </w:tc>
        <w:tc>
          <w:tcPr>
            <w:tcW w:type="dxa" w:w="1661"/>
          </w:tcPr>
          <w:p>
            <w:pPr>
              <w:pStyle w:val="null3"/>
            </w:pPr>
            <w:r>
              <w:rPr>
                <w:rFonts w:ascii="仿宋_GB2312" w:hAnsi="仿宋_GB2312" w:cs="仿宋_GB2312" w:eastAsia="仿宋_GB2312"/>
              </w:rPr>
              <w:t>数据处理能力</w:t>
            </w:r>
          </w:p>
        </w:tc>
        <w:tc>
          <w:tcPr>
            <w:tcW w:type="dxa" w:w="2492"/>
          </w:tcPr>
          <w:p>
            <w:pPr>
              <w:pStyle w:val="null3"/>
            </w:pPr>
            <w:r>
              <w:rPr>
                <w:rFonts w:ascii="仿宋_GB2312" w:hAnsi="仿宋_GB2312" w:cs="仿宋_GB2312" w:eastAsia="仿宋_GB2312"/>
              </w:rPr>
              <w:t>一、评审内容 供应商提出针对于本项目两校区能源相关数据处理的能力与验证总体服务方案，包含但不限于：①提供逐时建筑气象数据；②提供逐时光伏气象数据；③提供逐时环境数据和终端设备用能数据；④提供逐时分类分项的耗电数据、耗气数据、用水数据、用热数据；⑤提供用能工况时间表数据;⑥提供本项目科学合理的数据处理与验证方法。 二、评审标准 完整性：方案须全面，对评审内容中的各项要求有详细描述及说明； 可实施性：切合本项目实际情况，实施步骤清晰、合理； 针对性：方案能够紧扣项目实际情况，内容科学合理。 三、赋分标准 每有一项缺项扣3分；每有一处内容存在缺陷，扣1分，扣完为止。未提供不得分。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数据处理能力</w:t>
            </w:r>
          </w:p>
        </w:tc>
      </w:tr>
      <w:tr>
        <w:tc>
          <w:tcPr>
            <w:tcW w:type="dxa" w:w="831"/>
            <w:vMerge/>
          </w:tcPr>
          <w:p/>
        </w:tc>
        <w:tc>
          <w:tcPr>
            <w:tcW w:type="dxa" w:w="1661"/>
          </w:tcPr>
          <w:p>
            <w:pPr>
              <w:pStyle w:val="null3"/>
            </w:pPr>
            <w:r>
              <w:rPr>
                <w:rFonts w:ascii="仿宋_GB2312" w:hAnsi="仿宋_GB2312" w:cs="仿宋_GB2312" w:eastAsia="仿宋_GB2312"/>
              </w:rPr>
              <w:t>能源审计服务及报告</w:t>
            </w:r>
          </w:p>
        </w:tc>
        <w:tc>
          <w:tcPr>
            <w:tcW w:type="dxa" w:w="2492"/>
          </w:tcPr>
          <w:p>
            <w:pPr>
              <w:pStyle w:val="null3"/>
            </w:pPr>
            <w:r>
              <w:rPr>
                <w:rFonts w:ascii="仿宋_GB2312" w:hAnsi="仿宋_GB2312" w:cs="仿宋_GB2312" w:eastAsia="仿宋_GB2312"/>
              </w:rPr>
              <w:t>一、评审内容 供应商须严格依据《公共机构能源审计技术导则》（GB/T 31342-2014）、《能源审计技术通则》（GB/T 17166-2019）、《公共机构能源费用托管实施规程》（JS/T 301-2024）及《公共机构能源审计管理暂行办法》（国家发展改革委、国管局令第32号），结合本项目两个校区建筑布局、用能设备、能耗现状等实际情况，编制针对性、可落地的能源审计总体服务方案及审计报告编制框架。方案须包含但不限于：项目审计范围、审计工作依据、项目重难点分析、实施流程与进度安排、数据采集与核查方法、能耗分析评价体系、质量管控措施、人员保障措施、安全及保密管理、审计报告成果体系等核心内容。 二、评审标准 完整性：方案须全面，对评审内容中的各项要求有详细描述及说明； 可实施性：切合本项目实际情况，实施步骤清晰、合理； 针对性：方案能够紧扣项目实际情况，内容科学合理。 三、赋分标准 每有一项缺项扣2分；每有一处内容存在缺陷，扣1分，扣完为止。未提供不得分。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能源审计服务及报告</w:t>
            </w:r>
          </w:p>
        </w:tc>
      </w:tr>
      <w:tr>
        <w:tc>
          <w:tcPr>
            <w:tcW w:type="dxa" w:w="831"/>
            <w:vMerge/>
          </w:tcPr>
          <w:p/>
        </w:tc>
        <w:tc>
          <w:tcPr>
            <w:tcW w:type="dxa" w:w="1661"/>
          </w:tcPr>
          <w:p>
            <w:pPr>
              <w:pStyle w:val="null3"/>
            </w:pPr>
            <w:r>
              <w:rPr>
                <w:rFonts w:ascii="仿宋_GB2312" w:hAnsi="仿宋_GB2312" w:cs="仿宋_GB2312" w:eastAsia="仿宋_GB2312"/>
              </w:rPr>
              <w:t>基准能耗研究与基线模型</w:t>
            </w:r>
          </w:p>
        </w:tc>
        <w:tc>
          <w:tcPr>
            <w:tcW w:type="dxa" w:w="2492"/>
          </w:tcPr>
          <w:p>
            <w:pPr>
              <w:pStyle w:val="null3"/>
            </w:pPr>
            <w:r>
              <w:rPr>
                <w:rFonts w:ascii="仿宋_GB2312" w:hAnsi="仿宋_GB2312" w:cs="仿宋_GB2312" w:eastAsia="仿宋_GB2312"/>
              </w:rPr>
              <w:t>一、评审内容 投标人提出针对于本项目两校区基准能耗研究与基线模型的总体服务方案，方案内容包含但不限于：①两校区边界条件、独立变量等参数模型研究及全能耗模型搭建方案；②3年实际能耗数据模型校核方案；③用水、供水搭建及实际使用的模型校核方案；④用气模型搭建及实际使用的模型校核方案；⑤基准期能耗基线模型建立、数据支撑及报告期基线使用与调整细则方案；⑥M&amp;V测量数据处理结果异议处理方法及流程方案，确保满足审计与后续管控需求。 二、评审标准 完整性：方案须全面，对评审内容中的各项要求有详细描述及说明； 可实施性：切合本项目实际情况，实施步骤清晰、合理； 针对性：方案能够紧扣项目实际情况，内容科学合理。 三、赋分标准 每有一项缺项扣2分；每有一处内容存在缺陷，扣1分，扣完为止。未提供不得分。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基准能耗研究与基线模型</w:t>
            </w:r>
          </w:p>
        </w:tc>
      </w:tr>
      <w:tr>
        <w:tc>
          <w:tcPr>
            <w:tcW w:type="dxa" w:w="831"/>
            <w:vMerge/>
          </w:tcPr>
          <w:p/>
        </w:tc>
        <w:tc>
          <w:tcPr>
            <w:tcW w:type="dxa" w:w="1661"/>
          </w:tcPr>
          <w:p>
            <w:pPr>
              <w:pStyle w:val="null3"/>
            </w:pPr>
            <w:r>
              <w:rPr>
                <w:rFonts w:ascii="仿宋_GB2312" w:hAnsi="仿宋_GB2312" w:cs="仿宋_GB2312" w:eastAsia="仿宋_GB2312"/>
              </w:rPr>
              <w:t>节能降碳方案与规划</w:t>
            </w:r>
          </w:p>
        </w:tc>
        <w:tc>
          <w:tcPr>
            <w:tcW w:type="dxa" w:w="2492"/>
          </w:tcPr>
          <w:p>
            <w:pPr>
              <w:pStyle w:val="null3"/>
            </w:pPr>
            <w:r>
              <w:rPr>
                <w:rFonts w:ascii="仿宋_GB2312" w:hAnsi="仿宋_GB2312" w:cs="仿宋_GB2312" w:eastAsia="仿宋_GB2312"/>
              </w:rPr>
              <w:t>一、评审内容 投标人提出针对于本项目两校区节能降碳方案与规划的总体服务方案，方案内容包含但不限于：①制定针对性强、可落地的能效提升方案；②制定贴合项目实际、经济性强的新能源和可再生能源利用方案；③制定面向节费、节能、降碳、提质的灵活用能方案，兼顾实用性与经济性；④制定面向绿色低碳高效的智慧型综合改造方案，技术先进、可落地；⑤制定面向5年的节能降碳规划方案，目标明确、路径清晰。 二、评审标准 完整性：方案须全面，对评审内容中的各项要求有详细描述及说明； 可实施性：切合本项目实际情况，实施步骤清晰、合理； 针对性：方案能够紧扣项目实际情况，内容科学合理。 三、赋分标准 每有一项缺项扣2分；每有一处内容存在缺陷，扣1分，扣完为止。未提供不得分。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节能降碳方案与规划</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供应商应遵循学校校园文化育人体系，配合学校营造良好的校园育人环境，围绕环境育人、文化育人、活动育人、服务育人等各个方面，提供相应的承诺方案；完全满足计2分。有缺项或未提供不得分。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校园文化</w:t>
            </w:r>
          </w:p>
        </w:tc>
      </w:tr>
      <w:tr>
        <w:tc>
          <w:tcPr>
            <w:tcW w:type="dxa" w:w="831"/>
            <w:vMerge/>
          </w:tcPr>
          <w:p/>
        </w:tc>
        <w:tc>
          <w:tcPr>
            <w:tcW w:type="dxa" w:w="1661"/>
          </w:tcPr>
          <w:p>
            <w:pPr>
              <w:pStyle w:val="null3"/>
            </w:pPr>
            <w:r>
              <w:rPr>
                <w:rFonts w:ascii="仿宋_GB2312" w:hAnsi="仿宋_GB2312" w:cs="仿宋_GB2312" w:eastAsia="仿宋_GB2312"/>
              </w:rPr>
              <w:t>服务与保障承诺</w:t>
            </w:r>
          </w:p>
        </w:tc>
        <w:tc>
          <w:tcPr>
            <w:tcW w:type="dxa" w:w="2492"/>
          </w:tcPr>
          <w:p>
            <w:pPr>
              <w:pStyle w:val="null3"/>
            </w:pPr>
            <w:r>
              <w:rPr>
                <w:rFonts w:ascii="仿宋_GB2312" w:hAnsi="仿宋_GB2312" w:cs="仿宋_GB2312" w:eastAsia="仿宋_GB2312"/>
              </w:rPr>
              <w:t>一、评审内容 投标人提出针对于本项目的服务保障承诺方案，方案内容包含但不限于：①质量保障承诺（明确审计成果精准度、合规性管控标准）；②进度保障承诺（明确各阶段时间节点、衔接流程及延误处置措施）；③售后保障承诺（明确响应时限、上门服务时效及技术支持内容）；④闭环执行承诺（明确问题反馈、整改、复核、归档全流程，形成完整管理闭环），确保契合项目审计需求。 二、评审标准 完整性：方案须全面，对评审内容中的各项要求有详细描述及说明； 可实施性：切合本项目实际情况，实施步骤清晰、合理； 针对性：方案能够紧扣项目实际情况，内容科学合理。 三、赋分标准 每有一项缺项扣1分；每有一处内容存在缺陷，扣0.5分，扣完为止。未提供不得分。 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服务与保障承诺</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详见附件：服务条款响应偏离表（格式）</w:t>
      </w:r>
    </w:p>
    <w:p>
      <w:pPr>
        <w:pStyle w:val="null3"/>
        <w:ind w:firstLine="960"/>
      </w:pPr>
      <w:r>
        <w:rPr>
          <w:rFonts w:ascii="仿宋_GB2312" w:hAnsi="仿宋_GB2312" w:cs="仿宋_GB2312" w:eastAsia="仿宋_GB2312"/>
        </w:rPr>
        <w:t>详见附件：商务条款响应偏离表（格式）</w:t>
      </w:r>
    </w:p>
    <w:p>
      <w:pPr>
        <w:pStyle w:val="null3"/>
        <w:ind w:firstLine="960"/>
      </w:pPr>
      <w:r>
        <w:rPr>
          <w:rFonts w:ascii="仿宋_GB2312" w:hAnsi="仿宋_GB2312" w:cs="仿宋_GB2312" w:eastAsia="仿宋_GB2312"/>
        </w:rPr>
        <w:t>详见附件：法定代表人授权委托书（格式）</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详见附件：承诺书（格式）</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详见附件：项目团队</w:t>
      </w:r>
    </w:p>
    <w:p>
      <w:pPr>
        <w:pStyle w:val="null3"/>
        <w:ind w:firstLine="960"/>
      </w:pPr>
      <w:r>
        <w:rPr>
          <w:rFonts w:ascii="仿宋_GB2312" w:hAnsi="仿宋_GB2312" w:cs="仿宋_GB2312" w:eastAsia="仿宋_GB2312"/>
        </w:rPr>
        <w:t>详见附件：用能系统与数据收集采集</w:t>
      </w:r>
    </w:p>
    <w:p>
      <w:pPr>
        <w:pStyle w:val="null3"/>
        <w:ind w:firstLine="960"/>
      </w:pPr>
      <w:r>
        <w:rPr>
          <w:rFonts w:ascii="仿宋_GB2312" w:hAnsi="仿宋_GB2312" w:cs="仿宋_GB2312" w:eastAsia="仿宋_GB2312"/>
        </w:rPr>
        <w:t>详见附件：数据处理能力</w:t>
      </w:r>
    </w:p>
    <w:p>
      <w:pPr>
        <w:pStyle w:val="null3"/>
        <w:ind w:firstLine="960"/>
      </w:pPr>
      <w:r>
        <w:rPr>
          <w:rFonts w:ascii="仿宋_GB2312" w:hAnsi="仿宋_GB2312" w:cs="仿宋_GB2312" w:eastAsia="仿宋_GB2312"/>
        </w:rPr>
        <w:t>详见附件：能源审计服务及报告</w:t>
      </w:r>
    </w:p>
    <w:p>
      <w:pPr>
        <w:pStyle w:val="null3"/>
        <w:ind w:firstLine="960"/>
      </w:pPr>
      <w:r>
        <w:rPr>
          <w:rFonts w:ascii="仿宋_GB2312" w:hAnsi="仿宋_GB2312" w:cs="仿宋_GB2312" w:eastAsia="仿宋_GB2312"/>
        </w:rPr>
        <w:t>详见附件：基准能耗研究与基线模型</w:t>
      </w:r>
    </w:p>
    <w:p>
      <w:pPr>
        <w:pStyle w:val="null3"/>
        <w:ind w:firstLine="960"/>
      </w:pPr>
      <w:r>
        <w:rPr>
          <w:rFonts w:ascii="仿宋_GB2312" w:hAnsi="仿宋_GB2312" w:cs="仿宋_GB2312" w:eastAsia="仿宋_GB2312"/>
        </w:rPr>
        <w:t>详见附件：节能降碳方案与规划</w:t>
      </w:r>
    </w:p>
    <w:p>
      <w:pPr>
        <w:pStyle w:val="null3"/>
        <w:ind w:firstLine="960"/>
      </w:pPr>
      <w:r>
        <w:rPr>
          <w:rFonts w:ascii="仿宋_GB2312" w:hAnsi="仿宋_GB2312" w:cs="仿宋_GB2312" w:eastAsia="仿宋_GB2312"/>
        </w:rPr>
        <w:t>详见附件：校园文化</w:t>
      </w:r>
    </w:p>
    <w:p>
      <w:pPr>
        <w:pStyle w:val="null3"/>
        <w:ind w:firstLine="960"/>
      </w:pPr>
      <w:r>
        <w:rPr>
          <w:rFonts w:ascii="仿宋_GB2312" w:hAnsi="仿宋_GB2312" w:cs="仿宋_GB2312" w:eastAsia="仿宋_GB2312"/>
        </w:rPr>
        <w:t>详见附件：服务与保障承诺</w:t>
      </w:r>
    </w:p>
    <w:p>
      <w:pPr>
        <w:pStyle w:val="null3"/>
        <w:ind w:firstLine="960"/>
      </w:pPr>
      <w:r>
        <w:rPr>
          <w:rFonts w:ascii="仿宋_GB2312" w:hAnsi="仿宋_GB2312" w:cs="仿宋_GB2312" w:eastAsia="仿宋_GB2312"/>
        </w:rPr>
        <w:t>详见附件：磋商保证金交纳凭证或担保函</w:t>
      </w:r>
    </w:p>
    <w:p>
      <w:pPr>
        <w:pStyle w:val="null3"/>
        <w:ind w:firstLine="960"/>
      </w:pPr>
      <w:r>
        <w:rPr>
          <w:rFonts w:ascii="仿宋_GB2312" w:hAnsi="仿宋_GB2312" w:cs="仿宋_GB2312" w:eastAsia="仿宋_GB2312"/>
        </w:rPr>
        <w:t>详见附件：供应商认为有必要说明的事宜（若有）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