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CC2A1">
      <w:pPr>
        <w:pStyle w:val="4"/>
        <w:spacing w:line="430" w:lineRule="exact"/>
        <w:jc w:val="center"/>
        <w:rPr>
          <w:rFonts w:ascii="仿宋" w:hAnsi="仿宋" w:eastAsia="仿宋" w:cs="仿宋"/>
          <w:b/>
          <w:sz w:val="36"/>
        </w:rPr>
      </w:pPr>
    </w:p>
    <w:p w14:paraId="46E34DF7">
      <w:pPr>
        <w:pStyle w:val="4"/>
        <w:spacing w:line="430" w:lineRule="exact"/>
        <w:jc w:val="center"/>
        <w:rPr>
          <w:rFonts w:ascii="仿宋" w:hAnsi="仿宋" w:eastAsia="仿宋" w:cs="仿宋"/>
        </w:rPr>
      </w:pPr>
      <w:r>
        <w:rPr>
          <w:rFonts w:ascii="仿宋" w:hAnsi="仿宋" w:eastAsia="仿宋" w:cs="仿宋"/>
          <w:b/>
          <w:sz w:val="36"/>
        </w:rPr>
        <w:t>拟签订采购合同文本</w:t>
      </w:r>
    </w:p>
    <w:p w14:paraId="1932CE68">
      <w:pPr>
        <w:pStyle w:val="4"/>
        <w:spacing w:line="360" w:lineRule="auto"/>
        <w:jc w:val="center"/>
        <w:rPr>
          <w:rFonts w:ascii="仿宋" w:hAnsi="仿宋" w:eastAsia="仿宋" w:cs="仿宋"/>
          <w:sz w:val="24"/>
          <w:szCs w:val="24"/>
        </w:rPr>
      </w:pPr>
      <w:r>
        <w:rPr>
          <w:rFonts w:ascii="仿宋" w:hAnsi="仿宋" w:eastAsia="仿宋" w:cs="仿宋"/>
          <w:sz w:val="24"/>
          <w:szCs w:val="24"/>
        </w:rPr>
        <w:t>（本部分合同格式为中标后，签订采购合同时参考使用文本）</w:t>
      </w:r>
    </w:p>
    <w:p w14:paraId="4D251ECF">
      <w:pPr>
        <w:spacing w:line="480" w:lineRule="exact"/>
        <w:ind w:firstLine="480" w:firstLineChars="200"/>
        <w:rPr>
          <w:rFonts w:hint="eastAsia" w:ascii="仿宋" w:hAnsi="仿宋" w:eastAsia="仿宋" w:cs="仿宋"/>
          <w:sz w:val="24"/>
        </w:rPr>
      </w:pPr>
      <w:r>
        <w:rPr>
          <w:rFonts w:hint="eastAsia" w:ascii="仿宋" w:hAnsi="仿宋" w:eastAsia="仿宋" w:cs="仿宋"/>
          <w:sz w:val="24"/>
        </w:rPr>
        <w:t xml:space="preserve">合同编号： </w:t>
      </w:r>
    </w:p>
    <w:p w14:paraId="241BB96D">
      <w:pPr>
        <w:spacing w:line="480" w:lineRule="exact"/>
        <w:ind w:firstLine="480" w:firstLineChars="200"/>
        <w:rPr>
          <w:rFonts w:hint="eastAsia" w:ascii="仿宋" w:hAnsi="仿宋" w:eastAsia="仿宋" w:cs="仿宋"/>
          <w:sz w:val="24"/>
        </w:rPr>
      </w:pPr>
      <w:r>
        <w:rPr>
          <w:rFonts w:hint="eastAsia" w:ascii="仿宋" w:hAnsi="仿宋" w:eastAsia="仿宋" w:cs="仿宋"/>
          <w:sz w:val="24"/>
        </w:rPr>
        <w:t xml:space="preserve">签订地点： </w:t>
      </w:r>
    </w:p>
    <w:p w14:paraId="56A55659">
      <w:pPr>
        <w:spacing w:line="480" w:lineRule="exact"/>
        <w:ind w:firstLine="480" w:firstLineChars="200"/>
        <w:rPr>
          <w:rFonts w:hint="eastAsia" w:ascii="仿宋" w:hAnsi="仿宋" w:eastAsia="仿宋" w:cs="仿宋"/>
          <w:sz w:val="24"/>
        </w:rPr>
      </w:pPr>
      <w:r>
        <w:rPr>
          <w:rFonts w:hint="eastAsia" w:ascii="仿宋" w:hAnsi="仿宋" w:eastAsia="仿宋" w:cs="仿宋"/>
          <w:sz w:val="24"/>
        </w:rPr>
        <w:t>签订时间：</w:t>
      </w:r>
    </w:p>
    <w:p w14:paraId="1FEE86AD">
      <w:pPr>
        <w:spacing w:line="480" w:lineRule="exact"/>
        <w:ind w:firstLine="480" w:firstLineChars="200"/>
        <w:rPr>
          <w:rFonts w:hint="eastAsia" w:ascii="仿宋" w:hAnsi="仿宋" w:eastAsia="仿宋" w:cs="仿宋"/>
          <w:sz w:val="24"/>
        </w:rPr>
      </w:pPr>
      <w:r>
        <w:rPr>
          <w:rFonts w:hint="eastAsia" w:ascii="仿宋" w:hAnsi="仿宋" w:eastAsia="仿宋" w:cs="仿宋"/>
          <w:sz w:val="24"/>
        </w:rPr>
        <w:t>采购人（甲方）：</w:t>
      </w:r>
    </w:p>
    <w:p w14:paraId="1CB1555E">
      <w:pPr>
        <w:spacing w:line="480" w:lineRule="exact"/>
        <w:ind w:firstLine="480" w:firstLineChars="200"/>
        <w:rPr>
          <w:rFonts w:hint="eastAsia" w:ascii="仿宋" w:hAnsi="仿宋" w:eastAsia="仿宋" w:cs="仿宋"/>
          <w:sz w:val="24"/>
        </w:rPr>
      </w:pPr>
      <w:r>
        <w:rPr>
          <w:rFonts w:hint="eastAsia" w:ascii="仿宋" w:hAnsi="仿宋" w:eastAsia="仿宋" w:cs="仿宋"/>
          <w:sz w:val="24"/>
        </w:rPr>
        <w:t>成交人（乙方）：</w:t>
      </w:r>
    </w:p>
    <w:p w14:paraId="5A24CBAB">
      <w:pPr>
        <w:spacing w:line="480" w:lineRule="exact"/>
        <w:rPr>
          <w:rFonts w:hint="eastAsia" w:ascii="仿宋" w:hAnsi="仿宋" w:eastAsia="仿宋" w:cs="仿宋"/>
          <w:sz w:val="24"/>
        </w:rPr>
      </w:pPr>
    </w:p>
    <w:p w14:paraId="50A634C3">
      <w:pPr>
        <w:spacing w:line="360" w:lineRule="auto"/>
        <w:ind w:firstLine="720" w:firstLineChars="300"/>
        <w:jc w:val="left"/>
        <w:rPr>
          <w:rFonts w:hint="eastAsia" w:ascii="仿宋" w:hAnsi="仿宋" w:eastAsia="仿宋" w:cs="仿宋"/>
          <w:sz w:val="24"/>
        </w:rPr>
      </w:pPr>
      <w:r>
        <w:rPr>
          <w:rFonts w:hint="eastAsia" w:ascii="仿宋" w:hAnsi="仿宋" w:eastAsia="仿宋" w:cs="仿宋"/>
          <w:sz w:val="24"/>
        </w:rPr>
        <w:t>依据《中华人民共和国民法典》《中华人民共和国政府采购法》《公共建筑能源审计标准》（DG/TJ 08-2114-2020）、GB/T 17167《用能单位能源审计技术通则》及国家、地方相关能源管理法规、政策要求，甲乙双方本着平等自愿、公平诚信、权责对等的原则，就甲方2026年能源审计项目，经友好协商，达成如下协议，以资共同信守。</w:t>
      </w:r>
    </w:p>
    <w:p w14:paraId="13430E49">
      <w:pPr>
        <w:spacing w:line="360" w:lineRule="auto"/>
        <w:ind w:firstLine="482" w:firstLineChars="200"/>
        <w:jc w:val="left"/>
        <w:rPr>
          <w:rFonts w:hint="eastAsia" w:ascii="仿宋" w:hAnsi="仿宋" w:eastAsia="仿宋" w:cs="仿宋"/>
          <w:b/>
          <w:bCs/>
          <w:sz w:val="24"/>
        </w:rPr>
      </w:pPr>
      <w:bookmarkStart w:id="0" w:name="heading_0"/>
      <w:r>
        <w:rPr>
          <w:rFonts w:hint="eastAsia" w:ascii="仿宋" w:hAnsi="仿宋" w:eastAsia="仿宋" w:cs="仿宋"/>
          <w:b/>
          <w:bCs/>
          <w:sz w:val="24"/>
        </w:rPr>
        <w:t>一、项目概况</w:t>
      </w:r>
      <w:bookmarkEnd w:id="0"/>
    </w:p>
    <w:p w14:paraId="0E87BA26">
      <w:pPr>
        <w:spacing w:line="360" w:lineRule="auto"/>
        <w:ind w:firstLine="482" w:firstLineChars="200"/>
        <w:jc w:val="left"/>
        <w:rPr>
          <w:rFonts w:hint="eastAsia" w:ascii="仿宋" w:hAnsi="仿宋" w:eastAsia="仿宋" w:cs="仿宋"/>
          <w:b/>
          <w:bCs/>
          <w:sz w:val="24"/>
        </w:rPr>
      </w:pPr>
      <w:bookmarkStart w:id="1" w:name="heading_1"/>
      <w:r>
        <w:rPr>
          <w:rFonts w:hint="eastAsia" w:ascii="仿宋" w:hAnsi="仿宋" w:eastAsia="仿宋" w:cs="仿宋"/>
          <w:b/>
          <w:bCs/>
          <w:sz w:val="24"/>
        </w:rPr>
        <w:t>1.1 项目名称</w:t>
      </w:r>
      <w:bookmarkEnd w:id="1"/>
    </w:p>
    <w:p w14:paraId="07FCFD0E">
      <w:pPr>
        <w:spacing w:line="360" w:lineRule="auto"/>
        <w:ind w:firstLine="720" w:firstLineChars="300"/>
        <w:jc w:val="left"/>
        <w:rPr>
          <w:rFonts w:hint="eastAsia" w:ascii="仿宋" w:hAnsi="仿宋" w:eastAsia="仿宋" w:cs="仿宋"/>
          <w:sz w:val="24"/>
        </w:rPr>
      </w:pPr>
      <w:r>
        <w:rPr>
          <w:rFonts w:hint="eastAsia" w:ascii="仿宋" w:hAnsi="仿宋" w:eastAsia="仿宋" w:cs="仿宋"/>
          <w:sz w:val="24"/>
        </w:rPr>
        <w:t>2026年能源审计项目</w:t>
      </w:r>
    </w:p>
    <w:p w14:paraId="0F84ACE0">
      <w:pPr>
        <w:spacing w:line="360" w:lineRule="auto"/>
        <w:ind w:firstLine="482" w:firstLineChars="200"/>
        <w:jc w:val="left"/>
        <w:rPr>
          <w:rFonts w:hint="eastAsia" w:ascii="仿宋" w:hAnsi="仿宋" w:eastAsia="仿宋" w:cs="仿宋"/>
          <w:b/>
          <w:bCs/>
          <w:sz w:val="24"/>
        </w:rPr>
      </w:pPr>
      <w:bookmarkStart w:id="2" w:name="heading_2"/>
      <w:r>
        <w:rPr>
          <w:rFonts w:hint="eastAsia" w:ascii="仿宋" w:hAnsi="仿宋" w:eastAsia="仿宋" w:cs="仿宋"/>
          <w:b/>
          <w:bCs/>
          <w:sz w:val="24"/>
        </w:rPr>
        <w:t>1.2 审计范围</w:t>
      </w:r>
      <w:bookmarkEnd w:id="2"/>
    </w:p>
    <w:p w14:paraId="6FE8B5FC">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甲方高新校区、临渭校区所有用能区域，涵盖教学楼、宿舍楼、实训楼、实训基地、运动场所等各类建筑；覆盖电、水、暖、燃气等全用能系统，同时包含逐时建筑气象、光伏气象、环境、需端设备用能等相关数据的收集与分析。</w:t>
      </w:r>
    </w:p>
    <w:p w14:paraId="4D9A6F9E">
      <w:pPr>
        <w:spacing w:line="360" w:lineRule="auto"/>
        <w:ind w:firstLine="482" w:firstLineChars="200"/>
        <w:jc w:val="left"/>
        <w:rPr>
          <w:rFonts w:hint="eastAsia" w:ascii="仿宋" w:hAnsi="仿宋" w:eastAsia="仿宋" w:cs="仿宋"/>
          <w:b/>
          <w:bCs/>
          <w:sz w:val="24"/>
        </w:rPr>
      </w:pPr>
      <w:bookmarkStart w:id="3" w:name="heading_3"/>
      <w:r>
        <w:rPr>
          <w:rFonts w:hint="eastAsia" w:ascii="仿宋" w:hAnsi="仿宋" w:eastAsia="仿宋" w:cs="仿宋"/>
          <w:b/>
          <w:bCs/>
          <w:sz w:val="24"/>
        </w:rPr>
        <w:t>1.3 项目目标</w:t>
      </w:r>
      <w:bookmarkEnd w:id="3"/>
    </w:p>
    <w:p w14:paraId="38B8EFF8">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（1）完成全面、详实的能源审计，精准开展节能诊断，挖掘节能降费潜力，形成科学、专业的审计报告；</w:t>
      </w:r>
    </w:p>
    <w:p w14:paraId="29DAC254">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（2）研究并确立科学合理的能耗基准线（能耗基线），明确基期能耗数据及修正机制，便于后续节能成效核验及结算；</w:t>
      </w:r>
    </w:p>
    <w:p w14:paraId="485DE40F">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（3）制定可落地、具经济性的节能改造方案，明确实施路径、资金来源、责任分工，确保改造方案能切实落地并产生实效；</w:t>
      </w:r>
    </w:p>
    <w:p w14:paraId="55030198">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（4）助力招标人完善能源管理体系，提升能源管理水平，建立长效节能管理机制；</w:t>
      </w:r>
    </w:p>
    <w:p w14:paraId="6F60FE81">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（5）实现约定的节能降费、碳减排目标，确保审计成果可落地、可考核、可追溯，建立全流程闭环管理体系。</w:t>
      </w:r>
    </w:p>
    <w:p w14:paraId="77109658">
      <w:pPr>
        <w:spacing w:line="360" w:lineRule="auto"/>
        <w:ind w:firstLine="482" w:firstLineChars="200"/>
        <w:jc w:val="left"/>
        <w:rPr>
          <w:rFonts w:hint="eastAsia" w:ascii="仿宋" w:hAnsi="仿宋" w:eastAsia="仿宋" w:cs="仿宋"/>
          <w:b/>
          <w:bCs/>
          <w:sz w:val="24"/>
        </w:rPr>
      </w:pPr>
      <w:r>
        <w:rPr>
          <w:rFonts w:hint="eastAsia" w:ascii="仿宋" w:hAnsi="仿宋" w:eastAsia="仿宋" w:cs="仿宋"/>
          <w:b/>
          <w:bCs/>
          <w:sz w:val="24"/>
        </w:rPr>
        <w:t>二、服务内容及要求</w:t>
      </w:r>
    </w:p>
    <w:p w14:paraId="526494FF">
      <w:pPr>
        <w:spacing w:line="360" w:lineRule="auto"/>
        <w:ind w:firstLine="482" w:firstLineChars="200"/>
        <w:jc w:val="left"/>
        <w:rPr>
          <w:rFonts w:hint="eastAsia" w:ascii="仿宋" w:hAnsi="仿宋" w:eastAsia="仿宋" w:cs="仿宋"/>
          <w:b/>
          <w:bCs/>
          <w:sz w:val="24"/>
        </w:rPr>
      </w:pPr>
      <w:bookmarkStart w:id="4" w:name="heading_5"/>
      <w:r>
        <w:rPr>
          <w:rFonts w:hint="eastAsia" w:ascii="仿宋" w:hAnsi="仿宋" w:eastAsia="仿宋" w:cs="仿宋"/>
          <w:b/>
          <w:bCs/>
          <w:sz w:val="24"/>
        </w:rPr>
        <w:t>2.1 核心服务内容</w:t>
      </w:r>
      <w:bookmarkEnd w:id="4"/>
    </w:p>
    <w:p w14:paraId="77B4CB2E">
      <w:pPr>
        <w:spacing w:line="360" w:lineRule="auto"/>
        <w:ind w:firstLine="480" w:firstLineChars="200"/>
        <w:jc w:val="left"/>
        <w:rPr>
          <w:rFonts w:hint="eastAsia" w:ascii="仿宋" w:hAnsi="仿宋" w:eastAsia="仿宋" w:cs="仿宋"/>
          <w:sz w:val="24"/>
        </w:rPr>
      </w:pPr>
      <w:bookmarkStart w:id="5" w:name="heading_6"/>
      <w:r>
        <w:rPr>
          <w:rFonts w:hint="eastAsia" w:ascii="仿宋" w:hAnsi="仿宋" w:eastAsia="仿宋" w:cs="仿宋"/>
          <w:sz w:val="24"/>
        </w:rPr>
        <w:t>（1）能源审计服务</w:t>
      </w:r>
    </w:p>
    <w:p w14:paraId="6DE3AE07">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1）定量监测与数据核验：组建专业团队驻场审计（驻场时长不少于30天，人数不少于5人，结合项目规模确定），全面核查招标人各类用能系统（电、水、暖、燃气等），核验计量设备运行状态，按要求配备流量、温度、湿度、电力采集与分析仪器设备，采集近3年能耗数据及逐时气象、环境等相关数据，结合财务缴费凭证、三方结算数据，建立完整设备台账、运行记录，确保数据详实、可追溯；</w:t>
      </w:r>
    </w:p>
    <w:p w14:paraId="5298285F">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2）能耗分析：采用科学的处理方法，对逐时分类分项耗电、耗气、用水、用热数据进行处理与验证，量化各用能区域、各用能系统的能耗强度，分析能源利用效率、经济性及环境效果（碳排放量核算），精准识别低效用能环节及浪费问题；</w:t>
      </w:r>
    </w:p>
    <w:p w14:paraId="325198A8">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3）计量体系审计：完善计量边界、计量粒度，核查计量设备缺失、不准、未校准等问题，提出整改措施，编制完整、规范的能量平衡表、能源网络图和能流图；</w:t>
      </w:r>
    </w:p>
    <w:p w14:paraId="7F5A3E31">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4）能源管理体系审计：核查招标人现有能源管理组织机构、管理制度、考核机制等，诊断管理层面问题，提出优化建议；</w:t>
      </w:r>
    </w:p>
    <w:p w14:paraId="4410E3D9">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5）问题诊断与障碍分析：精准梳理能源利用、计量管理、节能工作中的核心问题，深入剖析问题根源及主要障碍，形成专业、明晰的诊断结论；</w:t>
      </w:r>
    </w:p>
    <w:p w14:paraId="5701D406">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6）节能潜力测算：分专项量化节能降费、碳减排潜力，明确各专项节能率、费用节约额等量化指标，为节能改造方案提供支撑。</w:t>
      </w:r>
    </w:p>
    <w:p w14:paraId="7C2FBBFF">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（2）能耗基准线（能耗基线）研究与确立</w:t>
      </w:r>
    </w:p>
    <w:p w14:paraId="4E4C3353">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1）结合审计数据，开展边界条件和独立变量等参数模型的研究与建立，科学确立分区域、分项用能的能耗基准线，建立全能耗、用水、用气等相关模型并完成实际数据校核，明确基期能耗数据、核算方法及修正机制（应对季节、用能需求变化等因素），明确基线在报告期使用与调整方法及异议处理方法；</w:t>
      </w:r>
    </w:p>
    <w:p w14:paraId="5C59E392">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2）能耗基线需经招标人及行业专家审核确认，确保科学合理、可执行、可核算，规避后续结算扯皮问题；</w:t>
      </w:r>
    </w:p>
    <w:p w14:paraId="7F7C51DE">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3）提供能耗基线研究报告，明确基线确立依据、核算过程、修正方法及应用场景，确保报告内容详实、依据充分。</w:t>
      </w:r>
    </w:p>
    <w:p w14:paraId="5F5DBF30">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（3）节能诊断与改造方案编制</w:t>
      </w:r>
    </w:p>
    <w:p w14:paraId="2A7C72EC">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1）基于能源审计及节能诊断结果，制定针对性的节能降碳方案与规划，包括能效提升、新能源和可再生能源利用、灵活用能、智慧型综合改造等方案，明确面向5年的节能降碳规划，紧扣“问题对应措施、措施对应时限、时限对应责任、责任对应考核”逻辑；</w:t>
      </w:r>
    </w:p>
    <w:p w14:paraId="0351A373">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2）改造方案需明确具体实施步骤、资金来源（如托管方投入、节能收益分享等）、所需人员设备、实施周期、预期成效（与能耗基线对应，量化节能率、费用节约额等）；</w:t>
      </w:r>
    </w:p>
    <w:p w14:paraId="6DF832D7">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3）方案需衔接能源托管服务，明确托管服务商准入标准、责任分工、节能成效核算标准，杜绝“无投资托管方”“改造后成效无法核验”问题；</w:t>
      </w:r>
    </w:p>
    <w:p w14:paraId="65C3478F">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4）方案编制完成后，组织招标人、行业专家等开展联合论证，论证通过后方可落地实施，确保方案可行性、完整性。</w:t>
      </w:r>
    </w:p>
    <w:p w14:paraId="0F9D279F">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（4）闭环管理服务</w:t>
      </w:r>
    </w:p>
    <w:p w14:paraId="1B05BD1B">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投标人须建立“审计诊断—方案编制—落地实施—成效核验—复盘优化”全流程闭环管理体系，每个环节均明确责任、流程、时限及验收标准，具体要求如下：</w:t>
      </w:r>
    </w:p>
    <w:p w14:paraId="46346D14">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1）审计诊断闭环：确保审计数据可追溯、节能诊断有依据、潜力测算可验证、基线研判有支撑，审计报告经双重审核，不通过则限期整改；</w:t>
      </w:r>
    </w:p>
    <w:p w14:paraId="644981EA">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2）方案编制闭环：方案内容完整、论证充分，与审计结果、能耗基线高度契合，确保可落地、不流于形式；</w:t>
      </w:r>
    </w:p>
    <w:p w14:paraId="7309CC31">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3）落地实施闭环：制定进度计划，建立质量管控体系，资金支付与进度、质量、节能成效（对照能耗基线核算）挂钩；</w:t>
      </w:r>
    </w:p>
    <w:p w14:paraId="59EB5A00">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4）成效核验闭环：由招标人、投标人、第三方机构联合核验，以能耗基线为基准，量化核验节能成效，未达标则限期整改；</w:t>
      </w:r>
    </w:p>
    <w:p w14:paraId="34E8A8EA">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5）复盘优化闭环：成效核验，提供1年的技术咨询。</w:t>
      </w:r>
    </w:p>
    <w:p w14:paraId="5CA4D699">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（5） 其他服务</w:t>
      </w:r>
    </w:p>
    <w:p w14:paraId="3AC99143">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1）协助招标人对接能源托管服务商，提供技术支持；</w:t>
      </w:r>
    </w:p>
    <w:p w14:paraId="61D67D79">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2）能效验证，动态优化能耗基线；</w:t>
      </w:r>
    </w:p>
    <w:p w14:paraId="7C986564">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3）提供能源管理相关培训，提升招标人相关人员专业能力；</w:t>
      </w:r>
    </w:p>
    <w:p w14:paraId="7D76B6BE">
      <w:pPr>
        <w:spacing w:line="360" w:lineRule="auto"/>
        <w:ind w:firstLine="482" w:firstLineChars="200"/>
        <w:jc w:val="left"/>
        <w:rPr>
          <w:rFonts w:hint="eastAsia" w:ascii="仿宋" w:hAnsi="仿宋" w:eastAsia="仿宋" w:cs="仿宋"/>
          <w:b/>
          <w:bCs/>
          <w:sz w:val="24"/>
        </w:rPr>
      </w:pPr>
      <w:r>
        <w:rPr>
          <w:rFonts w:hint="eastAsia" w:ascii="仿宋" w:hAnsi="仿宋" w:eastAsia="仿宋" w:cs="仿宋"/>
          <w:b/>
          <w:bCs/>
          <w:sz w:val="24"/>
        </w:rPr>
        <w:t>2.2 服务质量要求</w:t>
      </w:r>
      <w:bookmarkEnd w:id="5"/>
    </w:p>
    <w:p w14:paraId="4E4D9C52">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（1）所有服务成果（审计报告、能耗基线研究报告、改造方案等）需符合国家《能源审计技术通则》《节能改造工程规范》等相关标准及招标人要求，符合公共机构节能服务质量标准；</w:t>
      </w:r>
    </w:p>
    <w:p w14:paraId="1272D507">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（2）审计数据详实、数据分析科学、问题诊断专业、能耗基线合理、改造方案可落地，无形式化内容；</w:t>
      </w:r>
    </w:p>
    <w:p w14:paraId="5A631BD9">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rPr>
        <w:t>（3）服务过程中，及</w:t>
      </w:r>
      <w:r>
        <w:rPr>
          <w:rFonts w:hint="eastAsia" w:ascii="仿宋" w:hAnsi="仿宋" w:eastAsia="仿宋" w:cs="仿宋"/>
          <w:sz w:val="24"/>
          <w:highlight w:val="none"/>
        </w:rPr>
        <w:t>时响应招标人需求，定期上报服务进度，确保服务按时完成；</w:t>
      </w:r>
    </w:p>
    <w:p w14:paraId="2730376A">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（4）服务成果需通过招标人及行业专家双重审核，审核不通过的，投标人需限期修改完善，直至符合要求，确保服务质量达标。</w:t>
      </w:r>
    </w:p>
    <w:p w14:paraId="7FCAA057">
      <w:pPr>
        <w:spacing w:line="360" w:lineRule="auto"/>
        <w:ind w:firstLine="482" w:firstLineChars="200"/>
        <w:jc w:val="left"/>
        <w:rPr>
          <w:rFonts w:hint="eastAsia" w:ascii="仿宋" w:hAnsi="仿宋" w:eastAsia="仿宋" w:cs="仿宋"/>
          <w:b/>
          <w:bCs/>
          <w:sz w:val="24"/>
          <w:highlight w:val="none"/>
        </w:rPr>
      </w:pPr>
      <w:bookmarkStart w:id="6" w:name="heading_7"/>
      <w:r>
        <w:rPr>
          <w:rFonts w:hint="eastAsia" w:ascii="仿宋" w:hAnsi="仿宋" w:eastAsia="仿宋" w:cs="仿宋"/>
          <w:b/>
          <w:bCs/>
          <w:sz w:val="24"/>
          <w:highlight w:val="none"/>
        </w:rPr>
        <w:t>三、服务期限</w:t>
      </w:r>
      <w:bookmarkEnd w:id="6"/>
    </w:p>
    <w:p w14:paraId="1B762AB6">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3.1 自合同签订之日起60个工作日内完成全部核心审计、咨询服务及改造方案落地指导，后续提供不少于1年的技术咨询服务（含能耗基线动态优化、成效核验等）。</w:t>
      </w:r>
    </w:p>
    <w:p w14:paraId="1F513A65">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3.2 若因甲方原因（如资料提供延迟、现场配合不到位等）导致服务延误，服务期限相应顺延；若因乙方原因导致服务延误，乙方需承担相应违约责任（详见本合同第七条）。</w:t>
      </w:r>
    </w:p>
    <w:p w14:paraId="0A3A09F7">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highlight w:val="none"/>
        </w:rPr>
        <w:t>3.3 乙方需在服务期限内完成所有服务内容，并提交完整的服务</w:t>
      </w:r>
      <w:r>
        <w:rPr>
          <w:rFonts w:hint="eastAsia" w:ascii="仿宋" w:hAnsi="仿宋" w:eastAsia="仿宋" w:cs="仿宋"/>
          <w:sz w:val="24"/>
        </w:rPr>
        <w:t>成果，配合甲方完成成果</w:t>
      </w:r>
      <w:r>
        <w:rPr>
          <w:rFonts w:hint="eastAsia" w:ascii="仿宋" w:hAnsi="仿宋" w:eastAsia="仿宋" w:cs="仿宋"/>
          <w:sz w:val="24"/>
          <w:lang w:val="en-US" w:eastAsia="zh-CN"/>
        </w:rPr>
        <w:t>资料移交</w:t>
      </w:r>
      <w:r>
        <w:rPr>
          <w:rFonts w:hint="eastAsia" w:ascii="仿宋" w:hAnsi="仿宋" w:eastAsia="仿宋" w:cs="仿宋"/>
          <w:sz w:val="24"/>
        </w:rPr>
        <w:t>。</w:t>
      </w:r>
    </w:p>
    <w:p w14:paraId="6F9CF0F7">
      <w:pPr>
        <w:spacing w:line="360" w:lineRule="auto"/>
        <w:ind w:firstLine="482" w:firstLineChars="200"/>
        <w:jc w:val="left"/>
        <w:rPr>
          <w:rFonts w:hint="eastAsia" w:ascii="仿宋" w:hAnsi="仿宋" w:eastAsia="仿宋" w:cs="仿宋"/>
          <w:b/>
          <w:bCs/>
          <w:sz w:val="24"/>
        </w:rPr>
      </w:pPr>
      <w:bookmarkStart w:id="7" w:name="heading_8"/>
      <w:r>
        <w:rPr>
          <w:rFonts w:hint="eastAsia" w:ascii="仿宋" w:hAnsi="仿宋" w:eastAsia="仿宋" w:cs="仿宋"/>
          <w:b/>
          <w:bCs/>
          <w:sz w:val="24"/>
        </w:rPr>
        <w:t>四、服务费用及支付方式</w:t>
      </w:r>
      <w:bookmarkEnd w:id="7"/>
    </w:p>
    <w:p w14:paraId="72D52252">
      <w:pPr>
        <w:spacing w:line="360" w:lineRule="auto"/>
        <w:ind w:firstLine="482" w:firstLineChars="200"/>
        <w:jc w:val="left"/>
        <w:rPr>
          <w:rFonts w:hint="eastAsia" w:ascii="仿宋" w:hAnsi="仿宋" w:eastAsia="仿宋" w:cs="仿宋"/>
          <w:b/>
          <w:bCs/>
          <w:sz w:val="24"/>
        </w:rPr>
      </w:pPr>
      <w:bookmarkStart w:id="8" w:name="heading_9"/>
      <w:r>
        <w:rPr>
          <w:rFonts w:hint="eastAsia" w:ascii="仿宋" w:hAnsi="仿宋" w:eastAsia="仿宋" w:cs="仿宋"/>
          <w:b/>
          <w:bCs/>
          <w:sz w:val="24"/>
        </w:rPr>
        <w:t>4.1 服务费用</w:t>
      </w:r>
      <w:bookmarkEnd w:id="8"/>
    </w:p>
    <w:p w14:paraId="7592A7E2">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本项目服务费用总额为人民币</w:t>
      </w:r>
      <w:r>
        <w:rPr>
          <w:rFonts w:hint="eastAsia" w:ascii="仿宋" w:hAnsi="仿宋" w:eastAsia="仿宋" w:cs="仿宋"/>
          <w:sz w:val="24"/>
          <w:u w:val="single"/>
        </w:rPr>
        <w:t xml:space="preserve">        </w:t>
      </w:r>
      <w:r>
        <w:rPr>
          <w:rFonts w:hint="eastAsia" w:ascii="仿宋" w:hAnsi="仿宋" w:eastAsia="仿宋" w:cs="仿宋"/>
          <w:sz w:val="24"/>
        </w:rPr>
        <w:t>元（大写：</w:t>
      </w:r>
      <w:r>
        <w:rPr>
          <w:rFonts w:hint="eastAsia" w:ascii="仿宋" w:hAnsi="仿宋" w:eastAsia="仿宋" w:cs="仿宋"/>
          <w:sz w:val="24"/>
          <w:u w:val="single"/>
        </w:rPr>
        <w:t xml:space="preserve">        </w:t>
      </w:r>
      <w:r>
        <w:rPr>
          <w:rFonts w:hint="eastAsia" w:ascii="仿宋" w:hAnsi="仿宋" w:eastAsia="仿宋" w:cs="仿宋"/>
          <w:sz w:val="24"/>
        </w:rPr>
        <w:t>），该费用包含乙方为提供本合同约定的全部服务所需的一切费用（包括但不限于人员费、现场勘查费、数据采集费、报告编制费、税费、资料费等），甲方不再另行支付任何额外费用。</w:t>
      </w:r>
    </w:p>
    <w:p w14:paraId="163F924C">
      <w:pPr>
        <w:spacing w:line="360" w:lineRule="auto"/>
        <w:ind w:firstLine="482" w:firstLineChars="200"/>
        <w:jc w:val="left"/>
        <w:rPr>
          <w:rFonts w:hint="eastAsia" w:ascii="仿宋" w:hAnsi="仿宋" w:eastAsia="仿宋" w:cs="仿宋"/>
          <w:b/>
          <w:bCs/>
          <w:sz w:val="24"/>
        </w:rPr>
      </w:pPr>
      <w:bookmarkStart w:id="9" w:name="heading_10"/>
      <w:r>
        <w:rPr>
          <w:rFonts w:hint="eastAsia" w:ascii="仿宋" w:hAnsi="仿宋" w:eastAsia="仿宋" w:cs="仿宋"/>
          <w:b/>
          <w:bCs/>
          <w:sz w:val="24"/>
        </w:rPr>
        <w:t>4.2 支付方式</w:t>
      </w:r>
      <w:bookmarkEnd w:id="9"/>
    </w:p>
    <w:p w14:paraId="1FDC3791">
      <w:pPr>
        <w:spacing w:line="360" w:lineRule="auto"/>
        <w:ind w:firstLine="482" w:firstLineChars="200"/>
        <w:jc w:val="left"/>
        <w:rPr>
          <w:rFonts w:hint="eastAsia" w:ascii="仿宋" w:hAnsi="仿宋" w:eastAsia="仿宋" w:cs="仿宋"/>
          <w:b/>
          <w:bCs/>
          <w:sz w:val="24"/>
        </w:rPr>
      </w:pPr>
      <w:bookmarkStart w:id="10" w:name="heading_11"/>
    </w:p>
    <w:p w14:paraId="5E4C73DD">
      <w:pPr>
        <w:spacing w:line="360" w:lineRule="auto"/>
        <w:ind w:firstLine="482" w:firstLineChars="200"/>
        <w:jc w:val="left"/>
        <w:rPr>
          <w:rFonts w:hint="eastAsia" w:ascii="仿宋" w:hAnsi="仿宋" w:eastAsia="仿宋" w:cs="仿宋"/>
          <w:b/>
          <w:bCs/>
          <w:sz w:val="24"/>
        </w:rPr>
      </w:pPr>
      <w:r>
        <w:rPr>
          <w:rFonts w:hint="eastAsia" w:ascii="仿宋" w:hAnsi="仿宋" w:eastAsia="仿宋" w:cs="仿宋"/>
          <w:b/>
          <w:bCs/>
          <w:sz w:val="24"/>
        </w:rPr>
        <w:t>4.3 付款说明</w:t>
      </w:r>
      <w:bookmarkEnd w:id="10"/>
    </w:p>
    <w:p w14:paraId="3605DC59">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甲方付款前，乙方需向甲方提供合法有效的等额增值税专用发票，否则甲方有权顺延付款，且不承担逾期付款责任；所有款项均通过银行转账方式支付至乙方指定账户。</w:t>
      </w:r>
    </w:p>
    <w:p w14:paraId="19E30DDD">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乙方指定账户：</w:t>
      </w:r>
    </w:p>
    <w:p w14:paraId="36978E5C">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开户行：____________________</w:t>
      </w:r>
    </w:p>
    <w:p w14:paraId="6F3D264D">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户名：____________________</w:t>
      </w:r>
    </w:p>
    <w:p w14:paraId="17F351BC">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账号：____________________</w:t>
      </w:r>
    </w:p>
    <w:p w14:paraId="6C935337">
      <w:pPr>
        <w:spacing w:line="360" w:lineRule="auto"/>
        <w:ind w:firstLine="482" w:firstLineChars="200"/>
        <w:jc w:val="left"/>
        <w:rPr>
          <w:rFonts w:hint="eastAsia" w:ascii="仿宋" w:hAnsi="仿宋" w:eastAsia="仿宋" w:cs="仿宋"/>
          <w:b/>
          <w:bCs/>
          <w:sz w:val="24"/>
        </w:rPr>
      </w:pPr>
      <w:bookmarkStart w:id="11" w:name="heading_12"/>
      <w:r>
        <w:rPr>
          <w:rFonts w:hint="eastAsia" w:ascii="仿宋" w:hAnsi="仿宋" w:eastAsia="仿宋" w:cs="仿宋"/>
          <w:b/>
          <w:bCs/>
          <w:sz w:val="24"/>
        </w:rPr>
        <w:t>五、双方权利与义务</w:t>
      </w:r>
      <w:bookmarkEnd w:id="11"/>
    </w:p>
    <w:p w14:paraId="6AEC4E7A">
      <w:pPr>
        <w:spacing w:line="360" w:lineRule="auto"/>
        <w:ind w:firstLine="482" w:firstLineChars="200"/>
        <w:jc w:val="left"/>
        <w:rPr>
          <w:rFonts w:hint="eastAsia" w:ascii="仿宋" w:hAnsi="仿宋" w:eastAsia="仿宋" w:cs="仿宋"/>
          <w:b/>
          <w:bCs/>
          <w:sz w:val="24"/>
        </w:rPr>
      </w:pPr>
      <w:bookmarkStart w:id="12" w:name="heading_13"/>
      <w:r>
        <w:rPr>
          <w:rFonts w:hint="eastAsia" w:ascii="仿宋" w:hAnsi="仿宋" w:eastAsia="仿宋" w:cs="仿宋"/>
          <w:b/>
          <w:bCs/>
          <w:sz w:val="24"/>
        </w:rPr>
        <w:t>5.1 甲方权利与义务</w:t>
      </w:r>
      <w:bookmarkEnd w:id="12"/>
    </w:p>
    <w:p w14:paraId="068B94F0">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权利：有权监督乙方的服务过程，对乙方不符合合同约定的服务行为提出异议，要求乙方整改；有权审阅乙方提交的阶段性成果和最终成果，提出合理化修改建议；</w:t>
      </w:r>
    </w:p>
    <w:p w14:paraId="33DD5CFB">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义务：按照合同约定及时足额支付服务费用；自合同签订之日起7个工作日内，向乙方提供项目所需的相关资料（包括但不限于建筑图纸、用能台账、能源账单、设备参数等），并保证资料的真实性、准确性和完整性；指定专门联系人及配合人员，为乙方开展现场勘查、数据采集等工作提供必要的便利条件（如办公场地、人员配合、数据查询权限等）；负责现场审计的安全保障工作，保护乙方工作人员的人身安全；对乙方在履行合同过程中知悉的商业秘密和技术信息承担保密义务。</w:t>
      </w:r>
    </w:p>
    <w:p w14:paraId="4E44DFF3">
      <w:pPr>
        <w:spacing w:line="360" w:lineRule="auto"/>
        <w:ind w:firstLine="482" w:firstLineChars="200"/>
        <w:jc w:val="left"/>
        <w:rPr>
          <w:rFonts w:hint="eastAsia" w:ascii="仿宋" w:hAnsi="仿宋" w:eastAsia="仿宋" w:cs="仿宋"/>
          <w:b/>
          <w:bCs/>
          <w:sz w:val="24"/>
        </w:rPr>
      </w:pPr>
      <w:bookmarkStart w:id="13" w:name="heading_14"/>
      <w:r>
        <w:rPr>
          <w:rFonts w:hint="eastAsia" w:ascii="仿宋" w:hAnsi="仿宋" w:eastAsia="仿宋" w:cs="仿宋"/>
          <w:b/>
          <w:bCs/>
          <w:sz w:val="24"/>
        </w:rPr>
        <w:t>5.2 乙方权利与义务</w:t>
      </w:r>
      <w:bookmarkEnd w:id="13"/>
    </w:p>
    <w:p w14:paraId="43505427">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权利：有权按照合同约定收取服务费用；有权要求甲方按照合同约定提供必要的资料和配合；有权拒绝甲方提出的不符合国家法律法规、行业标准及合同约定的不合理要求；有权独立、客观、公正地开展能源审计工作，不受甲方不合理干预。</w:t>
      </w:r>
    </w:p>
    <w:p w14:paraId="7BB94510">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义务：严格按照合同约定的服务内容、要求和期限开展服务，组建专业服务团队，确保服务质量；保证服务成果的真实性、准确性、合规性，符合国家及地方相关标准和甲方需求；及时向甲方汇报项目进展情况，响应甲方的合理咨询和需求；严格遵守保密义务，对在服务过程中获取的甲方相关资料、数据、商业秘密等信息，未经甲方书面同意，不得泄露给任何第三方，合同终止后，需将甲方提供的所有资料归还甲方（或按甲方要求处理）；对服务过程中因自身原因造成的人身伤害、财产损失承担全部责任；配合甲方完成成果</w:t>
      </w:r>
      <w:r>
        <w:rPr>
          <w:rFonts w:hint="eastAsia" w:ascii="仿宋" w:hAnsi="仿宋" w:eastAsia="仿宋" w:cs="仿宋"/>
          <w:sz w:val="24"/>
          <w:lang w:val="en-US" w:eastAsia="zh-CN"/>
        </w:rPr>
        <w:t>资料移交</w:t>
      </w:r>
      <w:r>
        <w:rPr>
          <w:rFonts w:hint="eastAsia" w:ascii="仿宋" w:hAnsi="仿宋" w:eastAsia="仿宋" w:cs="仿宋"/>
          <w:sz w:val="24"/>
        </w:rPr>
        <w:t>，对成果</w:t>
      </w:r>
      <w:r>
        <w:rPr>
          <w:rFonts w:hint="eastAsia" w:ascii="仿宋" w:hAnsi="仿宋" w:eastAsia="仿宋" w:cs="仿宋"/>
          <w:sz w:val="24"/>
          <w:lang w:val="en-US" w:eastAsia="zh-CN"/>
        </w:rPr>
        <w:t>资料移交</w:t>
      </w:r>
      <w:r>
        <w:rPr>
          <w:rFonts w:hint="eastAsia" w:ascii="仿宋" w:hAnsi="仿宋" w:eastAsia="仿宋" w:cs="仿宋"/>
          <w:sz w:val="24"/>
        </w:rPr>
        <w:t>中提出的合理问题及时整改，直至</w:t>
      </w:r>
      <w:r>
        <w:rPr>
          <w:rFonts w:hint="eastAsia" w:ascii="仿宋" w:hAnsi="仿宋" w:eastAsia="仿宋" w:cs="仿宋"/>
          <w:sz w:val="24"/>
          <w:lang w:val="en-US" w:eastAsia="zh-CN"/>
        </w:rPr>
        <w:t>移交完成</w:t>
      </w:r>
      <w:r>
        <w:rPr>
          <w:rFonts w:hint="eastAsia" w:ascii="仿宋" w:hAnsi="仿宋" w:eastAsia="仿宋" w:cs="仿宋"/>
          <w:sz w:val="24"/>
        </w:rPr>
        <w:t>。</w:t>
      </w:r>
    </w:p>
    <w:p w14:paraId="0DC0A4DC">
      <w:pPr>
        <w:spacing w:line="360" w:lineRule="auto"/>
        <w:ind w:firstLine="482" w:firstLineChars="200"/>
        <w:jc w:val="left"/>
        <w:rPr>
          <w:rFonts w:hint="eastAsia" w:ascii="仿宋" w:hAnsi="仿宋" w:eastAsia="仿宋" w:cs="仿宋"/>
          <w:b/>
          <w:bCs/>
          <w:sz w:val="24"/>
        </w:rPr>
      </w:pPr>
      <w:bookmarkStart w:id="14" w:name="heading_18"/>
      <w:r>
        <w:rPr>
          <w:rFonts w:hint="eastAsia" w:ascii="仿宋" w:hAnsi="仿宋" w:eastAsia="仿宋" w:cs="仿宋"/>
          <w:b/>
          <w:bCs/>
          <w:sz w:val="24"/>
          <w:lang w:val="en-US" w:eastAsia="zh-CN"/>
        </w:rPr>
        <w:t>六</w:t>
      </w:r>
      <w:r>
        <w:rPr>
          <w:rFonts w:hint="eastAsia" w:ascii="仿宋" w:hAnsi="仿宋" w:eastAsia="仿宋" w:cs="仿宋"/>
          <w:b/>
          <w:bCs/>
          <w:sz w:val="24"/>
        </w:rPr>
        <w:t>、违约责任</w:t>
      </w:r>
      <w:bookmarkEnd w:id="14"/>
    </w:p>
    <w:p w14:paraId="32814219">
      <w:pPr>
        <w:spacing w:line="360" w:lineRule="auto"/>
        <w:ind w:firstLine="482" w:firstLineChars="200"/>
        <w:jc w:val="left"/>
        <w:rPr>
          <w:rFonts w:hint="eastAsia" w:ascii="仿宋" w:hAnsi="仿宋" w:eastAsia="仿宋" w:cs="仿宋"/>
          <w:b/>
          <w:bCs/>
          <w:sz w:val="24"/>
        </w:rPr>
      </w:pPr>
      <w:bookmarkStart w:id="15" w:name="heading_19"/>
      <w:r>
        <w:rPr>
          <w:rFonts w:hint="eastAsia" w:ascii="仿宋" w:hAnsi="仿宋" w:eastAsia="仿宋" w:cs="仿宋"/>
          <w:b/>
          <w:bCs/>
          <w:sz w:val="24"/>
          <w:lang w:val="en-US" w:eastAsia="zh-CN"/>
        </w:rPr>
        <w:t>6</w:t>
      </w:r>
      <w:r>
        <w:rPr>
          <w:rFonts w:hint="eastAsia" w:ascii="仿宋" w:hAnsi="仿宋" w:eastAsia="仿宋" w:cs="仿宋"/>
          <w:b/>
          <w:bCs/>
          <w:sz w:val="24"/>
        </w:rPr>
        <w:t>.1 甲方违约责任</w:t>
      </w:r>
      <w:bookmarkEnd w:id="15"/>
    </w:p>
    <w:p w14:paraId="23D17913">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甲方未按合同约定提供资料或配合乙方开展工作，导致服务延误或无法正常开展的，服务期限顺延，由此造成的乙方损失由甲方承担；若因甲方提供的资料虚假、不准确，导致服务成果不符合要求的，甲方需承担相应责任，乙方有权要求甲方补充资料并重新开展相关工作，额外产生的费用由甲方承担。</w:t>
      </w:r>
    </w:p>
    <w:p w14:paraId="361E8606">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甲方违反保密义务，泄露乙方商业秘密或技术信息，给乙方造成损失的，需承担全部赔偿责任。</w:t>
      </w:r>
    </w:p>
    <w:p w14:paraId="4C086FE4">
      <w:pPr>
        <w:spacing w:line="360" w:lineRule="auto"/>
        <w:ind w:firstLine="482" w:firstLineChars="200"/>
        <w:jc w:val="left"/>
        <w:rPr>
          <w:rFonts w:hint="eastAsia" w:ascii="仿宋" w:hAnsi="仿宋" w:eastAsia="仿宋" w:cs="仿宋"/>
          <w:b/>
          <w:bCs/>
          <w:sz w:val="24"/>
        </w:rPr>
      </w:pPr>
      <w:bookmarkStart w:id="16" w:name="heading_20"/>
      <w:r>
        <w:rPr>
          <w:rFonts w:hint="eastAsia" w:ascii="仿宋" w:hAnsi="仿宋" w:eastAsia="仿宋" w:cs="仿宋"/>
          <w:b/>
          <w:bCs/>
          <w:sz w:val="24"/>
          <w:lang w:val="en-US" w:eastAsia="zh-CN"/>
        </w:rPr>
        <w:t>6</w:t>
      </w:r>
      <w:r>
        <w:rPr>
          <w:rFonts w:hint="eastAsia" w:ascii="仿宋" w:hAnsi="仿宋" w:eastAsia="仿宋" w:cs="仿宋"/>
          <w:b/>
          <w:bCs/>
          <w:sz w:val="24"/>
        </w:rPr>
        <w:t>.2 乙方违约责任</w:t>
      </w:r>
      <w:bookmarkEnd w:id="16"/>
    </w:p>
    <w:p w14:paraId="7AB96440">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乙方未按合同约定的服务内容、要求开展服务，或服务质量不符合合同约定的，需在甲方要求的期限内整改，整改费用由乙方承担；整改后仍不符合要求的，甲方有权解除合同，乙方需退还甲方已支付的全部服务费用，并承担合同总金额5%的违约金，给甲方造成额外损失的，需另行赔偿。</w:t>
      </w:r>
    </w:p>
    <w:p w14:paraId="3547F711">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乙方未按合同约定的期限完成服务并提交成果的，每逾期一日，需按合同总金额的5‰向甲方支付违约金；逾期超过7日的，甲方有权解除合同，乙方需退还甲方已支付的全部服务费用，并承担合同总金额5%的违约金。</w:t>
      </w:r>
    </w:p>
    <w:p w14:paraId="24DE1EEB">
      <w:pPr>
        <w:spacing w:line="360" w:lineRule="auto"/>
        <w:jc w:val="left"/>
        <w:rPr>
          <w:rFonts w:hint="eastAsia" w:ascii="仿宋" w:hAnsi="仿宋" w:eastAsia="仿宋" w:cs="仿宋"/>
          <w:sz w:val="24"/>
        </w:rPr>
      </w:pPr>
      <w:r>
        <w:rPr>
          <w:rFonts w:hint="eastAsia" w:ascii="仿宋" w:hAnsi="仿宋" w:eastAsia="仿宋" w:cs="仿宋"/>
          <w:sz w:val="24"/>
        </w:rPr>
        <w:t>乙方违反保密义务，泄露甲方相关资料、数据、商业秘密等信息，给甲方造成损失的，需承担全部赔偿责任。</w:t>
      </w:r>
    </w:p>
    <w:p w14:paraId="7854EBBE">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乙方擅自中止服务或擅自更换项目负责人及核心团队成员（未经甲方书面同意）的，甲方有权要求乙方整改，乙方需支付合同总金额5%的违约金；整改无效的，甲方有权解除合同，乙方需退还甲方已支付的全部服务费用，并承担相应损失。</w:t>
      </w:r>
    </w:p>
    <w:p w14:paraId="6CE4D813">
      <w:pPr>
        <w:spacing w:line="360" w:lineRule="auto"/>
        <w:ind w:firstLine="482" w:firstLineChars="200"/>
        <w:jc w:val="left"/>
        <w:rPr>
          <w:rFonts w:hint="eastAsia" w:ascii="仿宋" w:hAnsi="仿宋" w:eastAsia="仿宋" w:cs="仿宋"/>
          <w:b/>
          <w:bCs/>
          <w:sz w:val="24"/>
        </w:rPr>
      </w:pPr>
      <w:bookmarkStart w:id="17" w:name="heading_21"/>
      <w:r>
        <w:rPr>
          <w:rFonts w:hint="eastAsia" w:ascii="仿宋" w:hAnsi="仿宋" w:eastAsia="仿宋" w:cs="仿宋"/>
          <w:b/>
          <w:bCs/>
          <w:sz w:val="24"/>
          <w:lang w:val="en-US" w:eastAsia="zh-CN"/>
        </w:rPr>
        <w:t>七</w:t>
      </w:r>
      <w:r>
        <w:rPr>
          <w:rFonts w:hint="eastAsia" w:ascii="仿宋" w:hAnsi="仿宋" w:eastAsia="仿宋" w:cs="仿宋"/>
          <w:b/>
          <w:bCs/>
          <w:sz w:val="24"/>
        </w:rPr>
        <w:t>、服务保障承诺</w:t>
      </w:r>
      <w:bookmarkEnd w:id="17"/>
    </w:p>
    <w:p w14:paraId="22423B14">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乙方提供完善的服务保障承诺，涵盖质量、进度、售后、闭环执行等核心内容，具体如下：</w:t>
      </w:r>
    </w:p>
    <w:p w14:paraId="61E13093">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质量承诺：明确审计成果精准度、合规性管控标准，确保所有服务成果真实、准确、合规，符合合同约定及相关标准要求。</w:t>
      </w:r>
    </w:p>
    <w:p w14:paraId="17116E17">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进度承诺：明确各阶段服务时间节点、衔接流程及延误处置措施，确保按时完成全部服务内容。</w:t>
      </w:r>
    </w:p>
    <w:p w14:paraId="12B93768">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售后承诺：明确售后响应时限、上门服务时效及长期技术支持，对</w:t>
      </w:r>
      <w:r>
        <w:rPr>
          <w:rFonts w:hint="eastAsia" w:ascii="仿宋" w:hAnsi="仿宋" w:eastAsia="仿宋" w:cs="仿宋"/>
          <w:sz w:val="24"/>
          <w:lang w:val="en-US" w:eastAsia="zh-CN"/>
        </w:rPr>
        <w:t>移交的</w:t>
      </w:r>
      <w:r>
        <w:rPr>
          <w:rFonts w:hint="eastAsia" w:ascii="仿宋" w:hAnsi="仿宋" w:eastAsia="仿宋" w:cs="仿宋"/>
          <w:sz w:val="24"/>
        </w:rPr>
        <w:t>服务成果，提供1年的售后技术咨询服务，及时解答甲方在能源管理、节能改造等方面的疑问。</w:t>
      </w:r>
    </w:p>
    <w:p w14:paraId="668F5C75">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闭环执行承诺：明确问题反馈、整改、复核、归档全流程，对服务过程中及</w:t>
      </w:r>
      <w:r>
        <w:rPr>
          <w:rFonts w:hint="eastAsia" w:ascii="仿宋" w:hAnsi="仿宋" w:eastAsia="仿宋" w:cs="仿宋"/>
          <w:sz w:val="24"/>
          <w:lang w:val="en-US" w:eastAsia="zh-CN"/>
        </w:rPr>
        <w:t>成果移交</w:t>
      </w:r>
      <w:r>
        <w:rPr>
          <w:rFonts w:hint="eastAsia" w:ascii="仿宋" w:hAnsi="仿宋" w:eastAsia="仿宋" w:cs="仿宋"/>
          <w:sz w:val="24"/>
        </w:rPr>
        <w:t>后甲方提出的问题，及时响应、妥善整改，形成完整管理闭环。</w:t>
      </w:r>
    </w:p>
    <w:p w14:paraId="24DADFE1">
      <w:pPr>
        <w:spacing w:line="360" w:lineRule="auto"/>
        <w:ind w:firstLine="482" w:firstLineChars="200"/>
        <w:jc w:val="left"/>
        <w:rPr>
          <w:rFonts w:hint="eastAsia" w:ascii="仿宋" w:hAnsi="仿宋" w:eastAsia="仿宋" w:cs="仿宋"/>
          <w:b/>
          <w:bCs/>
          <w:sz w:val="24"/>
        </w:rPr>
      </w:pPr>
      <w:bookmarkStart w:id="18" w:name="heading_22"/>
      <w:r>
        <w:rPr>
          <w:rFonts w:hint="eastAsia" w:ascii="仿宋" w:hAnsi="仿宋" w:eastAsia="仿宋" w:cs="仿宋"/>
          <w:b/>
          <w:bCs/>
          <w:sz w:val="24"/>
          <w:lang w:val="en-US" w:eastAsia="zh-CN"/>
        </w:rPr>
        <w:t>八</w:t>
      </w:r>
      <w:r>
        <w:rPr>
          <w:rFonts w:hint="eastAsia" w:ascii="仿宋" w:hAnsi="仿宋" w:eastAsia="仿宋" w:cs="仿宋"/>
          <w:b/>
          <w:bCs/>
          <w:sz w:val="24"/>
        </w:rPr>
        <w:t>、保密条款</w:t>
      </w:r>
      <w:bookmarkEnd w:id="18"/>
    </w:p>
    <w:p w14:paraId="7BCB7960">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8</w:t>
      </w:r>
      <w:r>
        <w:rPr>
          <w:rFonts w:hint="eastAsia" w:ascii="仿宋" w:hAnsi="仿宋" w:eastAsia="仿宋" w:cs="仿宋"/>
          <w:sz w:val="24"/>
        </w:rPr>
        <w:t>.1 甲乙双方确认，本合同履行过程中，一方（“披露方”）向另一方（“接收方”）提供的所有资料、数据、商业秘密、技术信息等（包括但不限于甲方的用能数据、设备台账、建筑信息，乙方的服务方案、审计方法、技术成果等），均属于保密信息。</w:t>
      </w:r>
    </w:p>
    <w:p w14:paraId="47FC5262">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8</w:t>
      </w:r>
      <w:r>
        <w:rPr>
          <w:rFonts w:hint="eastAsia" w:ascii="仿宋" w:hAnsi="仿宋" w:eastAsia="仿宋" w:cs="仿宋"/>
          <w:sz w:val="24"/>
        </w:rPr>
        <w:t>.2 接收方需对保密信息严格保密，不得向任何第三方披露、泄露、传播，不得用于本合同约定以外的其他用途，接收方的工作人员需严格遵守保密义务，若违反保密义务，接收方需承担全部责任。</w:t>
      </w:r>
    </w:p>
    <w:p w14:paraId="35F152D8">
      <w:pPr>
        <w:spacing w:line="360" w:lineRule="auto"/>
        <w:ind w:firstLine="482" w:firstLineChars="200"/>
        <w:jc w:val="left"/>
        <w:rPr>
          <w:rFonts w:hint="eastAsia" w:ascii="仿宋" w:hAnsi="仿宋" w:eastAsia="仿宋" w:cs="仿宋"/>
          <w:b/>
          <w:bCs/>
          <w:sz w:val="24"/>
        </w:rPr>
      </w:pPr>
      <w:bookmarkStart w:id="19" w:name="heading_23"/>
      <w:r>
        <w:rPr>
          <w:rFonts w:hint="eastAsia" w:ascii="仿宋" w:hAnsi="仿宋" w:eastAsia="仿宋" w:cs="仿宋"/>
          <w:b/>
          <w:bCs/>
          <w:sz w:val="24"/>
          <w:lang w:val="en-US" w:eastAsia="zh-CN"/>
        </w:rPr>
        <w:t>九</w:t>
      </w:r>
      <w:r>
        <w:rPr>
          <w:rFonts w:hint="eastAsia" w:ascii="仿宋" w:hAnsi="仿宋" w:eastAsia="仿宋" w:cs="仿宋"/>
          <w:b/>
          <w:bCs/>
          <w:sz w:val="24"/>
        </w:rPr>
        <w:t>、不可抗力</w:t>
      </w:r>
      <w:bookmarkEnd w:id="19"/>
    </w:p>
    <w:p w14:paraId="0603E8C3">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9</w:t>
      </w:r>
      <w:r>
        <w:rPr>
          <w:rFonts w:hint="eastAsia" w:ascii="仿宋" w:hAnsi="仿宋" w:eastAsia="仿宋" w:cs="仿宋"/>
          <w:sz w:val="24"/>
        </w:rPr>
        <w:t>.1 本合同所称不可抗力，是指不能预见、不能避免并不能克服的客观情况，包括但不限于地震、洪水、台风、火灾、战争、政策调整等。</w:t>
      </w:r>
    </w:p>
    <w:p w14:paraId="5F052E78">
      <w:pPr>
        <w:spacing w:line="360" w:lineRule="auto"/>
        <w:ind w:firstLine="480" w:firstLineChars="200"/>
        <w:jc w:val="left"/>
        <w:rPr>
          <w:rFonts w:hint="eastAsia" w:ascii="仿宋" w:hAnsi="仿宋" w:eastAsia="仿宋" w:cs="仿宋"/>
          <w:b/>
          <w:bCs/>
          <w:sz w:val="24"/>
        </w:rPr>
      </w:pPr>
      <w:r>
        <w:rPr>
          <w:rFonts w:hint="eastAsia" w:ascii="仿宋" w:hAnsi="仿宋" w:eastAsia="仿宋" w:cs="仿宋"/>
          <w:sz w:val="24"/>
          <w:lang w:val="en-US" w:eastAsia="zh-CN"/>
        </w:rPr>
        <w:t>9</w:t>
      </w:r>
      <w:r>
        <w:rPr>
          <w:rFonts w:hint="eastAsia" w:ascii="仿宋" w:hAnsi="仿宋" w:eastAsia="仿宋" w:cs="仿宋"/>
          <w:sz w:val="24"/>
        </w:rPr>
        <w:t>.2 若因不可抗力导致本合同无法履行或延迟履行，遭遇不可抗力的一方需及时通知对方，并在不可抗力发生后30个工作日内提供相关证明文件，双方根据不可抗力的影响，协商决定部分履行、延期履行或解除合同，互不承担违约责任（但应尽力减少损失）。</w:t>
      </w:r>
    </w:p>
    <w:p w14:paraId="64D4A32F">
      <w:pPr>
        <w:spacing w:line="360" w:lineRule="auto"/>
        <w:ind w:firstLine="482" w:firstLineChars="200"/>
        <w:jc w:val="left"/>
        <w:rPr>
          <w:rFonts w:hint="eastAsia" w:ascii="仿宋" w:hAnsi="仿宋" w:eastAsia="仿宋" w:cs="仿宋"/>
          <w:b/>
          <w:bCs/>
          <w:sz w:val="24"/>
        </w:rPr>
      </w:pPr>
      <w:bookmarkStart w:id="20" w:name="heading_24"/>
      <w:r>
        <w:rPr>
          <w:rFonts w:hint="eastAsia" w:ascii="仿宋" w:hAnsi="仿宋" w:eastAsia="仿宋" w:cs="仿宋"/>
          <w:b/>
          <w:bCs/>
          <w:sz w:val="24"/>
        </w:rPr>
        <w:t>十、争议解决</w:t>
      </w:r>
      <w:bookmarkEnd w:id="20"/>
    </w:p>
    <w:p w14:paraId="4C852A00">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本合同履行过程中发生的争议，甲乙双方应首先友好协商解决；协商不成的，任何一方均有权向甲方所在地人民法院提起诉讼。</w:t>
      </w:r>
    </w:p>
    <w:p w14:paraId="2BA9195E">
      <w:pPr>
        <w:spacing w:line="360" w:lineRule="auto"/>
        <w:ind w:firstLine="482" w:firstLineChars="200"/>
        <w:jc w:val="left"/>
        <w:rPr>
          <w:rFonts w:hint="eastAsia" w:ascii="仿宋" w:hAnsi="仿宋" w:eastAsia="仿宋" w:cs="仿宋"/>
          <w:b/>
          <w:bCs/>
          <w:sz w:val="24"/>
        </w:rPr>
      </w:pPr>
      <w:bookmarkStart w:id="21" w:name="heading_25"/>
      <w:r>
        <w:rPr>
          <w:rFonts w:hint="eastAsia" w:ascii="仿宋" w:hAnsi="仿宋" w:eastAsia="仿宋" w:cs="仿宋"/>
          <w:b/>
          <w:bCs/>
          <w:sz w:val="24"/>
        </w:rPr>
        <w:t>十</w:t>
      </w:r>
      <w:r>
        <w:rPr>
          <w:rFonts w:hint="eastAsia" w:ascii="仿宋" w:hAnsi="仿宋" w:eastAsia="仿宋" w:cs="仿宋"/>
          <w:b/>
          <w:bCs/>
          <w:sz w:val="24"/>
          <w:lang w:val="en-US" w:eastAsia="zh-CN"/>
        </w:rPr>
        <w:t>一</w:t>
      </w:r>
      <w:r>
        <w:rPr>
          <w:rFonts w:hint="eastAsia" w:ascii="仿宋" w:hAnsi="仿宋" w:eastAsia="仿宋" w:cs="仿宋"/>
          <w:b/>
          <w:bCs/>
          <w:sz w:val="24"/>
        </w:rPr>
        <w:t>、其他条款</w:t>
      </w:r>
      <w:bookmarkEnd w:id="21"/>
    </w:p>
    <w:p w14:paraId="113EFD0C">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11</w:t>
      </w:r>
      <w:r>
        <w:rPr>
          <w:rFonts w:hint="eastAsia" w:ascii="仿宋" w:hAnsi="仿宋" w:eastAsia="仿宋" w:cs="仿宋"/>
          <w:sz w:val="24"/>
        </w:rPr>
        <w:t>.1 本合同未尽事宜，甲乙双方可另行签订补充协议，补充协议与本合同具有同等法律效力。</w:t>
      </w:r>
    </w:p>
    <w:p w14:paraId="387E7D4B">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11</w:t>
      </w:r>
      <w:r>
        <w:rPr>
          <w:rFonts w:hint="eastAsia" w:ascii="仿宋" w:hAnsi="仿宋" w:eastAsia="仿宋" w:cs="仿宋"/>
          <w:sz w:val="24"/>
        </w:rPr>
        <w:t>.2 本合同一式肆份，甲乙双方各执贰份，自双方签字盖章之日起生效，具有同等法律效力。</w:t>
      </w:r>
    </w:p>
    <w:p w14:paraId="6799681B">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11</w:t>
      </w:r>
      <w:r>
        <w:rPr>
          <w:rFonts w:hint="eastAsia" w:ascii="仿宋" w:hAnsi="仿宋" w:eastAsia="仿宋" w:cs="仿宋"/>
          <w:sz w:val="24"/>
        </w:rPr>
        <w:t>.3本合同项下的服务成果（包括审计报告、方案、数据等）的知识产权归甲方所有，乙方仅有权在本合同约定的服务范围内使用，未经甲方书面同意，乙方不得擅自用于其他任何用途。</w:t>
      </w:r>
    </w:p>
    <w:p w14:paraId="033BC70D">
      <w:pPr>
        <w:spacing w:line="360" w:lineRule="auto"/>
        <w:ind w:firstLine="482" w:firstLineChars="200"/>
        <w:jc w:val="left"/>
        <w:rPr>
          <w:rFonts w:hint="eastAsia" w:ascii="仿宋" w:hAnsi="仿宋" w:eastAsia="仿宋" w:cs="仿宋"/>
          <w:b/>
          <w:bCs/>
          <w:sz w:val="24"/>
          <w:lang w:val="zh-CN"/>
        </w:rPr>
      </w:pPr>
      <w:r>
        <w:rPr>
          <w:rFonts w:hint="eastAsia" w:ascii="仿宋" w:hAnsi="仿宋" w:eastAsia="仿宋" w:cs="仿宋"/>
          <w:b/>
          <w:bCs/>
          <w:sz w:val="24"/>
        </w:rPr>
        <w:t>十</w:t>
      </w:r>
      <w:r>
        <w:rPr>
          <w:rFonts w:hint="eastAsia" w:ascii="仿宋" w:hAnsi="仿宋" w:eastAsia="仿宋" w:cs="仿宋"/>
          <w:b/>
          <w:bCs/>
          <w:sz w:val="24"/>
          <w:lang w:val="en-US" w:eastAsia="zh-CN"/>
        </w:rPr>
        <w:t>二</w:t>
      </w:r>
      <w:r>
        <w:rPr>
          <w:rFonts w:hint="eastAsia" w:ascii="仿宋" w:hAnsi="仿宋" w:eastAsia="仿宋" w:cs="仿宋"/>
          <w:b/>
          <w:bCs/>
          <w:sz w:val="24"/>
        </w:rPr>
        <w:t>、政府采购信用担保及信用融资政策</w:t>
      </w:r>
    </w:p>
    <w:p w14:paraId="274FFF23">
      <w:pPr>
        <w:adjustRightInd w:val="0"/>
        <w:spacing w:line="480" w:lineRule="exact"/>
        <w:ind w:firstLine="480" w:firstLineChars="200"/>
        <w:rPr>
          <w:rFonts w:hint="eastAsia" w:ascii="仿宋" w:hAnsi="仿宋" w:eastAsia="仿宋" w:cs="仿宋"/>
          <w:sz w:val="24"/>
        </w:rPr>
      </w:pPr>
      <w:r>
        <w:rPr>
          <w:rFonts w:hint="eastAsia" w:ascii="仿宋" w:hAnsi="仿宋" w:eastAsia="仿宋" w:cs="仿宋"/>
          <w:sz w:val="24"/>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42FBAB26">
      <w:pPr>
        <w:adjustRightInd w:val="0"/>
        <w:spacing w:line="480" w:lineRule="exact"/>
        <w:ind w:firstLine="480" w:firstLineChars="200"/>
        <w:rPr>
          <w:rFonts w:hint="eastAsia" w:ascii="仿宋" w:hAnsi="仿宋" w:eastAsia="仿宋" w:cs="仿宋"/>
          <w:sz w:val="24"/>
        </w:rPr>
      </w:pPr>
      <w:r>
        <w:rPr>
          <w:rFonts w:hint="eastAsia" w:ascii="仿宋" w:hAnsi="仿宋" w:eastAsia="仿宋" w:cs="仿宋"/>
          <w:sz w:val="24"/>
        </w:rPr>
        <w:t>乙方如果需要融资贷款服务需求的，可凭成交通知书、政府采购合同等相关资料，按照文件规定的相关政策、业务流程申请办理，具体规定可登录陕西省政府采购信用融资平台（http://www.ccgp-shaanxi.gov.cn/zcdservice/zcd/shanxi/）查询了解。</w:t>
      </w:r>
    </w:p>
    <w:p w14:paraId="4BE19B95">
      <w:pPr>
        <w:spacing w:line="480" w:lineRule="exact"/>
        <w:rPr>
          <w:rFonts w:hint="eastAsia" w:ascii="仿宋" w:hAnsi="仿宋" w:eastAsia="仿宋" w:cs="仿宋"/>
          <w:sz w:val="24"/>
        </w:rPr>
      </w:pPr>
    </w:p>
    <w:tbl>
      <w:tblPr>
        <w:tblStyle w:val="2"/>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00"/>
        <w:gridCol w:w="4399"/>
      </w:tblGrid>
      <w:tr w14:paraId="3985FC69">
        <w:tblPrEx>
          <w:tblCellMar>
            <w:top w:w="0" w:type="dxa"/>
            <w:left w:w="108" w:type="dxa"/>
            <w:bottom w:w="0" w:type="dxa"/>
            <w:right w:w="108" w:type="dxa"/>
          </w:tblCellMar>
        </w:tblPrEx>
        <w:trPr>
          <w:trHeight w:val="4684" w:hRule="atLeast"/>
        </w:trPr>
        <w:tc>
          <w:tcPr>
            <w:tcW w:w="4400" w:type="dxa"/>
            <w:tcMar>
              <w:top w:w="113" w:type="dxa"/>
              <w:left w:w="113" w:type="dxa"/>
              <w:bottom w:w="113" w:type="dxa"/>
              <w:right w:w="113" w:type="dxa"/>
            </w:tcMar>
          </w:tcPr>
          <w:p w14:paraId="291A879C">
            <w:pPr>
              <w:autoSpaceDE w:val="0"/>
              <w:autoSpaceDN w:val="0"/>
              <w:spacing w:line="360" w:lineRule="auto"/>
              <w:ind w:left="210" w:leftChars="100"/>
              <w:rPr>
                <w:rFonts w:hint="eastAsia" w:ascii="仿宋" w:hAnsi="仿宋" w:eastAsia="仿宋" w:cs="仿宋"/>
                <w:sz w:val="24"/>
              </w:rPr>
            </w:pPr>
            <w:bookmarkStart w:id="22" w:name="_Toc193187095"/>
            <w:bookmarkStart w:id="23" w:name="_Toc194663916"/>
            <w:bookmarkStart w:id="24" w:name="_Toc193126879"/>
            <w:bookmarkStart w:id="25" w:name="_Toc188808831"/>
            <w:r>
              <w:rPr>
                <w:rFonts w:hint="eastAsia" w:ascii="仿宋" w:hAnsi="仿宋" w:eastAsia="仿宋" w:cs="仿宋"/>
                <w:sz w:val="24"/>
              </w:rPr>
              <w:t xml:space="preserve">甲方名称：（盖章）                </w:t>
            </w:r>
          </w:p>
          <w:p w14:paraId="79D13566">
            <w:pPr>
              <w:autoSpaceDE w:val="0"/>
              <w:autoSpaceDN w:val="0"/>
              <w:spacing w:line="360" w:lineRule="auto"/>
              <w:ind w:left="210" w:leftChars="100"/>
              <w:rPr>
                <w:rFonts w:hint="eastAsia" w:ascii="仿宋" w:hAnsi="仿宋" w:eastAsia="仿宋" w:cs="仿宋"/>
                <w:sz w:val="24"/>
              </w:rPr>
            </w:pPr>
            <w:r>
              <w:rPr>
                <w:rFonts w:hint="eastAsia" w:ascii="仿宋" w:hAnsi="仿宋" w:eastAsia="仿宋" w:cs="仿宋"/>
                <w:sz w:val="24"/>
              </w:rPr>
              <w:t xml:space="preserve">地    址： </w:t>
            </w:r>
          </w:p>
          <w:p w14:paraId="69FA8011">
            <w:pPr>
              <w:autoSpaceDE w:val="0"/>
              <w:autoSpaceDN w:val="0"/>
              <w:spacing w:line="360" w:lineRule="auto"/>
              <w:ind w:left="210" w:leftChars="100"/>
              <w:rPr>
                <w:rFonts w:hint="eastAsia" w:ascii="仿宋" w:hAnsi="仿宋" w:eastAsia="仿宋" w:cs="仿宋"/>
                <w:sz w:val="24"/>
              </w:rPr>
            </w:pPr>
            <w:r>
              <w:rPr>
                <w:rFonts w:hint="eastAsia" w:ascii="仿宋" w:hAnsi="仿宋" w:eastAsia="仿宋" w:cs="仿宋"/>
                <w:sz w:val="24"/>
              </w:rPr>
              <w:t>邮    编：</w:t>
            </w:r>
          </w:p>
          <w:p w14:paraId="4A0FE950">
            <w:pPr>
              <w:autoSpaceDE w:val="0"/>
              <w:autoSpaceDN w:val="0"/>
              <w:spacing w:line="360" w:lineRule="auto"/>
              <w:ind w:left="210" w:leftChars="100"/>
              <w:rPr>
                <w:rFonts w:hint="eastAsia" w:ascii="仿宋" w:hAnsi="仿宋" w:eastAsia="仿宋" w:cs="仿宋"/>
                <w:sz w:val="24"/>
              </w:rPr>
            </w:pPr>
            <w:r>
              <w:rPr>
                <w:rFonts w:hint="eastAsia" w:ascii="仿宋" w:hAnsi="仿宋" w:eastAsia="仿宋" w:cs="仿宋"/>
                <w:sz w:val="24"/>
              </w:rPr>
              <w:t>电    话：</w:t>
            </w:r>
          </w:p>
          <w:p w14:paraId="5F76736F">
            <w:pPr>
              <w:autoSpaceDE w:val="0"/>
              <w:autoSpaceDN w:val="0"/>
              <w:spacing w:line="360" w:lineRule="auto"/>
              <w:ind w:left="210" w:leftChars="100"/>
              <w:rPr>
                <w:rFonts w:hint="eastAsia" w:ascii="仿宋" w:hAnsi="仿宋" w:eastAsia="仿宋" w:cs="仿宋"/>
                <w:sz w:val="24"/>
              </w:rPr>
            </w:pPr>
            <w:r>
              <w:rPr>
                <w:rFonts w:hint="eastAsia" w:ascii="仿宋" w:hAnsi="仿宋" w:eastAsia="仿宋" w:cs="仿宋"/>
                <w:sz w:val="24"/>
              </w:rPr>
              <w:t>传    真：</w:t>
            </w:r>
          </w:p>
          <w:p w14:paraId="5E374D34">
            <w:pPr>
              <w:autoSpaceDE w:val="0"/>
              <w:autoSpaceDN w:val="0"/>
              <w:spacing w:line="360" w:lineRule="auto"/>
              <w:ind w:left="210" w:leftChars="100"/>
              <w:rPr>
                <w:rFonts w:hint="eastAsia" w:ascii="仿宋" w:hAnsi="仿宋" w:eastAsia="仿宋" w:cs="仿宋"/>
                <w:sz w:val="24"/>
              </w:rPr>
            </w:pPr>
            <w:r>
              <w:rPr>
                <w:rFonts w:hint="eastAsia" w:ascii="仿宋" w:hAnsi="仿宋" w:eastAsia="仿宋" w:cs="仿宋"/>
                <w:sz w:val="24"/>
              </w:rPr>
              <w:t>法定代表人/授权代表人签字或盖章：</w:t>
            </w:r>
          </w:p>
          <w:p w14:paraId="0A99A29B">
            <w:pPr>
              <w:autoSpaceDE w:val="0"/>
              <w:autoSpaceDN w:val="0"/>
              <w:spacing w:line="360" w:lineRule="auto"/>
              <w:rPr>
                <w:rFonts w:hint="eastAsia" w:ascii="仿宋" w:hAnsi="仿宋" w:eastAsia="仿宋" w:cs="仿宋"/>
                <w:sz w:val="24"/>
              </w:rPr>
            </w:pPr>
            <w:r>
              <w:rPr>
                <w:rFonts w:hint="eastAsia" w:ascii="仿宋" w:hAnsi="仿宋" w:eastAsia="仿宋" w:cs="仿宋"/>
                <w:sz w:val="24"/>
              </w:rPr>
              <w:t xml:space="preserve">               </w:t>
            </w:r>
          </w:p>
          <w:p w14:paraId="42FFB833">
            <w:pPr>
              <w:autoSpaceDE w:val="0"/>
              <w:autoSpaceDN w:val="0"/>
              <w:spacing w:line="360" w:lineRule="auto"/>
              <w:rPr>
                <w:rFonts w:hint="eastAsia" w:ascii="仿宋" w:hAnsi="仿宋" w:eastAsia="仿宋" w:cs="仿宋"/>
                <w:sz w:val="24"/>
              </w:rPr>
            </w:pPr>
          </w:p>
          <w:p w14:paraId="674A5697">
            <w:pPr>
              <w:autoSpaceDE w:val="0"/>
              <w:autoSpaceDN w:val="0"/>
              <w:spacing w:line="360" w:lineRule="auto"/>
              <w:jc w:val="right"/>
              <w:rPr>
                <w:rFonts w:hint="eastAsia" w:ascii="仿宋" w:hAnsi="仿宋" w:eastAsia="仿宋" w:cs="仿宋"/>
                <w:sz w:val="24"/>
              </w:rPr>
            </w:pPr>
            <w:r>
              <w:rPr>
                <w:rFonts w:hint="eastAsia" w:ascii="仿宋" w:hAnsi="仿宋" w:eastAsia="仿宋" w:cs="仿宋"/>
                <w:sz w:val="24"/>
              </w:rPr>
              <w:t xml:space="preserve"> 年  月  日      </w:t>
            </w:r>
          </w:p>
        </w:tc>
        <w:tc>
          <w:tcPr>
            <w:tcW w:w="4399" w:type="dxa"/>
            <w:tcMar>
              <w:top w:w="113" w:type="dxa"/>
              <w:left w:w="113" w:type="dxa"/>
              <w:bottom w:w="113" w:type="dxa"/>
              <w:right w:w="113" w:type="dxa"/>
            </w:tcMar>
          </w:tcPr>
          <w:p w14:paraId="29E8C56F">
            <w:pPr>
              <w:autoSpaceDE w:val="0"/>
              <w:autoSpaceDN w:val="0"/>
              <w:spacing w:line="360" w:lineRule="auto"/>
              <w:ind w:left="210" w:leftChars="100"/>
              <w:rPr>
                <w:rFonts w:hint="eastAsia" w:ascii="仿宋" w:hAnsi="仿宋" w:eastAsia="仿宋" w:cs="仿宋"/>
                <w:sz w:val="24"/>
              </w:rPr>
            </w:pPr>
            <w:r>
              <w:rPr>
                <w:rFonts w:hint="eastAsia" w:ascii="仿宋" w:hAnsi="仿宋" w:eastAsia="仿宋" w:cs="仿宋"/>
                <w:sz w:val="24"/>
              </w:rPr>
              <w:t>乙方名称：（盖章）</w:t>
            </w:r>
          </w:p>
          <w:p w14:paraId="61EB0059">
            <w:pPr>
              <w:autoSpaceDE w:val="0"/>
              <w:autoSpaceDN w:val="0"/>
              <w:spacing w:line="360" w:lineRule="auto"/>
              <w:ind w:left="210" w:leftChars="100"/>
              <w:rPr>
                <w:rFonts w:hint="eastAsia" w:ascii="仿宋" w:hAnsi="仿宋" w:eastAsia="仿宋" w:cs="仿宋"/>
                <w:sz w:val="24"/>
              </w:rPr>
            </w:pPr>
            <w:r>
              <w:rPr>
                <w:rFonts w:hint="eastAsia" w:ascii="仿宋" w:hAnsi="仿宋" w:eastAsia="仿宋" w:cs="仿宋"/>
                <w:sz w:val="24"/>
              </w:rPr>
              <w:t xml:space="preserve">地    址： </w:t>
            </w:r>
          </w:p>
          <w:p w14:paraId="0F794C0C">
            <w:pPr>
              <w:autoSpaceDE w:val="0"/>
              <w:autoSpaceDN w:val="0"/>
              <w:spacing w:line="360" w:lineRule="auto"/>
              <w:ind w:left="210" w:leftChars="100"/>
              <w:rPr>
                <w:rFonts w:hint="eastAsia" w:ascii="仿宋" w:hAnsi="仿宋" w:eastAsia="仿宋" w:cs="仿宋"/>
                <w:sz w:val="24"/>
              </w:rPr>
            </w:pPr>
            <w:r>
              <w:rPr>
                <w:rFonts w:hint="eastAsia" w:ascii="仿宋" w:hAnsi="仿宋" w:eastAsia="仿宋" w:cs="仿宋"/>
                <w:sz w:val="24"/>
              </w:rPr>
              <w:t xml:space="preserve">邮    编： </w:t>
            </w:r>
          </w:p>
          <w:p w14:paraId="3B67298C">
            <w:pPr>
              <w:autoSpaceDE w:val="0"/>
              <w:autoSpaceDN w:val="0"/>
              <w:spacing w:line="360" w:lineRule="auto"/>
              <w:ind w:left="210" w:leftChars="100"/>
              <w:rPr>
                <w:rFonts w:hint="eastAsia" w:ascii="仿宋" w:hAnsi="仿宋" w:eastAsia="仿宋" w:cs="仿宋"/>
                <w:sz w:val="24"/>
              </w:rPr>
            </w:pPr>
            <w:r>
              <w:rPr>
                <w:rFonts w:hint="eastAsia" w:ascii="仿宋" w:hAnsi="仿宋" w:eastAsia="仿宋" w:cs="仿宋"/>
                <w:sz w:val="24"/>
              </w:rPr>
              <w:t xml:space="preserve">电    话： </w:t>
            </w:r>
          </w:p>
          <w:p w14:paraId="7FB1BABE">
            <w:pPr>
              <w:autoSpaceDE w:val="0"/>
              <w:autoSpaceDN w:val="0"/>
              <w:spacing w:line="360" w:lineRule="auto"/>
              <w:ind w:left="210" w:leftChars="100"/>
              <w:rPr>
                <w:rFonts w:hint="eastAsia" w:ascii="仿宋" w:hAnsi="仿宋" w:eastAsia="仿宋" w:cs="仿宋"/>
                <w:sz w:val="24"/>
              </w:rPr>
            </w:pPr>
            <w:r>
              <w:rPr>
                <w:rFonts w:hint="eastAsia" w:ascii="仿宋" w:hAnsi="仿宋" w:eastAsia="仿宋" w:cs="仿宋"/>
                <w:sz w:val="24"/>
              </w:rPr>
              <w:t xml:space="preserve">传    真：  </w:t>
            </w:r>
          </w:p>
          <w:p w14:paraId="605617E3">
            <w:pPr>
              <w:autoSpaceDE w:val="0"/>
              <w:autoSpaceDN w:val="0"/>
              <w:spacing w:line="360" w:lineRule="auto"/>
              <w:ind w:left="210" w:leftChars="100"/>
              <w:rPr>
                <w:rFonts w:hint="eastAsia" w:ascii="仿宋" w:hAnsi="仿宋" w:eastAsia="仿宋" w:cs="仿宋"/>
                <w:sz w:val="24"/>
              </w:rPr>
            </w:pPr>
            <w:r>
              <w:rPr>
                <w:rFonts w:hint="eastAsia" w:ascii="仿宋" w:hAnsi="仿宋" w:eastAsia="仿宋" w:cs="仿宋"/>
                <w:sz w:val="24"/>
              </w:rPr>
              <w:t>开户银行：</w:t>
            </w:r>
          </w:p>
          <w:p w14:paraId="61DF4BE2">
            <w:pPr>
              <w:autoSpaceDE w:val="0"/>
              <w:autoSpaceDN w:val="0"/>
              <w:spacing w:line="360" w:lineRule="auto"/>
              <w:ind w:left="210" w:leftChars="100"/>
              <w:rPr>
                <w:rFonts w:hint="eastAsia" w:ascii="仿宋" w:hAnsi="仿宋" w:eastAsia="仿宋" w:cs="仿宋"/>
                <w:sz w:val="24"/>
              </w:rPr>
            </w:pPr>
            <w:r>
              <w:rPr>
                <w:rFonts w:hint="eastAsia" w:ascii="仿宋" w:hAnsi="仿宋" w:eastAsia="仿宋" w:cs="仿宋"/>
                <w:sz w:val="24"/>
              </w:rPr>
              <w:t>账    号：</w:t>
            </w:r>
          </w:p>
          <w:p w14:paraId="4E6F16EF">
            <w:pPr>
              <w:autoSpaceDE w:val="0"/>
              <w:autoSpaceDN w:val="0"/>
              <w:spacing w:line="360" w:lineRule="auto"/>
              <w:ind w:left="210" w:leftChars="100"/>
              <w:rPr>
                <w:rFonts w:hint="eastAsia" w:ascii="仿宋" w:hAnsi="仿宋" w:eastAsia="仿宋" w:cs="仿宋"/>
                <w:sz w:val="24"/>
              </w:rPr>
            </w:pPr>
            <w:r>
              <w:rPr>
                <w:rFonts w:hint="eastAsia" w:ascii="仿宋" w:hAnsi="仿宋" w:eastAsia="仿宋" w:cs="仿宋"/>
                <w:sz w:val="24"/>
              </w:rPr>
              <w:t>法定代表人/授权代表人签字或盖章：</w:t>
            </w:r>
          </w:p>
          <w:p w14:paraId="16CFB601">
            <w:pPr>
              <w:spacing w:line="360" w:lineRule="auto"/>
              <w:ind w:left="210" w:leftChars="100"/>
              <w:rPr>
                <w:rFonts w:hint="eastAsia" w:ascii="仿宋" w:hAnsi="仿宋" w:eastAsia="仿宋" w:cs="仿宋"/>
                <w:sz w:val="24"/>
              </w:rPr>
            </w:pPr>
            <w:r>
              <w:rPr>
                <w:rFonts w:hint="eastAsia" w:ascii="仿宋" w:hAnsi="仿宋" w:eastAsia="仿宋" w:cs="仿宋"/>
                <w:sz w:val="24"/>
              </w:rPr>
              <w:t xml:space="preserve">                 年  月  日</w:t>
            </w:r>
          </w:p>
        </w:tc>
      </w:tr>
      <w:bookmarkEnd w:id="22"/>
      <w:bookmarkEnd w:id="23"/>
      <w:bookmarkEnd w:id="24"/>
      <w:bookmarkEnd w:id="25"/>
    </w:tbl>
    <w:p w14:paraId="0720CFD6">
      <w:bookmarkStart w:id="26" w:name="_GoBack"/>
      <w:bookmarkEnd w:id="2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3130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2026-06-02T07:47:19Z</dcterms:created>
  <dc:creator>F</dc:creator>
  <cp:lastModifiedBy>Fernweh</cp:lastModifiedBy>
  <dcterms:modified xsi:type="dcterms:W3CDTF">2026-06-02T07:47:25Z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eyJoZGlkIjoiY2JjODhmZmUxNjY2ODczNjFmOWNmZTdhNGRlY2M5M2QiLCJ1c2VySWQiOiIyMDMzODM5NzcifQ==</vt:lpwstr>
  </property>
  <property fmtid="{D5CDD505-2E9C-101B-9397-08002B2CF9AE}" pid="4" name="ICV">
    <vt:lpwstr>3CA7166AEA0342FE9377F8B037033318_12</vt:lpwstr>
  </property>
</Properties>
</file>