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版本号：GCCS26-01520260514001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灵沼街道实用性村庄规划编制服务项目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GCCS26-015</w:t>
      </w:r>
      <w:r>
        <w:br/>
      </w:r>
      <w:r>
        <w:br/>
      </w:r>
      <w:r>
        <w:br/>
      </w:r>
    </w:p>
    <w:p>
      <w:pPr>
        <w:pStyle w:val="null3"/>
        <w:jc w:val="center"/>
        <w:outlineLvl w:val="2"/>
      </w:pPr>
      <w:r>
        <w:rPr>
          <w:rFonts w:ascii="仿宋_GB2312" w:hAnsi="仿宋_GB2312" w:cs="仿宋_GB2312" w:eastAsia="仿宋_GB2312"/>
          <w:sz w:val="28"/>
          <w:b/>
        </w:rPr>
        <w:t>西安市长安区灵沼街道办事处</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西安市长安区灵沼街道办事处</w:t>
      </w:r>
      <w:r>
        <w:rPr>
          <w:rFonts w:ascii="仿宋_GB2312" w:hAnsi="仿宋_GB2312" w:cs="仿宋_GB2312" w:eastAsia="仿宋_GB2312"/>
        </w:rPr>
        <w:t>委托，拟对</w:t>
      </w:r>
      <w:r>
        <w:rPr>
          <w:rFonts w:ascii="仿宋_GB2312" w:hAnsi="仿宋_GB2312" w:cs="仿宋_GB2312" w:eastAsia="仿宋_GB2312"/>
        </w:rPr>
        <w:t>灵沼街道实用性村庄规划编制服务项目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灵沼街道实用性村庄规划编制服务项目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规划编制服务包括灵沼街道灵沼村、冯村、苗驾村、官道村4个村庄全域的规划，主要包括开展村庄详细调研、确定村庄发展目标和规模、村域国土空间布局、生态保护与修复工作、耕地和永久基本农田保护、历史文化传承与保护、产业发展、建设空间布局、村庄安全和防灾减灾、规划近期实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1、供应商特殊资格要求：供应商需具备城乡规划（国土空间规划）编制乙级及以上资质（含乙级），并在有效期内。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西安市长安区灵沼街道办事处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西安市长安区灵沼街道里兆渠村甲字1号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029-85856333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招标代理服务收费管理暂行办法》的通知（计价格[2002]1980号）和《关于招标代理服务收费有关问题的通知》（发改办价格[2003]857号）的有关规定按标准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西安市长安区灵沼街道办事处</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西安市长安区灵沼街道办事处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西安市长安区灵沼街道办事处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 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规划编制服务包括灵沼街道灵沼村、冯村、苗驾村、官道村4个村庄全域的规划，主要包括开展村庄详细调研、确定村庄发展目标和规模、村域国土空间布局、生态保护与修复工作、耕地和永久基本农田保护、历史文化传承与保护、产业发展、建设空间布局、村庄安全和防灾减灾、规划近期实施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灵沼街道4个村实用性村庄规划编制服务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标的名称：灵沼街道4个村实用性村庄规划编制服务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一、项目概况</w:t>
            </w:r>
          </w:p>
          <w:p>
            <w:pPr>
              <w:pStyle w:val="null3"/>
              <w:ind w:firstLine="480"/>
              <w:jc w:val="both"/>
            </w:pPr>
            <w:r>
              <w:rPr>
                <w:rFonts w:ascii="仿宋_GB2312" w:hAnsi="仿宋_GB2312" w:cs="仿宋_GB2312" w:eastAsia="仿宋_GB2312"/>
                <w:sz w:val="21"/>
              </w:rPr>
              <w:t>包括灵沼街道灵沼村、冯村、苗驾村、官道村4个村庄全域的规划。其中灵沼村总面积401.77公顷;冯村总面积287.06公顷;苗驾村总面积287.45公顷;官道村总面积197.2公顷。</w:t>
            </w:r>
          </w:p>
          <w:p>
            <w:pPr>
              <w:pStyle w:val="null3"/>
              <w:ind w:firstLine="480"/>
              <w:jc w:val="both"/>
            </w:pPr>
            <w:r>
              <w:rPr>
                <w:rFonts w:ascii="仿宋_GB2312" w:hAnsi="仿宋_GB2312" w:cs="仿宋_GB2312" w:eastAsia="仿宋_GB2312"/>
                <w:sz w:val="21"/>
              </w:rPr>
              <w:t>二、工作内容</w:t>
            </w:r>
          </w:p>
          <w:p>
            <w:pPr>
              <w:pStyle w:val="null3"/>
              <w:ind w:firstLine="480"/>
              <w:jc w:val="both"/>
            </w:pPr>
            <w:r>
              <w:rPr>
                <w:rFonts w:ascii="仿宋_GB2312" w:hAnsi="仿宋_GB2312" w:cs="仿宋_GB2312" w:eastAsia="仿宋_GB2312"/>
                <w:sz w:val="21"/>
              </w:rPr>
              <w:t>依据《实用性村庄规划编制技术规程》《西安市实用性村庄规划编制指引及成果规范(试行)》，本次实用性规划主要包括十方面内容:</w:t>
            </w:r>
          </w:p>
          <w:p>
            <w:pPr>
              <w:pStyle w:val="null3"/>
              <w:ind w:firstLine="480"/>
              <w:jc w:val="both"/>
            </w:pPr>
            <w:r>
              <w:rPr>
                <w:rFonts w:ascii="仿宋_GB2312" w:hAnsi="仿宋_GB2312" w:cs="仿宋_GB2312" w:eastAsia="仿宋_GB2312"/>
                <w:sz w:val="21"/>
              </w:rPr>
              <w:t>1、开展村庄详细调研</w:t>
            </w:r>
          </w:p>
          <w:p>
            <w:pPr>
              <w:pStyle w:val="null3"/>
              <w:ind w:firstLine="480"/>
              <w:jc w:val="both"/>
            </w:pPr>
            <w:r>
              <w:rPr>
                <w:rFonts w:ascii="仿宋_GB2312" w:hAnsi="仿宋_GB2312" w:cs="仿宋_GB2312" w:eastAsia="仿宋_GB2312"/>
                <w:sz w:val="21"/>
              </w:rPr>
              <w:t>深入现场开展村庄规划调研及分析工作，针对村庄发展的底线约束、资源禀赋、历史文化、交通区位、人口、产业、土地利用情况、设施建设情况等方面展开分析评价，总结提炼村庄的特点、优势、发展需求和主要问题。</w:t>
            </w:r>
          </w:p>
          <w:p>
            <w:pPr>
              <w:pStyle w:val="null3"/>
              <w:ind w:firstLine="480"/>
              <w:jc w:val="both"/>
            </w:pPr>
            <w:r>
              <w:rPr>
                <w:rFonts w:ascii="仿宋_GB2312" w:hAnsi="仿宋_GB2312" w:cs="仿宋_GB2312" w:eastAsia="仿宋_GB2312"/>
                <w:sz w:val="21"/>
              </w:rPr>
              <w:t>2、确定村庄发展目标和规模</w:t>
            </w:r>
          </w:p>
          <w:p>
            <w:pPr>
              <w:pStyle w:val="null3"/>
              <w:ind w:firstLine="480"/>
              <w:jc w:val="both"/>
            </w:pPr>
            <w:r>
              <w:rPr>
                <w:rFonts w:ascii="仿宋_GB2312" w:hAnsi="仿宋_GB2312" w:cs="仿宋_GB2312" w:eastAsia="仿宋_GB2312"/>
                <w:sz w:val="21"/>
              </w:rPr>
              <w:t>确定村庄发展定位，提出村庄国土空间开发保护、文化保护、人居环境整治、设施配置的目标等。合理预测人口规模，明确村庄功能定位，制定村庄发展、国土空间开发保护、公共服务、人居环境、整治修复等方面的目标。</w:t>
            </w:r>
          </w:p>
          <w:p>
            <w:pPr>
              <w:pStyle w:val="null3"/>
              <w:ind w:firstLine="480"/>
              <w:jc w:val="both"/>
            </w:pPr>
            <w:r>
              <w:rPr>
                <w:rFonts w:ascii="仿宋_GB2312" w:hAnsi="仿宋_GB2312" w:cs="仿宋_GB2312" w:eastAsia="仿宋_GB2312"/>
                <w:sz w:val="21"/>
              </w:rPr>
              <w:t>3、村域国土空间布局</w:t>
            </w:r>
          </w:p>
          <w:p>
            <w:pPr>
              <w:pStyle w:val="null3"/>
              <w:ind w:firstLine="480"/>
              <w:jc w:val="both"/>
            </w:pPr>
            <w:r>
              <w:rPr>
                <w:rFonts w:ascii="仿宋_GB2312" w:hAnsi="仿宋_GB2312" w:cs="仿宋_GB2312" w:eastAsia="仿宋_GB2312"/>
                <w:sz w:val="21"/>
              </w:rPr>
              <w:t>按照“生态环境有改善、耕地保有量不减少、质量不降低、空间布局有优化、集约节约建设用地的”要求，合理划分村庄的生态空间、农业空间和建设空间。在不改变上位规划约束性指标和强制性内容的前提下，根据村庄发展目标，优化调整村域用地结构、用地布局，明确各类用地的调整情况和规划用途。</w:t>
            </w:r>
          </w:p>
          <w:p>
            <w:pPr>
              <w:pStyle w:val="null3"/>
              <w:ind w:firstLine="480"/>
              <w:jc w:val="both"/>
            </w:pPr>
            <w:r>
              <w:rPr>
                <w:rFonts w:ascii="仿宋_GB2312" w:hAnsi="仿宋_GB2312" w:cs="仿宋_GB2312" w:eastAsia="仿宋_GB2312"/>
                <w:sz w:val="21"/>
              </w:rPr>
              <w:t>4、生态保护与修复工作</w:t>
            </w:r>
          </w:p>
          <w:p>
            <w:pPr>
              <w:pStyle w:val="null3"/>
              <w:ind w:firstLine="480"/>
              <w:jc w:val="both"/>
            </w:pPr>
            <w:r>
              <w:rPr>
                <w:rFonts w:ascii="仿宋_GB2312" w:hAnsi="仿宋_GB2312" w:cs="仿宋_GB2312" w:eastAsia="仿宋_GB2312"/>
                <w:sz w:val="21"/>
              </w:rPr>
              <w:t>落实深化上位规划确定的各类国土综合整治与生态修复的目标任务、整治区域、主要内容、空间布局等，将其细化到具体地块，形成相关的任务清单。</w:t>
            </w:r>
          </w:p>
          <w:p>
            <w:pPr>
              <w:pStyle w:val="null3"/>
              <w:ind w:firstLine="480"/>
              <w:jc w:val="both"/>
            </w:pPr>
            <w:r>
              <w:rPr>
                <w:rFonts w:ascii="仿宋_GB2312" w:hAnsi="仿宋_GB2312" w:cs="仿宋_GB2312" w:eastAsia="仿宋_GB2312"/>
                <w:sz w:val="21"/>
              </w:rPr>
              <w:t>5、耕地和永久基本农田保护</w:t>
            </w:r>
          </w:p>
          <w:p>
            <w:pPr>
              <w:pStyle w:val="null3"/>
              <w:ind w:firstLine="480"/>
              <w:jc w:val="both"/>
            </w:pPr>
            <w:r>
              <w:rPr>
                <w:rFonts w:ascii="仿宋_GB2312" w:hAnsi="仿宋_GB2312" w:cs="仿宋_GB2312" w:eastAsia="仿宋_GB2312"/>
                <w:sz w:val="21"/>
              </w:rPr>
              <w:t>落位上位规划划定永久性基本农田保护红线及永久性基本农田储备区的划定成果，划定农业空间，明确农业空间管制规则。</w:t>
            </w:r>
          </w:p>
          <w:p>
            <w:pPr>
              <w:pStyle w:val="null3"/>
              <w:ind w:firstLine="480"/>
              <w:jc w:val="both"/>
            </w:pPr>
            <w:r>
              <w:rPr>
                <w:rFonts w:ascii="仿宋_GB2312" w:hAnsi="仿宋_GB2312" w:cs="仿宋_GB2312" w:eastAsia="仿宋_GB2312"/>
                <w:sz w:val="21"/>
              </w:rPr>
              <w:t>6、历史文化传承与保护</w:t>
            </w:r>
          </w:p>
          <w:p>
            <w:pPr>
              <w:pStyle w:val="null3"/>
              <w:ind w:firstLine="480"/>
              <w:jc w:val="both"/>
            </w:pPr>
            <w:r>
              <w:rPr>
                <w:rFonts w:ascii="仿宋_GB2312" w:hAnsi="仿宋_GB2312" w:cs="仿宋_GB2312" w:eastAsia="仿宋_GB2312"/>
                <w:sz w:val="21"/>
              </w:rPr>
              <w:t>梳理村庄历史文化要素，研究村庄地形地貌、历史沿革、建筑特色、风俗人情、非物质文化遗产等历史文化价值，协调村庄与周边重要自然景观资源的关系，塑造富有地域乡土特色、城郊融合发展的村庄。</w:t>
            </w:r>
          </w:p>
          <w:p>
            <w:pPr>
              <w:pStyle w:val="null3"/>
              <w:ind w:firstLine="480"/>
              <w:jc w:val="both"/>
            </w:pPr>
            <w:r>
              <w:rPr>
                <w:rFonts w:ascii="仿宋_GB2312" w:hAnsi="仿宋_GB2312" w:cs="仿宋_GB2312" w:eastAsia="仿宋_GB2312"/>
                <w:sz w:val="21"/>
              </w:rPr>
              <w:t>7、产业发展</w:t>
            </w:r>
          </w:p>
          <w:p>
            <w:pPr>
              <w:pStyle w:val="null3"/>
              <w:ind w:firstLine="480"/>
              <w:jc w:val="both"/>
            </w:pPr>
            <w:r>
              <w:rPr>
                <w:rFonts w:ascii="仿宋_GB2312" w:hAnsi="仿宋_GB2312" w:cs="仿宋_GB2312" w:eastAsia="仿宋_GB2312"/>
                <w:sz w:val="21"/>
              </w:rPr>
              <w:t>结合村庄特色资源，提出村庄产业发展的方向和思路。按照差异化、规模化、特色化的要求，提出产业发展策略，确定村庄产业发展类型、科学安排村庄产业用地，统筹一二三产业发展。</w:t>
            </w:r>
          </w:p>
          <w:p>
            <w:pPr>
              <w:pStyle w:val="null3"/>
              <w:ind w:firstLine="480"/>
              <w:jc w:val="both"/>
            </w:pPr>
            <w:r>
              <w:rPr>
                <w:rFonts w:ascii="仿宋_GB2312" w:hAnsi="仿宋_GB2312" w:cs="仿宋_GB2312" w:eastAsia="仿宋_GB2312"/>
                <w:sz w:val="21"/>
              </w:rPr>
              <w:t>8、建设空间布局</w:t>
            </w:r>
          </w:p>
          <w:p>
            <w:pPr>
              <w:pStyle w:val="null3"/>
              <w:ind w:firstLine="480"/>
              <w:jc w:val="both"/>
            </w:pPr>
            <w:r>
              <w:rPr>
                <w:rFonts w:ascii="仿宋_GB2312" w:hAnsi="仿宋_GB2312" w:cs="仿宋_GB2312" w:eastAsia="仿宋_GB2312"/>
                <w:sz w:val="21"/>
              </w:rPr>
              <w:t>严格落实“一户一宅”，合理布局公共建筑、街巷道路，提出宅基地内院落布置、公共空间的平面布局，合理划定宅基地建设范围，引导民居集中建设。制定与村庄整体风貌相协调的风貌管控要求。</w:t>
            </w:r>
          </w:p>
          <w:p>
            <w:pPr>
              <w:pStyle w:val="null3"/>
              <w:ind w:firstLine="480"/>
              <w:jc w:val="both"/>
            </w:pPr>
            <w:r>
              <w:rPr>
                <w:rFonts w:ascii="仿宋_GB2312" w:hAnsi="仿宋_GB2312" w:cs="仿宋_GB2312" w:eastAsia="仿宋_GB2312"/>
                <w:sz w:val="21"/>
              </w:rPr>
              <w:t>在村庄公共服务设施方面，依据村庄类型、人口规模和实际需求，确定村庄公共服务设施选址、规模和布局。针对旅游资源丰富的村庄，应增加旅游相关的服务设施。</w:t>
            </w:r>
          </w:p>
          <w:p>
            <w:pPr>
              <w:pStyle w:val="null3"/>
              <w:ind w:firstLine="480"/>
              <w:jc w:val="both"/>
            </w:pPr>
            <w:r>
              <w:rPr>
                <w:rFonts w:ascii="仿宋_GB2312" w:hAnsi="仿宋_GB2312" w:cs="仿宋_GB2312" w:eastAsia="仿宋_GB2312"/>
                <w:sz w:val="21"/>
              </w:rPr>
              <w:t>在道路交通规划方面，村域层面落实上位规划确定区域性道路，公共交通和各项交通设施建设的要求;形成完善连通的村庄道路，结合实际规划田间路和停车设施。</w:t>
            </w:r>
          </w:p>
          <w:p>
            <w:pPr>
              <w:pStyle w:val="null3"/>
              <w:ind w:firstLine="480"/>
              <w:jc w:val="both"/>
            </w:pPr>
            <w:r>
              <w:rPr>
                <w:rFonts w:ascii="仿宋_GB2312" w:hAnsi="仿宋_GB2312" w:cs="仿宋_GB2312" w:eastAsia="仿宋_GB2312"/>
                <w:sz w:val="21"/>
              </w:rPr>
              <w:t>在基础设施规划方面，按照上位规划要求落实区域性的基础设施，结合村庄发展定位、规模以及与园区的关系，以共建共享的原则，明确配置各类设施的要求、标准、规模、类型、时序等。</w:t>
            </w:r>
          </w:p>
          <w:p>
            <w:pPr>
              <w:pStyle w:val="null3"/>
              <w:ind w:firstLine="480"/>
              <w:jc w:val="both"/>
            </w:pPr>
            <w:r>
              <w:rPr>
                <w:rFonts w:ascii="仿宋_GB2312" w:hAnsi="仿宋_GB2312" w:cs="仿宋_GB2312" w:eastAsia="仿宋_GB2312"/>
                <w:sz w:val="21"/>
              </w:rPr>
              <w:t>9、村庄安全和防灾减灾</w:t>
            </w:r>
          </w:p>
          <w:p>
            <w:pPr>
              <w:pStyle w:val="null3"/>
              <w:ind w:firstLine="480"/>
              <w:jc w:val="both"/>
            </w:pPr>
            <w:r>
              <w:rPr>
                <w:rFonts w:ascii="仿宋_GB2312" w:hAnsi="仿宋_GB2312" w:cs="仿宋_GB2312" w:eastAsia="仿宋_GB2312"/>
                <w:sz w:val="21"/>
              </w:rPr>
              <w:t>针对村庄的消防、防洪排涝、地质灾害防治、地震灾害防治、农业灾害防治、公共卫生防疫等方面，提出建设安全韧性村庄的规划设计要求。</w:t>
            </w:r>
          </w:p>
          <w:p>
            <w:pPr>
              <w:pStyle w:val="null3"/>
              <w:ind w:firstLine="480"/>
              <w:jc w:val="both"/>
            </w:pPr>
            <w:r>
              <w:rPr>
                <w:rFonts w:ascii="仿宋_GB2312" w:hAnsi="仿宋_GB2312" w:cs="仿宋_GB2312" w:eastAsia="仿宋_GB2312"/>
                <w:sz w:val="21"/>
              </w:rPr>
              <w:t>10、规划近期实施项目</w:t>
            </w:r>
          </w:p>
          <w:p>
            <w:pPr>
              <w:pStyle w:val="null3"/>
              <w:ind w:firstLine="480"/>
              <w:jc w:val="both"/>
            </w:pPr>
            <w:r>
              <w:rPr>
                <w:rFonts w:ascii="仿宋_GB2312" w:hAnsi="仿宋_GB2312" w:cs="仿宋_GB2312" w:eastAsia="仿宋_GB2312"/>
                <w:sz w:val="21"/>
              </w:rPr>
              <w:t>综合考虑人力、财力和村民的迫切需求，研究提出近期在生态保护与修复、土地整治、农村人居环境提示、村民建房、产业发展、交通设施建设、公共和基础设施配套、历史文化保护等方面急需推进的项目，制定近期建设项目表、建设规模、实施时间、资金规模等内容。</w:t>
            </w:r>
          </w:p>
          <w:p>
            <w:pPr>
              <w:pStyle w:val="null3"/>
              <w:ind w:firstLine="480"/>
              <w:jc w:val="both"/>
            </w:pPr>
            <w:r>
              <w:rPr>
                <w:rFonts w:ascii="仿宋_GB2312" w:hAnsi="仿宋_GB2312" w:cs="仿宋_GB2312" w:eastAsia="仿宋_GB2312"/>
                <w:sz w:val="21"/>
              </w:rPr>
              <w:t>三、工作周期:6个月</w:t>
            </w:r>
          </w:p>
          <w:p>
            <w:pPr>
              <w:pStyle w:val="null3"/>
              <w:ind w:firstLine="480"/>
              <w:jc w:val="both"/>
            </w:pPr>
            <w:r>
              <w:rPr>
                <w:rFonts w:ascii="仿宋_GB2312" w:hAnsi="仿宋_GB2312" w:cs="仿宋_GB2312" w:eastAsia="仿宋_GB2312"/>
                <w:sz w:val="21"/>
              </w:rPr>
              <w:t>四、成果要求</w:t>
            </w:r>
          </w:p>
          <w:p>
            <w:pPr>
              <w:pStyle w:val="null3"/>
              <w:ind w:firstLine="480"/>
              <w:jc w:val="both"/>
            </w:pPr>
            <w:r>
              <w:rPr>
                <w:rFonts w:ascii="仿宋_GB2312" w:hAnsi="仿宋_GB2312" w:cs="仿宋_GB2312" w:eastAsia="仿宋_GB2312"/>
                <w:sz w:val="21"/>
              </w:rPr>
              <w:t>按照相关规范要求，成果包括文本、图集、附件等内容。</w:t>
            </w:r>
          </w:p>
          <w:p>
            <w:pPr>
              <w:pStyle w:val="null3"/>
              <w:ind w:firstLine="480"/>
              <w:jc w:val="both"/>
            </w:pPr>
            <w:r>
              <w:rPr>
                <w:rFonts w:ascii="仿宋_GB2312" w:hAnsi="仿宋_GB2312" w:cs="仿宋_GB2312" w:eastAsia="仿宋_GB2312"/>
                <w:sz w:val="21"/>
              </w:rPr>
              <w:t>纸质版成果:均为A4或A3，份数为4份。</w:t>
            </w:r>
          </w:p>
          <w:p>
            <w:pPr>
              <w:pStyle w:val="null3"/>
              <w:ind w:firstLine="480"/>
              <w:jc w:val="both"/>
            </w:pPr>
            <w:r>
              <w:rPr>
                <w:rFonts w:ascii="仿宋_GB2312" w:hAnsi="仿宋_GB2312" w:cs="仿宋_GB2312" w:eastAsia="仿宋_GB2312"/>
                <w:sz w:val="21"/>
              </w:rPr>
              <w:t>电子版成果:文本、附件为DOC/PDF等格式，图集为JPG格式。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双方签订合同，西安高新区村庄规划专项资金下达后，提交初步成果经甲方验收确认后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按照合同约定执行。（二）合同争议的解决方式 在执行本合同中发生的或与本合同有关的争端，双方应通过友好协商解决，经协商在30天内不能达成协议时，向甲方所在地有管辖权的人民法院提起诉讼。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四）根据《陕西省财政厅关于持续优化政府采购营商环境有关事项的通知》（陕财办采〔2024〕9 号）文件的通知，采购人在中标（成交）通知书发出之日起 25 日内，按照采购文件确定的事项与中标（成交）供应商签订政府采购合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参加政府采购活动应当具备下列条件：（1）具有独立承担民事责任的能力（提供供应商的营业执照等证明文件，自然人的身份证明等；）（2）具有良好的商业信誉和健全的财务会计制度；（3）具有履行合同所必需的设备和专业技术能力；（4）有依法缴纳税收和社会保障资金的良好记录；（5）参加政府采购活动前三年内，在经营活动中没有重大违法记录；（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2）-（5）提供《基本资格条件承诺函》，供应商还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供应商需具备城乡规划（国土空间规划）编制乙级及以上资质（含乙级），并在有效期内。</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对项目认知和实施目的理解</w:t>
            </w:r>
          </w:p>
        </w:tc>
        <w:tc>
          <w:tcPr>
            <w:tcW w:type="dxa" w:w="2492"/>
          </w:tcPr>
          <w:p>
            <w:pPr>
              <w:pStyle w:val="null3"/>
            </w:pPr>
            <w:r>
              <w:rPr>
                <w:rFonts w:ascii="仿宋_GB2312" w:hAnsi="仿宋_GB2312" w:cs="仿宋_GB2312" w:eastAsia="仿宋_GB2312"/>
              </w:rPr>
              <w:t>一、评审内容：供应商能充分了解本项目需求和实施特点，理解本项目的采购背景和需求，结合项目所在区域政策，提供针对本项目规划的整体思路。 二、评审标准： 以上内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本项目整体实施方案</w:t>
            </w:r>
          </w:p>
        </w:tc>
        <w:tc>
          <w:tcPr>
            <w:tcW w:type="dxa" w:w="2492"/>
          </w:tcPr>
          <w:p>
            <w:pPr>
              <w:pStyle w:val="null3"/>
            </w:pPr>
            <w:r>
              <w:rPr>
                <w:rFonts w:ascii="仿宋_GB2312" w:hAnsi="仿宋_GB2312" w:cs="仿宋_GB2312" w:eastAsia="仿宋_GB2312"/>
              </w:rPr>
              <w:t>一、评审内容：根据采购需求编制本项目整体实施方案，具体包括： ①村庄详细调研方案（5分）； ②工作技术流程（5分）；③项目重点和难点分析（5分）； ④实用性村庄规划方案编制（5分）；⑤项目实施进度安排（5分）。 二、评审标准：以上内容每一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一、评审内容：针对采购内容提出适用于本项目的保障措施，包括： ①项目成果管理措施（5分）； ②工作质量保证措施（5分）； ③保密措施（5分）。 二、评审标准：以上内容每一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一、评审内容：针对采购内容提出适用于本项目的服务承诺，方案包括：①服务期内，按要求完成各项相关服务及对服务团队的稳定性的承诺（5分）； ②对服务期内，各项应急情况保障的承诺（5分）； ③对项目后期，提供配合采购人相关工作等内容的承诺（5分）。 二、评审标准：以上内容每一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项目负责人具有注册规划师职业资格和规划专业副高级及以上职称得 5分；具有注册规划师职业资格和规划专业中级职称2分，本项最多得 5 分。 （注：需提供身份证、最高学历证、相关资质资格证书。）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自2022年1月1日至今具有同类型规划编制项目负责人业绩，每提供1项得2.5分，最多得5分。 （需提供合同协议书或验收资料等可证明其担任项目负责人的证明材料扫描件。）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1、项目规划设计组成员（不含项目负责人）同时具备注册城乡规划师执业资格和城市规划类高级工程师及以上职称。每提供 1 人满足上述条件的加 1 分，最多得 6分。 2、项目负责人、项目规划设计组成员除外，提供建筑专业、交通规划、土地规划、市政规划的高级工程师(以职称证书为准)，每个专业得1分，满分4分。 （注：需提供身份证、最高学历证、相关资质资格证书。）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近三年（2023年1月1日至今）承担过类似项目的，每提供1个得2分，最高得10分；业绩证明（以合同或中标通知书为准，须在响应文件中附相关证明材料的扫描件）。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以本次满足磋商文件要求的最低磋商评审价为磋商基准价，其价格为满分，供应商的价格分，统一按照下列公式计算：磋商评审价=最后报价×（1-报价扣除幅度） ，最后报价得分=(磋商基准价／磋商评审价)×价格分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