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版本号：SCZD2026-ZB-1553-00120260609002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2026年慢病管理软件扩建项目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SCZD2026-ZB-1553-001</w:t>
      </w:r>
      <w:r>
        <w:br/>
      </w:r>
      <w:r>
        <w:br/>
      </w:r>
      <w:r>
        <w:br/>
      </w:r>
    </w:p>
    <w:p>
      <w:pPr>
        <w:pStyle w:val="null3"/>
        <w:jc w:val="center"/>
        <w:outlineLvl w:val="2"/>
      </w:pPr>
      <w:r>
        <w:rPr>
          <w:rFonts w:ascii="仿宋_GB2312" w:hAnsi="仿宋_GB2312" w:cs="仿宋_GB2312" w:eastAsia="仿宋_GB2312"/>
          <w:sz w:val="28"/>
          <w:b/>
        </w:rPr>
        <w:t>镇巴县人民医院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镇巴县人民医院</w:t>
      </w:r>
      <w:r>
        <w:rPr>
          <w:rFonts w:ascii="仿宋_GB2312" w:hAnsi="仿宋_GB2312" w:cs="仿宋_GB2312" w:eastAsia="仿宋_GB2312"/>
        </w:rPr>
        <w:t>委托，拟对</w:t>
      </w:r>
      <w:r>
        <w:rPr>
          <w:rFonts w:ascii="仿宋_GB2312" w:hAnsi="仿宋_GB2312" w:cs="仿宋_GB2312" w:eastAsia="仿宋_GB2312"/>
        </w:rPr>
        <w:t>2026年慢病管理软件扩建项目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SCZD2026-ZB-1553-001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2026年慢病管理软件扩建项目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慢病管理软件扩建，详见采购文件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3投标⼈应授权合法的⼈员参加投标全过程，其中法定代表⼈（单位负责⼈）直接参加投标的，须出 具法定代表⼈（单位负责⼈）⾝份证，并与营业执照上信息⼀致。法定代表⼈（单位负责⼈）授权代表参加投标的，须出具法定代表⼈（单位负责⼈）授权书及授权代表⾝份证、授权代表本单位证明（提供授权代表在本单位养⽼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 5投标产品属于医疗器械管理范围的须提供医疗器械注册证。 6提供盖章的《汉中市政府采购供应商资格承诺函》。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0916-6716505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西安市⾼新区锦业路1号都市之⻔C座9层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曹⽂渊、雷鹏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开户银行：中国银⾏西安南郊⽀⾏营业部</w:t>
            </w:r>
          </w:p>
          <w:p>
            <w:pPr>
              <w:pStyle w:val="null3"/>
            </w:pPr>
            <w:r>
              <w:rPr>
                <w:rFonts w:ascii="仿宋_GB2312" w:hAnsi="仿宋_GB2312" w:cs="仿宋_GB2312" w:eastAsia="仿宋_GB2312"/>
              </w:rPr>
              <w:t>银行账号：102860079126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说明：缴纳方式：银行转账、支票/汇票/本票、保函/保险 履约保证金的退还：合同履行结束后按原提交方式退还。 不予退还的情形： （1）中标人将中标项目转让给他人，或者在投标文件中未说明，且未经采购人同意，将中标项目分包给他人的； （2）中标人拒绝履行合同义务的或承担相关责任的。 逾期退还履约保证金的违约责任：因逾期退还给供应商造成损失的，采购人应依法承担赔偿责任。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代理服务费收费标准：参照《国家计委关于印发&lt;招标代理服务收费管理暂⾏办法&gt;的通知》（计价格[2002]1980号）规定标准按标段（包）收取，不⾜5000元按5000元收取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符合国家、行业现行的设计、安全、质量等相关标准规范要求，与采购文件、投标（响应）文件和承诺相一致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地址：西安市⾼新区锦业路1号都市之⻔C座9层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慢病管理软件扩建，详见采购文件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慢病管理软件扩建项目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标的名称：慢病管理软件扩建项目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outlineLvl w:val="1"/>
            </w:pPr>
            <w:r>
              <w:rPr>
                <w:rFonts w:ascii="仿宋_GB2312" w:hAnsi="仿宋_GB2312" w:cs="仿宋_GB2312" w:eastAsia="仿宋_GB2312"/>
                <w:sz w:val="24"/>
                <w:b/>
              </w:rPr>
              <w:t>一、</w:t>
            </w:r>
            <w:r>
              <w:rPr>
                <w:rFonts w:ascii="仿宋_GB2312" w:hAnsi="仿宋_GB2312" w:cs="仿宋_GB2312" w:eastAsia="仿宋_GB2312"/>
                <w:sz w:val="24"/>
                <w:b/>
              </w:rPr>
              <w:t>采购内容</w:t>
            </w:r>
          </w:p>
          <w:tbl>
            <w:tblPr>
              <w:tblBorders>
                <w:top w:val="none" w:color="000000" w:sz="4"/>
                <w:left w:val="none" w:color="000000" w:sz="4"/>
                <w:bottom w:val="none" w:color="000000" w:sz="4"/>
                <w:right w:val="none" w:color="000000" w:sz="4"/>
                <w:insideH w:val="none"/>
                <w:insideV w:val="none"/>
              </w:tblBorders>
            </w:tblPr>
            <w:tblGrid>
              <w:gridCol w:w="234"/>
              <w:gridCol w:w="328"/>
              <w:gridCol w:w="370"/>
              <w:gridCol w:w="1140"/>
              <w:gridCol w:w="254"/>
            </w:tblGrid>
            <w:tr>
              <w:tc>
                <w:tcPr>
                  <w:tcW w:type="dxa" w:w="234"/>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328"/>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jc w:val="center"/>
                  </w:pPr>
                  <w:r>
                    <w:rPr>
                      <w:rFonts w:ascii="仿宋_GB2312" w:hAnsi="仿宋_GB2312" w:cs="仿宋_GB2312" w:eastAsia="仿宋_GB2312"/>
                      <w:sz w:val="21"/>
                      <w:b/>
                    </w:rPr>
                    <w:t>类型</w:t>
                  </w:r>
                </w:p>
              </w:tc>
              <w:tc>
                <w:tcPr>
                  <w:tcW w:type="dxa" w:w="1510"/>
                  <w:gridSpan w:val="2"/>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jc w:val="center"/>
                  </w:pPr>
                  <w:r>
                    <w:rPr>
                      <w:rFonts w:ascii="仿宋_GB2312" w:hAnsi="仿宋_GB2312" w:cs="仿宋_GB2312" w:eastAsia="仿宋_GB2312"/>
                      <w:sz w:val="21"/>
                      <w:b/>
                    </w:rPr>
                    <w:t>名称</w:t>
                  </w:r>
                </w:p>
              </w:tc>
              <w:tc>
                <w:tcPr>
                  <w:tcW w:type="dxa" w:w="254"/>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32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慢病管理软件</w:t>
                  </w:r>
                </w:p>
              </w:tc>
              <w:tc>
                <w:tcPr>
                  <w:tcW w:type="dxa" w:w="151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慢病管理数据中心（基层卫生院监管平台）</w:t>
                  </w:r>
                </w:p>
              </w:tc>
              <w:tc>
                <w:tcPr>
                  <w:tcW w:type="dxa" w:w="25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rPr>
                    <w:t xml:space="preserve"> </w:t>
                  </w:r>
                  <w:r>
                    <w:rPr>
                      <w:rFonts w:ascii="仿宋_GB2312" w:hAnsi="仿宋_GB2312" w:cs="仿宋_GB2312" w:eastAsia="仿宋_GB2312"/>
                      <w:sz w:val="21"/>
                    </w:rPr>
                    <w:t>套</w:t>
                  </w: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328"/>
                  <w:vMerge/>
                  <w:tcBorders>
                    <w:top w:val="none" w:color="000000" w:sz="4"/>
                    <w:left w:val="single" w:color="000000" w:sz="4"/>
                    <w:bottom w:val="single" w:color="000000" w:sz="4"/>
                    <w:right w:val="single" w:color="000000" w:sz="4"/>
                  </w:tcBorders>
                </w:tcPr>
                <w:p/>
              </w:tc>
              <w:tc>
                <w:tcPr>
                  <w:tcW w:type="dxa" w:w="151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基层卫生院慢病管理医护人员</w:t>
                  </w:r>
                  <w:r>
                    <w:rPr>
                      <w:rFonts w:ascii="仿宋_GB2312" w:hAnsi="仿宋_GB2312" w:cs="仿宋_GB2312" w:eastAsia="仿宋_GB2312"/>
                      <w:sz w:val="21"/>
                    </w:rPr>
                    <w:t>PC</w:t>
                  </w:r>
                  <w:r>
                    <w:rPr>
                      <w:rFonts w:ascii="仿宋_GB2312" w:hAnsi="仿宋_GB2312" w:cs="仿宋_GB2312" w:eastAsia="仿宋_GB2312"/>
                      <w:sz w:val="21"/>
                    </w:rPr>
                    <w:t>端</w:t>
                  </w: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328"/>
                  <w:vMerge/>
                  <w:tcBorders>
                    <w:top w:val="none" w:color="000000" w:sz="4"/>
                    <w:left w:val="single" w:color="000000" w:sz="4"/>
                    <w:bottom w:val="single" w:color="000000" w:sz="4"/>
                    <w:right w:val="single" w:color="000000" w:sz="4"/>
                  </w:tcBorders>
                </w:tcPr>
                <w:p/>
              </w:tc>
              <w:tc>
                <w:tcPr>
                  <w:tcW w:type="dxa" w:w="151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基层卫生院慢慢病管理医务人员小程序端</w:t>
                  </w:r>
                  <w:r>
                    <w:rPr>
                      <w:rFonts w:ascii="仿宋_GB2312" w:hAnsi="仿宋_GB2312" w:cs="仿宋_GB2312" w:eastAsia="仿宋_GB2312"/>
                      <w:sz w:val="21"/>
                    </w:rPr>
                    <w:t>（</w:t>
                  </w:r>
                  <w:r>
                    <w:rPr>
                      <w:rFonts w:ascii="仿宋_GB2312" w:hAnsi="仿宋_GB2312" w:cs="仿宋_GB2312" w:eastAsia="仿宋_GB2312"/>
                      <w:sz w:val="21"/>
                    </w:rPr>
                    <w:t>微信</w:t>
                  </w:r>
                  <w:r>
                    <w:rPr>
                      <w:rFonts w:ascii="仿宋_GB2312" w:hAnsi="仿宋_GB2312" w:cs="仿宋_GB2312" w:eastAsia="仿宋_GB2312"/>
                      <w:sz w:val="21"/>
                    </w:rPr>
                    <w:t>）</w:t>
                  </w: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328"/>
                  <w:vMerge/>
                  <w:tcBorders>
                    <w:top w:val="none" w:color="000000" w:sz="4"/>
                    <w:left w:val="single" w:color="000000" w:sz="4"/>
                    <w:bottom w:val="single" w:color="000000" w:sz="4"/>
                    <w:right w:val="single" w:color="000000" w:sz="4"/>
                  </w:tcBorders>
                </w:tcPr>
                <w:p/>
              </w:tc>
              <w:tc>
                <w:tcPr>
                  <w:tcW w:type="dxa" w:w="151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基层卫生院慢病管理患者小程序端</w:t>
                  </w: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328"/>
                  <w:vMerge/>
                  <w:tcBorders>
                    <w:top w:val="none" w:color="000000" w:sz="4"/>
                    <w:left w:val="single" w:color="000000" w:sz="4"/>
                    <w:bottom w:val="single" w:color="000000" w:sz="4"/>
                    <w:right w:val="single" w:color="000000" w:sz="4"/>
                  </w:tcBorders>
                </w:tcPr>
                <w:p/>
              </w:tc>
              <w:tc>
                <w:tcPr>
                  <w:tcW w:type="dxa" w:w="151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服务效果评估与质量控制系统</w:t>
                  </w:r>
                </w:p>
              </w:tc>
            </w:tr>
            <w:tr>
              <w:tc>
                <w:tcPr>
                  <w:tcW w:type="dxa" w:w="2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328"/>
                  <w:vMerge/>
                  <w:tcBorders>
                    <w:top w:val="none" w:color="000000" w:sz="4"/>
                    <w:left w:val="single" w:color="000000" w:sz="4"/>
                    <w:bottom w:val="single" w:color="000000" w:sz="4"/>
                    <w:right w:val="single" w:color="000000" w:sz="4"/>
                  </w:tcBorders>
                </w:tcPr>
                <w:p/>
              </w:tc>
              <w:tc>
                <w:tcPr>
                  <w:tcW w:type="dxa" w:w="151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数据互联互通</w:t>
                  </w:r>
                </w:p>
              </w:tc>
            </w:tr>
            <w:tr>
              <w:tc>
                <w:tcPr>
                  <w:tcW w:type="dxa" w:w="2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328"/>
                  <w:vMerge/>
                  <w:tcBorders>
                    <w:top w:val="none" w:color="000000" w:sz="4"/>
                    <w:left w:val="single" w:color="000000" w:sz="4"/>
                    <w:bottom w:val="single" w:color="000000" w:sz="4"/>
                    <w:right w:val="single" w:color="000000" w:sz="4"/>
                  </w:tcBorders>
                </w:tcP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六病专项升级</w:t>
                  </w:r>
                </w:p>
              </w:tc>
              <w:tc>
                <w:tcPr>
                  <w:tcW w:type="dxa" w:w="1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高血压管理模块、糖尿病管理模块、脑卒中管理模块、慢阻肺管理模块、冠心病管理模块、慢性肾病管理模块</w:t>
                  </w:r>
                </w:p>
              </w:tc>
              <w:tc>
                <w:tcPr>
                  <w:tcW w:type="dxa" w:w="2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328"/>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硬件</w:t>
                  </w:r>
                </w:p>
              </w:tc>
              <w:tc>
                <w:tcPr>
                  <w:tcW w:type="dxa" w:w="151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智能物联血压计</w:t>
                  </w: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270</w:t>
                  </w:r>
                  <w:r>
                    <w:rPr>
                      <w:rFonts w:ascii="仿宋_GB2312" w:hAnsi="仿宋_GB2312" w:cs="仿宋_GB2312" w:eastAsia="仿宋_GB2312"/>
                      <w:sz w:val="21"/>
                    </w:rPr>
                    <w:t>台</w:t>
                  </w: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328"/>
                  <w:vMerge/>
                  <w:tcBorders>
                    <w:top w:val="single" w:color="000000" w:sz="4"/>
                    <w:left w:val="none" w:color="000000" w:sz="4"/>
                    <w:bottom w:val="single" w:color="000000" w:sz="4"/>
                    <w:right w:val="single" w:color="000000" w:sz="4"/>
                  </w:tcBorders>
                </w:tcPr>
                <w:p/>
              </w:tc>
              <w:tc>
                <w:tcPr>
                  <w:tcW w:type="dxa" w:w="151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智能物联血糖仪</w:t>
                  </w: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270</w:t>
                  </w:r>
                  <w:r>
                    <w:rPr>
                      <w:rFonts w:ascii="仿宋_GB2312" w:hAnsi="仿宋_GB2312" w:cs="仿宋_GB2312" w:eastAsia="仿宋_GB2312"/>
                    </w:rPr>
                    <w:t xml:space="preserve"> </w:t>
                  </w:r>
                  <w:r>
                    <w:rPr>
                      <w:rFonts w:ascii="仿宋_GB2312" w:hAnsi="仿宋_GB2312" w:cs="仿宋_GB2312" w:eastAsia="仿宋_GB2312"/>
                      <w:sz w:val="21"/>
                    </w:rPr>
                    <w:t>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outlineLvl w:val="1"/>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技术要求</w:t>
            </w:r>
          </w:p>
          <w:p>
            <w:pPr>
              <w:pStyle w:val="null3"/>
              <w:jc w:val="both"/>
              <w:outlineLvl w:val="2"/>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软件选型要求</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、软件数据存储需遵循有关国家和行业等信息标准规范</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平台需授权十个乡镇卫生院使用</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平台软件可根据需求灵活修改网络拓扑结构，支持随意调整二三级节点设置，增加或删除节点不会影响整个网络服务功能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平台应支持硬件设备接入，通过硬件设备接入可获取检验数据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平台需支持</w:t>
            </w:r>
            <w:r>
              <w:rPr>
                <w:rFonts w:ascii="仿宋_GB2312" w:hAnsi="仿宋_GB2312" w:cs="仿宋_GB2312" w:eastAsia="仿宋_GB2312"/>
                <w:sz w:val="24"/>
              </w:rPr>
              <w:t xml:space="preserve"> B/S </w:t>
            </w:r>
            <w:r>
              <w:rPr>
                <w:rFonts w:ascii="仿宋_GB2312" w:hAnsi="仿宋_GB2312" w:cs="仿宋_GB2312" w:eastAsia="仿宋_GB2312"/>
                <w:sz w:val="24"/>
              </w:rPr>
              <w:t>架构集中部署，</w:t>
            </w:r>
            <w:r>
              <w:rPr>
                <w:rFonts w:ascii="仿宋_GB2312" w:hAnsi="仿宋_GB2312" w:cs="仿宋_GB2312" w:eastAsia="仿宋_GB2312"/>
                <w:sz w:val="24"/>
                <w:b/>
              </w:rPr>
              <w:t>提供产品检测报告佐证文件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、系统须具备良好的扩展能力，以满足本地需求的定制化开发</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、支持与一期软件系统平台无缝对接，数据应用。</w:t>
            </w:r>
          </w:p>
          <w:p>
            <w:pPr>
              <w:pStyle w:val="null3"/>
              <w:jc w:val="both"/>
              <w:outlineLvl w:val="2"/>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系统性能要求</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、业务并发：至少同时支持峰值</w:t>
            </w:r>
            <w:r>
              <w:rPr>
                <w:rFonts w:ascii="仿宋_GB2312" w:hAnsi="仿宋_GB2312" w:cs="仿宋_GB2312" w:eastAsia="仿宋_GB2312"/>
                <w:sz w:val="28"/>
              </w:rPr>
              <w:t xml:space="preserve"> </w:t>
            </w:r>
            <w:r>
              <w:rPr>
                <w:rFonts w:ascii="仿宋_GB2312" w:hAnsi="仿宋_GB2312" w:cs="仿宋_GB2312" w:eastAsia="仿宋_GB2312"/>
                <w:sz w:val="24"/>
              </w:rPr>
              <w:t>200</w:t>
            </w:r>
            <w:r>
              <w:rPr>
                <w:rFonts w:ascii="仿宋_GB2312" w:hAnsi="仿宋_GB2312" w:cs="仿宋_GB2312" w:eastAsia="仿宋_GB2312"/>
                <w:sz w:val="24"/>
              </w:rPr>
              <w:t>笔</w:t>
            </w:r>
            <w:r>
              <w:rPr>
                <w:rFonts w:ascii="仿宋_GB2312" w:hAnsi="仿宋_GB2312" w:cs="仿宋_GB2312" w:eastAsia="仿宋_GB2312"/>
                <w:sz w:val="24"/>
              </w:rPr>
              <w:t>/</w:t>
            </w:r>
            <w:r>
              <w:rPr>
                <w:rFonts w:ascii="仿宋_GB2312" w:hAnsi="仿宋_GB2312" w:cs="仿宋_GB2312" w:eastAsia="仿宋_GB2312"/>
                <w:sz w:val="24"/>
              </w:rPr>
              <w:t>分钟</w:t>
            </w:r>
            <w:r>
              <w:rPr>
                <w:rFonts w:ascii="仿宋_GB2312" w:hAnsi="仿宋_GB2312" w:cs="仿宋_GB2312" w:eastAsia="仿宋_GB2312"/>
                <w:sz w:val="28"/>
              </w:rPr>
              <w:t xml:space="preserve"> </w:t>
            </w:r>
            <w:r>
              <w:rPr>
                <w:rFonts w:ascii="仿宋_GB2312" w:hAnsi="仿宋_GB2312" w:cs="仿宋_GB2312" w:eastAsia="仿宋_GB2312"/>
                <w:sz w:val="24"/>
              </w:rPr>
              <w:t>批量数据交换和峰值</w:t>
            </w:r>
            <w:r>
              <w:rPr>
                <w:rFonts w:ascii="仿宋_GB2312" w:hAnsi="仿宋_GB2312" w:cs="仿宋_GB2312" w:eastAsia="仿宋_GB2312"/>
                <w:sz w:val="28"/>
              </w:rPr>
              <w:t xml:space="preserve"> </w:t>
            </w:r>
            <w:r>
              <w:rPr>
                <w:rFonts w:ascii="仿宋_GB2312" w:hAnsi="仿宋_GB2312" w:cs="仿宋_GB2312" w:eastAsia="仿宋_GB2312"/>
                <w:sz w:val="24"/>
              </w:rPr>
              <w:t>80</w:t>
            </w:r>
            <w:r>
              <w:rPr>
                <w:rFonts w:ascii="仿宋_GB2312" w:hAnsi="仿宋_GB2312" w:cs="仿宋_GB2312" w:eastAsia="仿宋_GB2312"/>
                <w:sz w:val="24"/>
              </w:rPr>
              <w:t>笔</w:t>
            </w:r>
            <w:r>
              <w:rPr>
                <w:rFonts w:ascii="仿宋_GB2312" w:hAnsi="仿宋_GB2312" w:cs="仿宋_GB2312" w:eastAsia="仿宋_GB2312"/>
                <w:sz w:val="24"/>
              </w:rPr>
              <w:t>/</w:t>
            </w:r>
            <w:r>
              <w:rPr>
                <w:rFonts w:ascii="仿宋_GB2312" w:hAnsi="仿宋_GB2312" w:cs="仿宋_GB2312" w:eastAsia="仿宋_GB2312"/>
                <w:sz w:val="24"/>
              </w:rPr>
              <w:t>秒</w:t>
            </w:r>
            <w:r>
              <w:rPr>
                <w:rFonts w:ascii="仿宋_GB2312" w:hAnsi="仿宋_GB2312" w:cs="仿宋_GB2312" w:eastAsia="仿宋_GB2312"/>
                <w:sz w:val="28"/>
              </w:rPr>
              <w:t xml:space="preserve"> </w:t>
            </w:r>
            <w:r>
              <w:rPr>
                <w:rFonts w:ascii="仿宋_GB2312" w:hAnsi="仿宋_GB2312" w:cs="仿宋_GB2312" w:eastAsia="仿宋_GB2312"/>
                <w:sz w:val="24"/>
              </w:rPr>
              <w:t>的实时查询或处理业务；</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、批量数据交换：单记录交换</w:t>
            </w:r>
            <w:r>
              <w:rPr>
                <w:rFonts w:ascii="仿宋_GB2312" w:hAnsi="仿宋_GB2312" w:cs="仿宋_GB2312" w:eastAsia="仿宋_GB2312"/>
                <w:sz w:val="24"/>
              </w:rPr>
              <w:t>/</w:t>
            </w:r>
            <w:r>
              <w:rPr>
                <w:rFonts w:ascii="仿宋_GB2312" w:hAnsi="仿宋_GB2312" w:cs="仿宋_GB2312" w:eastAsia="仿宋_GB2312"/>
                <w:sz w:val="24"/>
              </w:rPr>
              <w:t>入库的平均响应时间</w:t>
            </w:r>
            <w:r>
              <w:rPr>
                <w:rFonts w:ascii="仿宋_GB2312" w:hAnsi="仿宋_GB2312" w:cs="仿宋_GB2312" w:eastAsia="仿宋_GB2312"/>
                <w:sz w:val="24"/>
              </w:rPr>
              <w:t>≤200ms</w:t>
            </w:r>
            <w:r>
              <w:rPr>
                <w:rFonts w:ascii="仿宋_GB2312" w:hAnsi="仿宋_GB2312" w:cs="仿宋_GB2312" w:eastAsia="仿宋_GB2312"/>
                <w:sz w:val="24"/>
              </w:rPr>
              <w:t>；非并发大批量数据交换</w:t>
            </w:r>
            <w:r>
              <w:rPr>
                <w:rFonts w:ascii="仿宋_GB2312" w:hAnsi="仿宋_GB2312" w:cs="仿宋_GB2312" w:eastAsia="仿宋_GB2312"/>
                <w:sz w:val="24"/>
              </w:rPr>
              <w:t xml:space="preserve">≤6000 </w:t>
            </w:r>
            <w:r>
              <w:rPr>
                <w:rFonts w:ascii="仿宋_GB2312" w:hAnsi="仿宋_GB2312" w:cs="仿宋_GB2312" w:eastAsia="仿宋_GB2312"/>
                <w:sz w:val="24"/>
              </w:rPr>
              <w:t>秒</w:t>
            </w:r>
            <w:r>
              <w:rPr>
                <w:rFonts w:ascii="仿宋_GB2312" w:hAnsi="仿宋_GB2312" w:cs="仿宋_GB2312" w:eastAsia="仿宋_GB2312"/>
                <w:sz w:val="24"/>
              </w:rPr>
              <w:t>/</w:t>
            </w:r>
            <w:r>
              <w:rPr>
                <w:rFonts w:ascii="仿宋_GB2312" w:hAnsi="仿宋_GB2312" w:cs="仿宋_GB2312" w:eastAsia="仿宋_GB2312"/>
                <w:sz w:val="24"/>
              </w:rPr>
              <w:t>百万条；</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、大数据搜索：千万级数据量下单记录本地查询的响应时间</w:t>
            </w:r>
            <w:r>
              <w:rPr>
                <w:rFonts w:ascii="仿宋_GB2312" w:hAnsi="仿宋_GB2312" w:cs="仿宋_GB2312" w:eastAsia="仿宋_GB2312"/>
                <w:sz w:val="24"/>
              </w:rPr>
              <w:t xml:space="preserve">≤2 </w:t>
            </w:r>
            <w:r>
              <w:rPr>
                <w:rFonts w:ascii="仿宋_GB2312" w:hAnsi="仿宋_GB2312" w:cs="仿宋_GB2312" w:eastAsia="仿宋_GB2312"/>
                <w:sz w:val="24"/>
              </w:rPr>
              <w:t>秒；</w:t>
            </w:r>
          </w:p>
          <w:p>
            <w:pPr>
              <w:pStyle w:val="null3"/>
              <w:ind w:firstLine="480"/>
              <w:jc w:val="both"/>
            </w:pPr>
            <w:r>
              <w:rPr>
                <w:rFonts w:ascii="仿宋_GB2312" w:hAnsi="仿宋_GB2312" w:cs="仿宋_GB2312" w:eastAsia="仿宋_GB2312"/>
                <w:sz w:val="24"/>
              </w:rPr>
              <w:t>2.4</w:t>
            </w:r>
            <w:r>
              <w:rPr>
                <w:rFonts w:ascii="仿宋_GB2312" w:hAnsi="仿宋_GB2312" w:cs="仿宋_GB2312" w:eastAsia="仿宋_GB2312"/>
                <w:sz w:val="24"/>
              </w:rPr>
              <w:t>、大数据分析统计：千万级数据量下查询的响应时间</w:t>
            </w:r>
            <w:r>
              <w:rPr>
                <w:rFonts w:ascii="仿宋_GB2312" w:hAnsi="仿宋_GB2312" w:cs="仿宋_GB2312" w:eastAsia="仿宋_GB2312"/>
                <w:sz w:val="24"/>
              </w:rPr>
              <w:t xml:space="preserve">≤15 </w:t>
            </w:r>
            <w:r>
              <w:rPr>
                <w:rFonts w:ascii="仿宋_GB2312" w:hAnsi="仿宋_GB2312" w:cs="仿宋_GB2312" w:eastAsia="仿宋_GB2312"/>
                <w:sz w:val="24"/>
              </w:rPr>
              <w:t>秒</w:t>
            </w:r>
            <w:r>
              <w:rPr>
                <w:rFonts w:ascii="仿宋_GB2312" w:hAnsi="仿宋_GB2312" w:cs="仿宋_GB2312" w:eastAsia="仿宋_GB2312"/>
                <w:sz w:val="24"/>
              </w:rPr>
              <w:t>/</w:t>
            </w:r>
            <w:r>
              <w:rPr>
                <w:rFonts w:ascii="仿宋_GB2312" w:hAnsi="仿宋_GB2312" w:cs="仿宋_GB2312" w:eastAsia="仿宋_GB2312"/>
                <w:sz w:val="24"/>
              </w:rPr>
              <w:t>次；</w:t>
            </w:r>
          </w:p>
          <w:p>
            <w:pPr>
              <w:pStyle w:val="null3"/>
              <w:ind w:firstLine="480"/>
              <w:jc w:val="both"/>
            </w:pPr>
            <w:r>
              <w:rPr>
                <w:rFonts w:ascii="仿宋_GB2312" w:hAnsi="仿宋_GB2312" w:cs="仿宋_GB2312" w:eastAsia="仿宋_GB2312"/>
                <w:sz w:val="24"/>
              </w:rPr>
              <w:t>2.5</w:t>
            </w:r>
            <w:r>
              <w:rPr>
                <w:rFonts w:ascii="仿宋_GB2312" w:hAnsi="仿宋_GB2312" w:cs="仿宋_GB2312" w:eastAsia="仿宋_GB2312"/>
                <w:sz w:val="24"/>
              </w:rPr>
              <w:t>、大数据调阅：千万级数据量下查询的响应时间</w:t>
            </w:r>
            <w:r>
              <w:rPr>
                <w:rFonts w:ascii="仿宋_GB2312" w:hAnsi="仿宋_GB2312" w:cs="仿宋_GB2312" w:eastAsia="仿宋_GB2312"/>
                <w:sz w:val="24"/>
              </w:rPr>
              <w:t xml:space="preserve">≤5 </w:t>
            </w:r>
            <w:r>
              <w:rPr>
                <w:rFonts w:ascii="仿宋_GB2312" w:hAnsi="仿宋_GB2312" w:cs="仿宋_GB2312" w:eastAsia="仿宋_GB2312"/>
                <w:sz w:val="24"/>
              </w:rPr>
              <w:t>秒</w:t>
            </w:r>
            <w:r>
              <w:rPr>
                <w:rFonts w:ascii="仿宋_GB2312" w:hAnsi="仿宋_GB2312" w:cs="仿宋_GB2312" w:eastAsia="仿宋_GB2312"/>
                <w:sz w:val="24"/>
              </w:rPr>
              <w:t>/</w:t>
            </w:r>
            <w:r>
              <w:rPr>
                <w:rFonts w:ascii="仿宋_GB2312" w:hAnsi="仿宋_GB2312" w:cs="仿宋_GB2312" w:eastAsia="仿宋_GB2312"/>
                <w:sz w:val="24"/>
              </w:rPr>
              <w:t>次。</w:t>
            </w:r>
          </w:p>
          <w:p>
            <w:pPr>
              <w:pStyle w:val="null3"/>
              <w:jc w:val="both"/>
              <w:outlineLvl w:val="2"/>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系统安全要求</w:t>
            </w:r>
          </w:p>
          <w:p>
            <w:pPr>
              <w:pStyle w:val="null3"/>
              <w:ind w:firstLine="480"/>
              <w:jc w:val="both"/>
            </w:pPr>
            <w:r>
              <w:rPr>
                <w:rFonts w:ascii="仿宋_GB2312" w:hAnsi="仿宋_GB2312" w:cs="仿宋_GB2312" w:eastAsia="仿宋_GB2312"/>
                <w:sz w:val="24"/>
              </w:rPr>
              <w:t>系统应具备安全防护能力，包括但不限于</w:t>
            </w:r>
            <w:r>
              <w:rPr>
                <w:rFonts w:ascii="仿宋_GB2312" w:hAnsi="仿宋_GB2312" w:cs="仿宋_GB2312" w:eastAsia="仿宋_GB2312"/>
                <w:sz w:val="24"/>
              </w:rPr>
              <w:t xml:space="preserve"> web</w:t>
            </w:r>
            <w:r>
              <w:rPr>
                <w:rFonts w:ascii="仿宋_GB2312" w:hAnsi="仿宋_GB2312" w:cs="仿宋_GB2312" w:eastAsia="仿宋_GB2312"/>
                <w:sz w:val="24"/>
              </w:rPr>
              <w:t>安全、网络传输安全、业务逻辑安全、中间件安全等安全防护措施，</w:t>
            </w:r>
            <w:r>
              <w:rPr>
                <w:rFonts w:ascii="仿宋_GB2312" w:hAnsi="仿宋_GB2312" w:cs="仿宋_GB2312" w:eastAsia="仿宋_GB2312"/>
                <w:sz w:val="24"/>
                <w:b/>
              </w:rPr>
              <w:t>提供产品检测报告作为佐证文件</w:t>
            </w:r>
            <w:r>
              <w:rPr>
                <w:rFonts w:ascii="仿宋_GB2312" w:hAnsi="仿宋_GB2312" w:cs="仿宋_GB2312" w:eastAsia="仿宋_GB2312"/>
                <w:sz w:val="24"/>
              </w:rPr>
              <w:t>。</w:t>
            </w:r>
          </w:p>
          <w:p>
            <w:pPr>
              <w:pStyle w:val="null3"/>
              <w:jc w:val="both"/>
              <w:outlineLvl w:val="2"/>
            </w:pP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标准规范要求</w:t>
            </w:r>
          </w:p>
          <w:p>
            <w:pPr>
              <w:pStyle w:val="null3"/>
              <w:ind w:firstLine="480"/>
              <w:jc w:val="both"/>
            </w:pPr>
            <w:r>
              <w:rPr>
                <w:rFonts w:ascii="仿宋_GB2312" w:hAnsi="仿宋_GB2312" w:cs="仿宋_GB2312" w:eastAsia="仿宋_GB2312"/>
                <w:sz w:val="24"/>
              </w:rPr>
              <w:t>系统密码应用、网络安全防护应符合《</w:t>
            </w:r>
            <w:r>
              <w:rPr>
                <w:rFonts w:ascii="仿宋_GB2312" w:hAnsi="仿宋_GB2312" w:cs="仿宋_GB2312" w:eastAsia="仿宋_GB2312"/>
                <w:sz w:val="24"/>
              </w:rPr>
              <w:t xml:space="preserve">GB/T 39786-2021 </w:t>
            </w:r>
            <w:r>
              <w:rPr>
                <w:rFonts w:ascii="仿宋_GB2312" w:hAnsi="仿宋_GB2312" w:cs="仿宋_GB2312" w:eastAsia="仿宋_GB2312"/>
                <w:sz w:val="24"/>
              </w:rPr>
              <w:t>信息安全技术信息系统密码应用基本要求》《</w:t>
            </w:r>
            <w:r>
              <w:rPr>
                <w:rFonts w:ascii="仿宋_GB2312" w:hAnsi="仿宋_GB2312" w:cs="仿宋_GB2312" w:eastAsia="仿宋_GB2312"/>
                <w:sz w:val="24"/>
              </w:rPr>
              <w:t xml:space="preserve">GB/T 22239-2019  </w:t>
            </w:r>
            <w:r>
              <w:rPr>
                <w:rFonts w:ascii="仿宋_GB2312" w:hAnsi="仿宋_GB2312" w:cs="仿宋_GB2312" w:eastAsia="仿宋_GB2312"/>
                <w:sz w:val="24"/>
              </w:rPr>
              <w:t>信息安全技术网络安全等级保护基本要求》国家标准要求，</w:t>
            </w:r>
            <w:r>
              <w:rPr>
                <w:rFonts w:ascii="仿宋_GB2312" w:hAnsi="仿宋_GB2312" w:cs="仿宋_GB2312" w:eastAsia="仿宋_GB2312"/>
                <w:sz w:val="24"/>
                <w:b/>
              </w:rPr>
              <w:t>提供产品检测报告作为佐证文件</w:t>
            </w:r>
            <w:r>
              <w:rPr>
                <w:rFonts w:ascii="仿宋_GB2312" w:hAnsi="仿宋_GB2312" w:cs="仿宋_GB2312" w:eastAsia="仿宋_GB2312"/>
                <w:sz w:val="24"/>
              </w:rPr>
              <w:t>。</w:t>
            </w:r>
          </w:p>
          <w:p>
            <w:pPr>
              <w:pStyle w:val="null3"/>
              <w:jc w:val="both"/>
              <w:outlineLvl w:val="2"/>
            </w:pP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其他技术要求</w:t>
            </w:r>
          </w:p>
          <w:p>
            <w:pPr>
              <w:pStyle w:val="null3"/>
              <w:ind w:firstLine="480"/>
              <w:jc w:val="both"/>
            </w:pPr>
            <w:r>
              <w:rPr>
                <w:rFonts w:ascii="仿宋_GB2312" w:hAnsi="仿宋_GB2312" w:cs="仿宋_GB2312" w:eastAsia="仿宋_GB2312"/>
                <w:sz w:val="24"/>
              </w:rPr>
              <w:t>5.1</w:t>
            </w:r>
            <w:r>
              <w:rPr>
                <w:rFonts w:ascii="仿宋_GB2312" w:hAnsi="仿宋_GB2312" w:cs="仿宋_GB2312" w:eastAsia="仿宋_GB2312"/>
                <w:sz w:val="24"/>
              </w:rPr>
              <w:t>、采用敏捷开发技术、</w:t>
            </w:r>
            <w:r>
              <w:rPr>
                <w:rFonts w:ascii="仿宋_GB2312" w:hAnsi="仿宋_GB2312" w:cs="仿宋_GB2312" w:eastAsia="仿宋_GB2312"/>
                <w:sz w:val="24"/>
              </w:rPr>
              <w:t xml:space="preserve">Redis </w:t>
            </w:r>
            <w:r>
              <w:rPr>
                <w:rFonts w:ascii="仿宋_GB2312" w:hAnsi="仿宋_GB2312" w:cs="仿宋_GB2312" w:eastAsia="仿宋_GB2312"/>
                <w:sz w:val="24"/>
              </w:rPr>
              <w:t>缓存、组件式开发、任务调度、工作流引擎等多项核心技术以及先进的体系结构。</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.2</w:t>
            </w:r>
            <w:r>
              <w:rPr>
                <w:rFonts w:ascii="仿宋_GB2312" w:hAnsi="仿宋_GB2312" w:cs="仿宋_GB2312" w:eastAsia="仿宋_GB2312"/>
                <w:sz w:val="24"/>
              </w:rPr>
              <w:t>、本项目中各软件模块实施完毕后，均需提供数据库表结构说明，软硬件操作</w:t>
            </w:r>
            <w:r>
              <w:rPr>
                <w:rFonts w:ascii="仿宋_GB2312" w:hAnsi="仿宋_GB2312" w:cs="仿宋_GB2312" w:eastAsia="仿宋_GB2312"/>
                <w:sz w:val="24"/>
              </w:rPr>
              <w:t>手册、各种账号、密码、视图名称、消息服务名称等与本系统运行相关的所有参数、设置、文档、手册等材料。</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3</w:t>
            </w:r>
            <w:r>
              <w:rPr>
                <w:rFonts w:ascii="仿宋_GB2312" w:hAnsi="仿宋_GB2312" w:cs="仿宋_GB2312" w:eastAsia="仿宋_GB2312"/>
                <w:sz w:val="24"/>
              </w:rPr>
              <w:t>、采用多层体系结构，实现用户操作界面、业务逻辑和数据的分离，便于系统扩展。</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4</w:t>
            </w:r>
            <w:r>
              <w:rPr>
                <w:rFonts w:ascii="仿宋_GB2312" w:hAnsi="仿宋_GB2312" w:cs="仿宋_GB2312" w:eastAsia="仿宋_GB2312"/>
                <w:sz w:val="24"/>
              </w:rPr>
              <w:t>、系统软件应</w:t>
            </w:r>
            <w:r>
              <w:rPr>
                <w:rFonts w:ascii="仿宋_GB2312" w:hAnsi="仿宋_GB2312" w:cs="仿宋_GB2312" w:eastAsia="仿宋_GB2312"/>
                <w:sz w:val="24"/>
                <w:b/>
              </w:rPr>
              <w:t>提供</w:t>
            </w:r>
            <w:r>
              <w:rPr>
                <w:rFonts w:ascii="仿宋_GB2312" w:hAnsi="仿宋_GB2312" w:cs="仿宋_GB2312" w:eastAsia="仿宋_GB2312"/>
                <w:sz w:val="24"/>
                <w:b/>
              </w:rPr>
              <w:t>产品质量监督检验机构出具的系统检测报告</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outlineLvl w:val="1"/>
            </w:pP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参数要求</w:t>
            </w:r>
          </w:p>
          <w:p>
            <w:pPr>
              <w:pStyle w:val="null3"/>
              <w:jc w:val="both"/>
              <w:outlineLvl w:val="2"/>
            </w:pPr>
            <w:r>
              <w:rPr>
                <w:rFonts w:ascii="仿宋_GB2312" w:hAnsi="仿宋_GB2312" w:cs="仿宋_GB2312" w:eastAsia="仿宋_GB2312"/>
                <w:sz w:val="24"/>
                <w:b/>
              </w:rPr>
              <w:t>（一）</w:t>
            </w:r>
            <w:r>
              <w:rPr>
                <w:rFonts w:ascii="仿宋_GB2312" w:hAnsi="仿宋_GB2312" w:cs="仿宋_GB2312" w:eastAsia="仿宋_GB2312"/>
                <w:sz w:val="24"/>
                <w:b/>
              </w:rPr>
              <w:t>软件参数要求</w:t>
            </w:r>
          </w:p>
          <w:tbl>
            <w:tblPr>
              <w:tblBorders>
                <w:top w:val="none" w:color="000000" w:sz="4"/>
                <w:left w:val="none" w:color="000000" w:sz="4"/>
                <w:bottom w:val="none" w:color="000000" w:sz="4"/>
                <w:right w:val="none" w:color="000000" w:sz="4"/>
                <w:insideH w:val="none"/>
                <w:insideV w:val="none"/>
              </w:tblBorders>
            </w:tblPr>
            <w:tblGrid>
              <w:gridCol w:w="210"/>
              <w:gridCol w:w="225"/>
              <w:gridCol w:w="269"/>
              <w:gridCol w:w="1702"/>
            </w:tblGrid>
            <w:tr>
              <w:tc>
                <w:tcPr>
                  <w:tcW w:type="dxa" w:w="210"/>
                  <w:tcBorders>
                    <w:top w:val="single" w:color="000000" w:sz="4"/>
                    <w:left w:val="single" w:color="000000" w:sz="4"/>
                    <w:bottom w:val="single" w:color="000000" w:sz="4"/>
                    <w:right w:val="single" w:color="000000" w:sz="4"/>
                  </w:tcBorders>
                  <w:shd w:fill="D9D9D9"/>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225"/>
                  <w:tcBorders>
                    <w:top w:val="single" w:color="000000" w:sz="4"/>
                    <w:left w:val="single" w:color="000000" w:sz="4"/>
                    <w:bottom w:val="single" w:color="000000" w:sz="4"/>
                    <w:right w:val="single" w:color="000000" w:sz="4"/>
                  </w:tcBorders>
                  <w:shd w:fill="D9D9D9"/>
                  <w:tcMar>
                    <w:top w:type="dxa" w:w="0"/>
                    <w:left w:type="dxa" w:w="0"/>
                    <w:bottom w:type="dxa" w:w="0"/>
                    <w:right w:type="dxa" w:w="0"/>
                  </w:tcMar>
                  <w:vAlign w:val="top"/>
                </w:tcPr>
                <w:p>
                  <w:pPr>
                    <w:pStyle w:val="null3"/>
                    <w:jc w:val="center"/>
                  </w:pPr>
                  <w:r>
                    <w:rPr>
                      <w:rFonts w:ascii="仿宋_GB2312" w:hAnsi="仿宋_GB2312" w:cs="仿宋_GB2312" w:eastAsia="仿宋_GB2312"/>
                      <w:sz w:val="21"/>
                      <w:b/>
                    </w:rPr>
                    <w:t>模块</w:t>
                  </w:r>
                </w:p>
              </w:tc>
              <w:tc>
                <w:tcPr>
                  <w:tcW w:type="dxa" w:w="269"/>
                  <w:tcBorders>
                    <w:top w:val="single" w:color="000000" w:sz="4"/>
                    <w:left w:val="single" w:color="000000" w:sz="4"/>
                    <w:bottom w:val="single" w:color="000000" w:sz="4"/>
                    <w:right w:val="single" w:color="000000" w:sz="4"/>
                  </w:tcBorders>
                  <w:shd w:fill="D9D9D9"/>
                  <w:tcMar>
                    <w:top w:type="dxa" w:w="0"/>
                    <w:left w:type="dxa" w:w="0"/>
                    <w:bottom w:type="dxa" w:w="0"/>
                    <w:right w:type="dxa" w:w="0"/>
                  </w:tcMar>
                  <w:vAlign w:val="top"/>
                </w:tcPr>
                <w:p>
                  <w:pPr>
                    <w:pStyle w:val="null3"/>
                    <w:jc w:val="center"/>
                  </w:pPr>
                  <w:r>
                    <w:rPr>
                      <w:rFonts w:ascii="仿宋_GB2312" w:hAnsi="仿宋_GB2312" w:cs="仿宋_GB2312" w:eastAsia="仿宋_GB2312"/>
                      <w:sz w:val="21"/>
                      <w:b/>
                    </w:rPr>
                    <w:t>子模块</w:t>
                  </w:r>
                </w:p>
              </w:tc>
              <w:tc>
                <w:tcPr>
                  <w:tcW w:type="dxa" w:w="1702"/>
                  <w:tcBorders>
                    <w:top w:val="single" w:color="000000" w:sz="4"/>
                    <w:left w:val="single" w:color="000000" w:sz="4"/>
                    <w:bottom w:val="single" w:color="000000" w:sz="4"/>
                    <w:right w:val="single" w:color="000000" w:sz="4"/>
                  </w:tcBorders>
                  <w:shd w:fill="D9D9D9"/>
                  <w:tcMar>
                    <w:top w:type="dxa" w:w="0"/>
                    <w:left w:type="dxa" w:w="0"/>
                    <w:bottom w:type="dxa" w:w="0"/>
                    <w:right w:type="dxa" w:w="0"/>
                  </w:tcMar>
                  <w:vAlign w:val="top"/>
                </w:tcPr>
                <w:p>
                  <w:pPr>
                    <w:pStyle w:val="null3"/>
                    <w:jc w:val="center"/>
                  </w:pPr>
                  <w:r>
                    <w:rPr>
                      <w:rFonts w:ascii="仿宋_GB2312" w:hAnsi="仿宋_GB2312" w:cs="仿宋_GB2312" w:eastAsia="仿宋_GB2312"/>
                      <w:sz w:val="21"/>
                      <w:b/>
                    </w:rPr>
                    <w:t>功能</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w:t>
                  </w:r>
                </w:p>
              </w:tc>
              <w:tc>
                <w:tcPr>
                  <w:tcW w:type="dxa" w:w="22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慢病管理数据中心（基层卫生院监管平台）</w:t>
                  </w: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数据采集管理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支持陕西省三秦智医公卫平台接口对接，对接包括患者高血压、糖尿病随访数据上传接口，患者档案同步接口</w:t>
                  </w:r>
                  <w:r>
                    <w:rPr>
                      <w:rFonts w:ascii="仿宋_GB2312" w:hAnsi="仿宋_GB2312" w:cs="仿宋_GB2312" w:eastAsia="仿宋_GB2312"/>
                      <w:sz w:val="21"/>
                    </w:rPr>
                    <w:t>，接口通过</w:t>
                  </w:r>
                  <w:r>
                    <w:rPr>
                      <w:rFonts w:ascii="仿宋_GB2312" w:hAnsi="仿宋_GB2312" w:cs="仿宋_GB2312" w:eastAsia="仿宋_GB2312"/>
                      <w:sz w:val="21"/>
                    </w:rPr>
                    <w:t>Http</w:t>
                  </w:r>
                  <w:r>
                    <w:rPr>
                      <w:rFonts w:ascii="仿宋_GB2312" w:hAnsi="仿宋_GB2312" w:cs="仿宋_GB2312" w:eastAsia="仿宋_GB2312"/>
                      <w:sz w:val="21"/>
                    </w:rPr>
                    <w:t>协议进行对接，实现各级医疗机构间的互联互通，提高数据处理的效率和准确性</w:t>
                  </w:r>
                  <w:r>
                    <w:rPr>
                      <w:rFonts w:ascii="仿宋_GB2312" w:hAnsi="仿宋_GB2312" w:cs="仿宋_GB2312" w:eastAsia="仿宋_GB2312"/>
                      <w:sz w:val="21"/>
                    </w:rPr>
                    <w:t>。</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数据标准化管理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制定慢性病数据标准（健康指标、诊疗术语、档案字段格式等），统一数据录入规范与编码规则，校验数据是否符合标准，对非标准数据提示修正，维护标准库更新，确保系统内数据格式统一、可互通。慢性病数据标准应符合县域内慢病管理质控数据填报表要求。</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数据主索引管理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支持建立患者数据主索引，关联患者在不同系统中的身份信息（身份证号），避免重复建档，统一患者唯一标识，管理主索引映射关系，确保跨系统调用患者数据时精准匹配。</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数据清洗管理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支持识别并处理异常慢性病数据（缺失值、重复值、逻辑错误数据等），手动修正功能，保障数据质量。</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数据标签管理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支持为慢病数据添加标签（患者风险等级标签、数据类型标签等），自定义标签规则与分类，批量或单个为数据打标，按标签筛选查询数据，管理标签新增、修改与删除，提升数据检索效率。档案标签</w:t>
                  </w:r>
                  <w:r>
                    <w:rPr>
                      <w:rFonts w:ascii="仿宋_GB2312" w:hAnsi="仿宋_GB2312" w:cs="仿宋_GB2312" w:eastAsia="仿宋_GB2312"/>
                      <w:sz w:val="21"/>
                    </w:rPr>
                    <w:t>1.</w:t>
                  </w:r>
                  <w:r>
                    <w:rPr>
                      <w:rFonts w:ascii="仿宋_GB2312" w:hAnsi="仿宋_GB2312" w:cs="仿宋_GB2312" w:eastAsia="仿宋_GB2312"/>
                      <w:sz w:val="21"/>
                    </w:rPr>
                    <w:t>人群分类标签（高危人群、主要慢性病患者，主要慢性病患者需进行病种、合并症、并发症、风险评估分类）；</w:t>
                  </w:r>
                  <w:r>
                    <w:rPr>
                      <w:rFonts w:ascii="仿宋_GB2312" w:hAnsi="仿宋_GB2312" w:cs="仿宋_GB2312" w:eastAsia="仿宋_GB2312"/>
                      <w:sz w:val="21"/>
                    </w:rPr>
                    <w:t>2.</w:t>
                  </w:r>
                  <w:r>
                    <w:rPr>
                      <w:rFonts w:ascii="仿宋_GB2312" w:hAnsi="仿宋_GB2312" w:cs="仿宋_GB2312" w:eastAsia="仿宋_GB2312"/>
                      <w:sz w:val="21"/>
                    </w:rPr>
                    <w:t>管理分类标签（在管、未管、拒管、脱落）；</w:t>
                  </w:r>
                  <w:r>
                    <w:rPr>
                      <w:rFonts w:ascii="仿宋_GB2312" w:hAnsi="仿宋_GB2312" w:cs="仿宋_GB2312" w:eastAsia="仿宋_GB2312"/>
                      <w:sz w:val="21"/>
                    </w:rPr>
                    <w:t>3.</w:t>
                  </w:r>
                  <w:r>
                    <w:rPr>
                      <w:rFonts w:ascii="仿宋_GB2312" w:hAnsi="仿宋_GB2312" w:cs="仿宋_GB2312" w:eastAsia="仿宋_GB2312"/>
                      <w:sz w:val="21"/>
                    </w:rPr>
                    <w:t>责任医生及所在机构、科室。人群分类标签和管理分类标签应随关键指标变化及时更新。</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数据共享管理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支持设置慢性病数据共享规则（共享范围、共享内容、共享期限等）。</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数据分级</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支持下级医院查看自己医院的数据、上级医院查看所有医院的数据。支持医院查看各个科室的数据。</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22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基层卫生院慢病管理医护人员</w:t>
                  </w:r>
                  <w:r>
                    <w:rPr>
                      <w:rFonts w:ascii="仿宋_GB2312" w:hAnsi="仿宋_GB2312" w:cs="仿宋_GB2312" w:eastAsia="仿宋_GB2312"/>
                      <w:sz w:val="21"/>
                    </w:rPr>
                    <w:t>PC</w:t>
                  </w:r>
                  <w:r>
                    <w:rPr>
                      <w:rFonts w:ascii="仿宋_GB2312" w:hAnsi="仿宋_GB2312" w:cs="仿宋_GB2312" w:eastAsia="仿宋_GB2312"/>
                      <w:sz w:val="21"/>
                    </w:rPr>
                    <w:t>端</w:t>
                  </w: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医生工作站</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签约即将逾期患者管理、总签约患者管理、今日测量患者管理、今日测量偏高患者管理、今日预警患者管理、待随访人数管理、转诊患者统计、转出患者统计、患者血糖血压控制率统计、患者今日运动情况统计、患者用药情况统计、医生签约人员走势；</w:t>
                  </w:r>
                </w:p>
                <w:p>
                  <w:pPr>
                    <w:pStyle w:val="null3"/>
                    <w:jc w:val="left"/>
                  </w:pP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院内外一站式管理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院内外患者数据共享包括居家监测数据、临床诊断数据、健康干预数据、随访记录等；</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医生管理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科室管理、科室预置模板、科室数据导入、医生权限管理、医生服务团队管理、医生预置模板、医生数据导入、医生账户启用和禁用、医生信息维护、医生登录密码重置等；</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绩效统计管理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医生服务团队日常绩效统计、绩效考核指标：签约量、随访量、干预量，血压血糖控制率等；</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设备管理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设备绑定、设备批量导入、设备模板管理、设备使用情况管理、设备的解绑和绑定、设备导出与导入、设备供应商管理。</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远程医疗</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可实现在线问诊、视频远程问诊，支持和签约的家庭医生进行音视频通话；</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双向转诊</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可实现向上转诊（支持选上级医院，科室）、向下转诊（支持选下级医院，科室）、转诊患者分配、转出记录管理、转诊状态管理；</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平台提醒</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微信消息提醒（异常、未测量、运动、用药）；支持患者用药提醒，根据设定阈值提醒医生及时关注用药结束的患者；</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科教宣传</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健康知识小视频、健康知识文章、健康知识展示区域设定；</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17.</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服务包管理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标准服务包管理、自定义服务包管理、服务包上下架管理、服务包使用量统计；</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健康计划</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可制定患者的健康计划，制定关键复诊节点，并将复诊计划推送至患者移动端，设定健康目标，按照时间节点进一步管控患者的康复路径。</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19.</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肥胖管理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根据患者的体重身高以及</w:t>
                  </w:r>
                  <w:r>
                    <w:rPr>
                      <w:rFonts w:ascii="仿宋_GB2312" w:hAnsi="仿宋_GB2312" w:cs="仿宋_GB2312" w:eastAsia="仿宋_GB2312"/>
                      <w:sz w:val="21"/>
                    </w:rPr>
                    <w:t>BMI</w:t>
                  </w:r>
                  <w:r>
                    <w:rPr>
                      <w:rFonts w:ascii="仿宋_GB2312" w:hAnsi="仿宋_GB2312" w:cs="仿宋_GB2312" w:eastAsia="仿宋_GB2312"/>
                      <w:sz w:val="21"/>
                    </w:rPr>
                    <w:t>指数，自动筛选出肥胖的患者，根据患者性别年龄</w:t>
                  </w:r>
                  <w:r>
                    <w:rPr>
                      <w:rFonts w:ascii="仿宋_GB2312" w:hAnsi="仿宋_GB2312" w:cs="仿宋_GB2312" w:eastAsia="仿宋_GB2312"/>
                      <w:sz w:val="21"/>
                    </w:rPr>
                    <w:t>BMI</w:t>
                  </w:r>
                  <w:r>
                    <w:rPr>
                      <w:rFonts w:ascii="仿宋_GB2312" w:hAnsi="仿宋_GB2312" w:cs="仿宋_GB2312" w:eastAsia="仿宋_GB2312"/>
                      <w:sz w:val="21"/>
                    </w:rPr>
                    <w:t>等指数，进行体重管理计划，包括运动、饮食建议。设定肥胖管理目标。</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运动健康</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支持自动获取患者每天的运动情况数据；</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21.</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药品管理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药品管理、药品预置模板、药品批量导入；</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22.</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患者分级分色管理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按照慢性病患者疾病严重程度和风险评估结果分为三个管理等级：绿色、黄色和红色；提供对应管理模式；</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23.</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慢病精细化管理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both"/>
                  </w:pPr>
                  <w:r>
                    <w:rPr>
                      <w:rFonts w:ascii="仿宋_GB2312" w:hAnsi="仿宋_GB2312" w:cs="仿宋_GB2312" w:eastAsia="仿宋_GB2312"/>
                      <w:sz w:val="21"/>
                    </w:rPr>
                    <w:t>支持对居民慢病每日检测人数、正常异常人数以及总测量人数进行统计；</w:t>
                  </w:r>
                </w:p>
                <w:p>
                  <w:pPr>
                    <w:pStyle w:val="null3"/>
                    <w:numPr>
                      <w:ilvl w:val="0"/>
                      <w:numId w:val="1"/>
                    </w:numPr>
                    <w:jc w:val="both"/>
                  </w:pPr>
                  <w:r>
                    <w:rPr>
                      <w:rFonts w:ascii="仿宋_GB2312" w:hAnsi="仿宋_GB2312" w:cs="仿宋_GB2312" w:eastAsia="仿宋_GB2312"/>
                      <w:sz w:val="21"/>
                    </w:rPr>
                    <w:t>患者病历：患者基本信息展示，患者数据展示，患者用药记录，运动记录，饮食记录展示，医生可在病历为患者添加标签（高血压，糖尿病并发症等）后台可修改，添加，可打印患者数据与患者病历；</w:t>
                  </w:r>
                </w:p>
                <w:p>
                  <w:pPr>
                    <w:pStyle w:val="null3"/>
                    <w:numPr>
                      <w:ilvl w:val="0"/>
                      <w:numId w:val="1"/>
                    </w:numPr>
                    <w:jc w:val="both"/>
                  </w:pPr>
                  <w:r>
                    <w:rPr>
                      <w:rFonts w:ascii="仿宋_GB2312" w:hAnsi="仿宋_GB2312" w:cs="仿宋_GB2312" w:eastAsia="仿宋_GB2312"/>
                      <w:sz w:val="21"/>
                    </w:rPr>
                    <w:t>随访管理</w:t>
                  </w:r>
                  <w:r>
                    <w:rPr>
                      <w:rFonts w:ascii="仿宋_GB2312" w:hAnsi="仿宋_GB2312" w:cs="仿宋_GB2312" w:eastAsia="仿宋_GB2312"/>
                      <w:sz w:val="21"/>
                    </w:rPr>
                    <w:t>：</w:t>
                  </w:r>
                  <w:r>
                    <w:rPr>
                      <w:rFonts w:ascii="仿宋_GB2312" w:hAnsi="仿宋_GB2312" w:cs="仿宋_GB2312" w:eastAsia="仿宋_GB2312"/>
                      <w:sz w:val="21"/>
                    </w:rPr>
                    <w:t>定期患者随访（高血压随访、糖尿病随访，同基本公卫随访公共信息自动调取）、患者随访记录管理、患者转诊记录管理、并发症管理、患者干预管理</w:t>
                  </w:r>
                  <w:r>
                    <w:rPr>
                      <w:rFonts w:ascii="仿宋_GB2312" w:hAnsi="仿宋_GB2312" w:cs="仿宋_GB2312" w:eastAsia="仿宋_GB2312"/>
                      <w:sz w:val="21"/>
                    </w:rPr>
                    <w:t>(</w:t>
                  </w:r>
                  <w:r>
                    <w:rPr>
                      <w:rFonts w:ascii="仿宋_GB2312" w:hAnsi="仿宋_GB2312" w:cs="仿宋_GB2312" w:eastAsia="仿宋_GB2312"/>
                      <w:sz w:val="21"/>
                    </w:rPr>
                    <w:t>糖尿病干预，高血压干预）、患者干预记录管理、患者档案修改、服务包续签、患者查询；</w:t>
                  </w:r>
                </w:p>
                <w:p>
                  <w:pPr>
                    <w:pStyle w:val="null3"/>
                    <w:numPr>
                      <w:ilvl w:val="0"/>
                      <w:numId w:val="1"/>
                    </w:numPr>
                    <w:jc w:val="both"/>
                  </w:pPr>
                  <w:r>
                    <w:rPr>
                      <w:rFonts w:ascii="仿宋_GB2312" w:hAnsi="仿宋_GB2312" w:cs="仿宋_GB2312" w:eastAsia="仿宋_GB2312"/>
                      <w:sz w:val="21"/>
                    </w:rPr>
                    <w:t>支持慢病随访数据，可实时同步至陕西省公卫平台；</w:t>
                  </w:r>
                </w:p>
                <w:p>
                  <w:pPr>
                    <w:pStyle w:val="null3"/>
                    <w:numPr>
                      <w:ilvl w:val="0"/>
                      <w:numId w:val="1"/>
                    </w:numPr>
                    <w:jc w:val="both"/>
                  </w:pPr>
                  <w:r>
                    <w:rPr>
                      <w:rFonts w:ascii="仿宋_GB2312" w:hAnsi="仿宋_GB2312" w:cs="仿宋_GB2312" w:eastAsia="仿宋_GB2312"/>
                      <w:sz w:val="21"/>
                    </w:rPr>
                    <w:t>个性化慢病管理方案的制定：对主要慢病（高血压、糖尿病、冠心病、脑卒中、慢性肾病、慢性阻塞性肺疾病）及合并症、并发症患者制定个性化管理方案；</w:t>
                  </w:r>
                </w:p>
                <w:p>
                  <w:pPr>
                    <w:pStyle w:val="null3"/>
                    <w:numPr>
                      <w:ilvl w:val="0"/>
                      <w:numId w:val="1"/>
                    </w:numPr>
                    <w:jc w:val="both"/>
                  </w:pPr>
                  <w:r>
                    <w:rPr>
                      <w:rFonts w:ascii="仿宋_GB2312" w:hAnsi="仿宋_GB2312" w:cs="仿宋_GB2312" w:eastAsia="仿宋_GB2312"/>
                      <w:sz w:val="21"/>
                    </w:rPr>
                    <w:t>主要慢病的复诊管理</w:t>
                  </w:r>
                  <w:r>
                    <w:rPr>
                      <w:rFonts w:ascii="仿宋_GB2312" w:hAnsi="仿宋_GB2312" w:cs="仿宋_GB2312" w:eastAsia="仿宋_GB2312"/>
                      <w:sz w:val="21"/>
                    </w:rPr>
                    <w:t>通过短信、微信公众号等客户端途径，有效促进主要慢病患者规范化复诊；</w:t>
                  </w:r>
                </w:p>
                <w:p>
                  <w:pPr>
                    <w:pStyle w:val="null3"/>
                    <w:numPr>
                      <w:ilvl w:val="0"/>
                      <w:numId w:val="1"/>
                    </w:numPr>
                    <w:jc w:val="both"/>
                  </w:pPr>
                  <w:r>
                    <w:rPr>
                      <w:rFonts w:ascii="仿宋_GB2312" w:hAnsi="仿宋_GB2312" w:cs="仿宋_GB2312" w:eastAsia="仿宋_GB2312"/>
                      <w:sz w:val="21"/>
                    </w:rPr>
                    <w:t>支持血压计、血糖仪以及院内医疗设备的对接，可自动获取测量数据；</w:t>
                  </w:r>
                </w:p>
                <w:p>
                  <w:pPr>
                    <w:pStyle w:val="null3"/>
                    <w:numPr>
                      <w:ilvl w:val="0"/>
                      <w:numId w:val="1"/>
                    </w:numPr>
                    <w:jc w:val="left"/>
                  </w:pPr>
                  <w:r>
                    <w:rPr>
                      <w:rFonts w:ascii="仿宋_GB2312" w:hAnsi="仿宋_GB2312" w:cs="仿宋_GB2312" w:eastAsia="仿宋_GB2312"/>
                      <w:sz w:val="21"/>
                    </w:rPr>
                    <w:t>患者画像：系统支持以图文结合的形式生成患者整体疾病画像，能多维度展示患者疾病图谱；</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24.</w:t>
                  </w:r>
                </w:p>
              </w:tc>
              <w:tc>
                <w:tcPr>
                  <w:tcW w:type="dxa" w:w="22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基层卫生院慢慢病管理医务人员小程序端</w:t>
                  </w: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账户登录</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微信登录账户授权、多重身份选择、知情同意书授权；</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医生工作站（移动端）</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签约即将逾期患者管理、总签约患者管理、今日测量患者管理、今日测量偏高患者管理、今日预警患者管理、待随访人数管理、转诊患者统计、转出患者统计、患者血糖血压控制率统计、患者今日运动情况统计、患者用药情况统计、医生签约人员走势；包含待签约患者、已签约患者、饮食健康干预、运动健康干预、患者画像、科教宣传、远程健康咨询、患者建档</w:t>
                  </w:r>
                  <w:r>
                    <w:rPr>
                      <w:rFonts w:ascii="仿宋_GB2312" w:hAnsi="仿宋_GB2312" w:cs="仿宋_GB2312" w:eastAsia="仿宋_GB2312"/>
                      <w:sz w:val="21"/>
                    </w:rPr>
                    <w:t>OCR</w:t>
                  </w:r>
                  <w:r>
                    <w:rPr>
                      <w:rFonts w:ascii="仿宋_GB2312" w:hAnsi="仿宋_GB2312" w:cs="仿宋_GB2312" w:eastAsia="仿宋_GB2312"/>
                      <w:sz w:val="21"/>
                    </w:rPr>
                    <w:t>身份证信息识别等功能；</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26.</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科教宣传</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健康知识小视频、健康知识文章、文章标题关键字模糊查询、科教宣传定向推动；</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27.</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健康画像查询</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支持获取患者的历史就诊记录（处方信息、检查信息、药品信息）；</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我的</w:t>
                  </w:r>
                  <w:r>
                    <w:rPr>
                      <w:rFonts w:ascii="仿宋_GB2312" w:hAnsi="仿宋_GB2312" w:cs="仿宋_GB2312" w:eastAsia="仿宋_GB2312"/>
                      <w:sz w:val="21"/>
                    </w:rPr>
                    <w:t>信息</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医生资料展示、小程序自动更新、服务建议反馈；</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29.</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微信消息推送服务</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对接微信消息模板，可自动推送微信消息，手动推送群发微信消息；</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健康计划</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可查看患者的健康计划执行情况，执行结果。</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31.</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设备管理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支持血压计、血糖仪等便携式筛查设备绑定；</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32.</w:t>
                  </w:r>
                </w:p>
              </w:tc>
              <w:tc>
                <w:tcPr>
                  <w:tcW w:type="dxa" w:w="22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基层卫生院慢病管理患者小程序端</w:t>
                  </w: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患者档案</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患者基本信息姓名、性别、年龄、手机号、身高、体重、所属分组等，支持</w:t>
                  </w:r>
                  <w:r>
                    <w:rPr>
                      <w:rFonts w:ascii="仿宋_GB2312" w:hAnsi="仿宋_GB2312" w:cs="仿宋_GB2312" w:eastAsia="仿宋_GB2312"/>
                      <w:sz w:val="21"/>
                    </w:rPr>
                    <w:t>OCR</w:t>
                  </w:r>
                  <w:r>
                    <w:rPr>
                      <w:rFonts w:ascii="仿宋_GB2312" w:hAnsi="仿宋_GB2312" w:cs="仿宋_GB2312" w:eastAsia="仿宋_GB2312"/>
                      <w:sz w:val="21"/>
                    </w:rPr>
                    <w:t>身份证识别快速建档、查询；</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33.</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数据测量与上传</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用户自测血糖、血压等信息数据自动上传至慢病管理平台；</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34.</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自我管理</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患者可通过小程序查看个人历史检测数据；</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35.</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远程音视频</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患者可在线与医生互动交流，根据指导建议进行深入的自我健康管理；</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36.</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患者线上签约</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支持线上签约、线上签约知情同意书；</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37.</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科教宣传</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健康知识小视频、健康知识文章、科教宣传定向推动、专属科教定向推送。</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38.</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患者用户中心</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患者微信授权登录、知情同意书授权、健康积分、血压血糖监控、远程自测数据同步：对于没设备的患者、患者血压血糖远程测量结果自动上传、家庭成员绑定、小程序分享、微信运动数据对接、小程序自动更新、服务包自助续约；</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39.</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健康助手</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根据患者的测量数据情况，结合医生的干预指导建议，自动推送健康预警，自动推送干预指导建议，以及相关的运动提醒、测量提醒等、用药预警提醒。</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家属关爱</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可设置是否接收关联家属的健康提醒信息；</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41.</w:t>
                  </w:r>
                </w:p>
              </w:tc>
              <w:tc>
                <w:tcPr>
                  <w:tcW w:type="dxa" w:w="225"/>
                  <w:vMerge/>
                  <w:tcBorders>
                    <w:top w:val="non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关联设置</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可设置取消和家属的关联，可绑定家属健康档案；</w:t>
                  </w:r>
                </w:p>
              </w:tc>
            </w:tr>
            <w:tr>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42.</w:t>
                  </w:r>
                </w:p>
              </w:tc>
              <w:tc>
                <w:tcPr>
                  <w:tcW w:type="dxa" w:w="494"/>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数据互联互通</w:t>
                  </w:r>
                </w:p>
              </w:tc>
              <w:tc>
                <w:tcPr>
                  <w:tcW w:type="dxa" w:w="17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需支持与医院</w:t>
                  </w:r>
                  <w:r>
                    <w:rPr>
                      <w:rFonts w:ascii="仿宋_GB2312" w:hAnsi="仿宋_GB2312" w:cs="仿宋_GB2312" w:eastAsia="仿宋_GB2312"/>
                      <w:sz w:val="21"/>
                    </w:rPr>
                    <w:t>HIS</w:t>
                  </w:r>
                  <w:r>
                    <w:rPr>
                      <w:rFonts w:ascii="仿宋_GB2312" w:hAnsi="仿宋_GB2312" w:cs="仿宋_GB2312" w:eastAsia="仿宋_GB2312"/>
                      <w:sz w:val="21"/>
                    </w:rPr>
                    <w:t>系统、</w:t>
                  </w:r>
                  <w:r>
                    <w:rPr>
                      <w:rFonts w:ascii="仿宋_GB2312" w:hAnsi="仿宋_GB2312" w:cs="仿宋_GB2312" w:eastAsia="仿宋_GB2312"/>
                      <w:sz w:val="21"/>
                    </w:rPr>
                    <w:t>陕西</w:t>
                  </w:r>
                  <w:r>
                    <w:rPr>
                      <w:rFonts w:ascii="仿宋_GB2312" w:hAnsi="仿宋_GB2312" w:cs="仿宋_GB2312" w:eastAsia="仿宋_GB2312"/>
                      <w:sz w:val="21"/>
                    </w:rPr>
                    <w:t>省</w:t>
                  </w:r>
                  <w:r>
                    <w:rPr>
                      <w:rFonts w:ascii="仿宋_GB2312" w:hAnsi="仿宋_GB2312" w:cs="仿宋_GB2312" w:eastAsia="仿宋_GB2312"/>
                      <w:sz w:val="21"/>
                    </w:rPr>
                    <w:t>公卫平台、三秦智医平台的互联互通、数据共享。</w:t>
                  </w:r>
                </w:p>
              </w:tc>
            </w:tr>
            <w:tr>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43.</w:t>
                  </w:r>
                  <w:r>
                    <w:rPr>
                      <w:rFonts w:ascii="仿宋_GB2312" w:hAnsi="仿宋_GB2312" w:cs="仿宋_GB2312" w:eastAsia="仿宋_GB2312"/>
                      <w:sz w:val="21"/>
                    </w:rPr>
                    <w:t>★</w:t>
                  </w:r>
                </w:p>
              </w:tc>
              <w:tc>
                <w:tcPr>
                  <w:tcW w:type="dxa" w:w="225"/>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六病专项升级</w:t>
                  </w:r>
                </w:p>
              </w:tc>
              <w:tc>
                <w:tcPr>
                  <w:tcW w:type="dxa" w:w="2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高血压管理</w:t>
                  </w:r>
                </w:p>
              </w:tc>
              <w:tc>
                <w:tcPr>
                  <w:tcW w:type="dxa" w:w="17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支持专设高血压患者档案，记录手动</w:t>
                  </w:r>
                  <w:r>
                    <w:rPr>
                      <w:rFonts w:ascii="仿宋_GB2312" w:hAnsi="仿宋_GB2312" w:cs="仿宋_GB2312" w:eastAsia="仿宋_GB2312"/>
                      <w:sz w:val="21"/>
                    </w:rPr>
                    <w:t>/</w:t>
                  </w:r>
                  <w:r>
                    <w:rPr>
                      <w:rFonts w:ascii="仿宋_GB2312" w:hAnsi="仿宋_GB2312" w:cs="仿宋_GB2312" w:eastAsia="仿宋_GB2312"/>
                      <w:sz w:val="21"/>
                    </w:rPr>
                    <w:t>设备同步的血压数据，生成趋势图表，制定用药、饮食等干预方案，设置异常预警，管理随访计划与记录，统计控制达标率。</w:t>
                  </w:r>
                </w:p>
              </w:tc>
            </w:tr>
            <w:tr>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44.</w:t>
                  </w:r>
                  <w:r>
                    <w:rPr>
                      <w:rFonts w:ascii="仿宋_GB2312" w:hAnsi="仿宋_GB2312" w:cs="仿宋_GB2312" w:eastAsia="仿宋_GB2312"/>
                      <w:sz w:val="21"/>
                    </w:rPr>
                    <w:t>★</w:t>
                  </w:r>
                </w:p>
              </w:tc>
              <w:tc>
                <w:tcPr>
                  <w:tcW w:type="dxa" w:w="225"/>
                  <w:vMerge/>
                  <w:tcBorders>
                    <w:top w:val="single" w:color="000000" w:sz="4"/>
                    <w:left w:val="single" w:color="000000" w:sz="4"/>
                    <w:bottom w:val="single" w:color="000000" w:sz="4"/>
                    <w:right w:val="single" w:color="000000" w:sz="4"/>
                  </w:tcBorders>
                </w:tcPr>
                <w:p/>
              </w:tc>
              <w:tc>
                <w:tcPr>
                  <w:tcW w:type="dxa" w:w="2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糖尿病管理</w:t>
                  </w:r>
                </w:p>
              </w:tc>
              <w:tc>
                <w:tcPr>
                  <w:tcW w:type="dxa" w:w="17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支持存储糖尿病患者空腹</w:t>
                  </w:r>
                  <w:r>
                    <w:rPr>
                      <w:rFonts w:ascii="仿宋_GB2312" w:hAnsi="仿宋_GB2312" w:cs="仿宋_GB2312" w:eastAsia="仿宋_GB2312"/>
                      <w:sz w:val="21"/>
                    </w:rPr>
                    <w:t>/</w:t>
                  </w:r>
                  <w:r>
                    <w:rPr>
                      <w:rFonts w:ascii="仿宋_GB2312" w:hAnsi="仿宋_GB2312" w:cs="仿宋_GB2312" w:eastAsia="仿宋_GB2312"/>
                      <w:sz w:val="21"/>
                    </w:rPr>
                    <w:t>餐后血糖数据，可视化血糖变化，制定控制目标与运动、用药干预方案，管理随访与评估，统计血糖达标率及并发症发生率。</w:t>
                  </w:r>
                </w:p>
              </w:tc>
            </w:tr>
            <w:tr>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45.</w:t>
                  </w:r>
                  <w:r>
                    <w:rPr>
                      <w:rFonts w:ascii="仿宋_GB2312" w:hAnsi="仿宋_GB2312" w:cs="仿宋_GB2312" w:eastAsia="仿宋_GB2312"/>
                      <w:sz w:val="21"/>
                    </w:rPr>
                    <w:t>★</w:t>
                  </w:r>
                </w:p>
              </w:tc>
              <w:tc>
                <w:tcPr>
                  <w:tcW w:type="dxa" w:w="225"/>
                  <w:vMerge/>
                  <w:tcBorders>
                    <w:top w:val="single" w:color="000000" w:sz="4"/>
                    <w:left w:val="single" w:color="000000" w:sz="4"/>
                    <w:bottom w:val="single" w:color="000000" w:sz="4"/>
                    <w:right w:val="single" w:color="000000" w:sz="4"/>
                  </w:tcBorders>
                </w:tcPr>
                <w:p/>
              </w:tc>
              <w:tc>
                <w:tcPr>
                  <w:tcW w:type="dxa" w:w="2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脑卒中管理</w:t>
                  </w:r>
                </w:p>
              </w:tc>
              <w:tc>
                <w:tcPr>
                  <w:tcW w:type="dxa" w:w="17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支持记录脑卒中患者发病时间、治疗方案等病史，跟踪康复进展，制定康复训练计划，管理用药、饮食等二级预防干预，设置复查提醒，记录随访与复查结果，评估功能恢复。</w:t>
                  </w:r>
                </w:p>
              </w:tc>
            </w:tr>
            <w:tr>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46.</w:t>
                  </w:r>
                  <w:r>
                    <w:rPr>
                      <w:rFonts w:ascii="仿宋_GB2312" w:hAnsi="仿宋_GB2312" w:cs="仿宋_GB2312" w:eastAsia="仿宋_GB2312"/>
                      <w:sz w:val="21"/>
                    </w:rPr>
                    <w:t>★</w:t>
                  </w:r>
                </w:p>
              </w:tc>
              <w:tc>
                <w:tcPr>
                  <w:tcW w:type="dxa" w:w="225"/>
                  <w:vMerge/>
                  <w:tcBorders>
                    <w:top w:val="single" w:color="000000" w:sz="4"/>
                    <w:left w:val="single" w:color="000000" w:sz="4"/>
                    <w:bottom w:val="single" w:color="000000" w:sz="4"/>
                    <w:right w:val="single" w:color="000000" w:sz="4"/>
                  </w:tcBorders>
                </w:tcPr>
                <w:p/>
              </w:tc>
              <w:tc>
                <w:tcPr>
                  <w:tcW w:type="dxa" w:w="2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慢阻肺管理</w:t>
                  </w:r>
                </w:p>
              </w:tc>
              <w:tc>
                <w:tcPr>
                  <w:tcW w:type="dxa" w:w="17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支持存储慢阻肺患者肺功能检测数据，制定呼吸训练与用药方案，监控急性发作风险，管理症状评估、肺功能复查等随访计划，记录吸烟史与戒烟干预，统计病情控制效果。</w:t>
                  </w:r>
                </w:p>
              </w:tc>
            </w:tr>
            <w:tr>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47.</w:t>
                  </w:r>
                  <w:r>
                    <w:rPr>
                      <w:rFonts w:ascii="仿宋_GB2312" w:hAnsi="仿宋_GB2312" w:cs="仿宋_GB2312" w:eastAsia="仿宋_GB2312"/>
                      <w:sz w:val="21"/>
                    </w:rPr>
                    <w:t>★</w:t>
                  </w:r>
                </w:p>
              </w:tc>
              <w:tc>
                <w:tcPr>
                  <w:tcW w:type="dxa" w:w="225"/>
                  <w:vMerge/>
                  <w:tcBorders>
                    <w:top w:val="single" w:color="000000" w:sz="4"/>
                    <w:left w:val="single" w:color="000000" w:sz="4"/>
                    <w:bottom w:val="single" w:color="000000" w:sz="4"/>
                    <w:right w:val="single" w:color="000000" w:sz="4"/>
                  </w:tcBorders>
                </w:tcPr>
                <w:p/>
              </w:tc>
              <w:tc>
                <w:tcPr>
                  <w:tcW w:type="dxa" w:w="2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冠心病管理</w:t>
                  </w:r>
                </w:p>
              </w:tc>
              <w:tc>
                <w:tcPr>
                  <w:tcW w:type="dxa" w:w="17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支持记录冠心病患者档案，制定血脂、血压控制方案，设置心脏指标监测提醒，管理心电图复查、症状评估等随访，跟踪用药依从性，统计心血管事件风险。</w:t>
                  </w:r>
                </w:p>
              </w:tc>
            </w:tr>
            <w:tr>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48.</w:t>
                  </w:r>
                  <w:r>
                    <w:rPr>
                      <w:rFonts w:ascii="仿宋_GB2312" w:hAnsi="仿宋_GB2312" w:cs="仿宋_GB2312" w:eastAsia="仿宋_GB2312"/>
                      <w:sz w:val="21"/>
                    </w:rPr>
                    <w:t>★</w:t>
                  </w:r>
                </w:p>
              </w:tc>
              <w:tc>
                <w:tcPr>
                  <w:tcW w:type="dxa" w:w="225"/>
                  <w:vMerge/>
                  <w:tcBorders>
                    <w:top w:val="single" w:color="000000" w:sz="4"/>
                    <w:left w:val="single" w:color="000000" w:sz="4"/>
                    <w:bottom w:val="single" w:color="000000" w:sz="4"/>
                    <w:right w:val="single" w:color="000000" w:sz="4"/>
                  </w:tcBorders>
                </w:tcPr>
                <w:p/>
              </w:tc>
              <w:tc>
                <w:tcPr>
                  <w:tcW w:type="dxa" w:w="2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慢性肾病管理</w:t>
                  </w:r>
                </w:p>
              </w:tc>
              <w:tc>
                <w:tcPr>
                  <w:tcW w:type="dxa" w:w="17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支持存储慢性肾病患者肌酐、尿蛋白等肾功能指标，按分期制定饮食、管理计划等方案，监控关键指标变化，管理随访与复查，评估病情进展。</w:t>
                  </w:r>
                </w:p>
              </w:tc>
            </w:tr>
            <w:tr>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49.</w:t>
                  </w:r>
                </w:p>
              </w:tc>
              <w:tc>
                <w:tcPr>
                  <w:tcW w:type="dxa" w:w="225"/>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w:t>
                  </w:r>
                </w:p>
                <w:p>
                  <w:pPr>
                    <w:pStyle w:val="null3"/>
                    <w:jc w:val="center"/>
                  </w:pPr>
                  <w:r>
                    <w:rPr>
                      <w:rFonts w:ascii="仿宋_GB2312" w:hAnsi="仿宋_GB2312" w:cs="仿宋_GB2312" w:eastAsia="仿宋_GB2312"/>
                      <w:sz w:val="21"/>
                    </w:rPr>
                    <w:t>效果</w:t>
                  </w:r>
                </w:p>
                <w:p>
                  <w:pPr>
                    <w:pStyle w:val="null3"/>
                    <w:jc w:val="center"/>
                  </w:pPr>
                  <w:r>
                    <w:rPr>
                      <w:rFonts w:ascii="仿宋_GB2312" w:hAnsi="仿宋_GB2312" w:cs="仿宋_GB2312" w:eastAsia="仿宋_GB2312"/>
                      <w:sz w:val="21"/>
                    </w:rPr>
                    <w:t>评估</w:t>
                  </w:r>
                </w:p>
                <w:p>
                  <w:pPr>
                    <w:pStyle w:val="null3"/>
                    <w:jc w:val="center"/>
                  </w:pPr>
                  <w:r>
                    <w:rPr>
                      <w:rFonts w:ascii="仿宋_GB2312" w:hAnsi="仿宋_GB2312" w:cs="仿宋_GB2312" w:eastAsia="仿宋_GB2312"/>
                      <w:sz w:val="21"/>
                    </w:rPr>
                    <w:t>与质</w:t>
                  </w:r>
                </w:p>
                <w:p>
                  <w:pPr>
                    <w:pStyle w:val="null3"/>
                    <w:jc w:val="center"/>
                  </w:pPr>
                  <w:r>
                    <w:rPr>
                      <w:rFonts w:ascii="仿宋_GB2312" w:hAnsi="仿宋_GB2312" w:cs="仿宋_GB2312" w:eastAsia="仿宋_GB2312"/>
                      <w:sz w:val="21"/>
                    </w:rPr>
                    <w:t>量控</w:t>
                  </w:r>
                </w:p>
                <w:p>
                  <w:pPr>
                    <w:pStyle w:val="null3"/>
                    <w:jc w:val="center"/>
                  </w:pPr>
                  <w:r>
                    <w:rPr>
                      <w:rFonts w:ascii="仿宋_GB2312" w:hAnsi="仿宋_GB2312" w:cs="仿宋_GB2312" w:eastAsia="仿宋_GB2312"/>
                      <w:sz w:val="21"/>
                    </w:rPr>
                    <w:t>制系</w:t>
                  </w:r>
                </w:p>
                <w:p>
                  <w:pPr>
                    <w:pStyle w:val="null3"/>
                    <w:jc w:val="center"/>
                  </w:pPr>
                  <w:r>
                    <w:rPr>
                      <w:rFonts w:ascii="仿宋_GB2312" w:hAnsi="仿宋_GB2312" w:cs="仿宋_GB2312" w:eastAsia="仿宋_GB2312"/>
                      <w:sz w:val="21"/>
                    </w:rPr>
                    <w:t>统</w:t>
                  </w:r>
                </w:p>
              </w:tc>
              <w:tc>
                <w:tcPr>
                  <w:tcW w:type="dxa" w:w="2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服务概览评估</w:t>
                  </w:r>
                </w:p>
              </w:tc>
              <w:tc>
                <w:tcPr>
                  <w:tcW w:type="dxa" w:w="17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支持医疗机构成员单位统计、医生服务团队统计、患者签约情况统计、患者签约情况走势、患者签约增长率统计、待签约患者统计、患者签约率统计。</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w:t>
                  </w:r>
                  <w:r>
                    <w:rPr>
                      <w:rFonts w:ascii="仿宋_GB2312" w:hAnsi="仿宋_GB2312" w:cs="仿宋_GB2312" w:eastAsia="仿宋_GB2312"/>
                      <w:sz w:val="21"/>
                    </w:rPr>
                    <w:t>★</w:t>
                  </w:r>
                </w:p>
              </w:tc>
              <w:tc>
                <w:tcPr>
                  <w:tcW w:type="dxa" w:w="225"/>
                  <w:vMerge/>
                  <w:tcBorders>
                    <w:top w:val="singl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业务工作量评估</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健康宣教推送情况统计、双向转诊情况统计、服务包排名统计、患者干预次数统计、血压血糖控制率情况统计、患者服药率情况统计、患者随访情况统计、即将到期患者情况统计、患者高血压糖尿病测量次数统计、血糖血压测量人数走势、高血压糖尿病干预情况统计。以数据表格的形式进行统计和分析</w:t>
                  </w:r>
                  <w:r>
                    <w:rPr>
                      <w:rFonts w:ascii="仿宋_GB2312" w:hAnsi="仿宋_GB2312" w:cs="仿宋_GB2312" w:eastAsia="仿宋_GB2312"/>
                      <w:sz w:val="21"/>
                    </w:rPr>
                    <w:t>。</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51.</w:t>
                  </w:r>
                </w:p>
              </w:tc>
              <w:tc>
                <w:tcPr>
                  <w:tcW w:type="dxa" w:w="225"/>
                  <w:vMerge/>
                  <w:tcBorders>
                    <w:top w:val="singl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患者依从性评估</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支持高血压糖尿病患者测量情况统计、测量结果连续三次异常患者统计、长期未测量患者统计、患者健康积分统计、患者日常血压血糖运动提醒统计、当日患者运动情况统计。</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52.</w:t>
                  </w:r>
                </w:p>
              </w:tc>
              <w:tc>
                <w:tcPr>
                  <w:tcW w:type="dxa" w:w="225"/>
                  <w:vMerge/>
                  <w:tcBorders>
                    <w:top w:val="singl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慢病指标趋势报表</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支持按时间轴（周</w:t>
                  </w:r>
                  <w:r>
                    <w:rPr>
                      <w:rFonts w:ascii="仿宋_GB2312" w:hAnsi="仿宋_GB2312" w:cs="仿宋_GB2312" w:eastAsia="仿宋_GB2312"/>
                      <w:sz w:val="21"/>
                    </w:rPr>
                    <w:t>/</w:t>
                  </w:r>
                  <w:r>
                    <w:rPr>
                      <w:rFonts w:ascii="仿宋_GB2312" w:hAnsi="仿宋_GB2312" w:cs="仿宋_GB2312" w:eastAsia="仿宋_GB2312"/>
                      <w:sz w:val="21"/>
                    </w:rPr>
                    <w:t>月</w:t>
                  </w:r>
                  <w:r>
                    <w:rPr>
                      <w:rFonts w:ascii="仿宋_GB2312" w:hAnsi="仿宋_GB2312" w:cs="仿宋_GB2312" w:eastAsia="仿宋_GB2312"/>
                      <w:sz w:val="21"/>
                    </w:rPr>
                    <w:t>/</w:t>
                  </w:r>
                  <w:r>
                    <w:rPr>
                      <w:rFonts w:ascii="仿宋_GB2312" w:hAnsi="仿宋_GB2312" w:cs="仿宋_GB2312" w:eastAsia="仿宋_GB2312"/>
                      <w:sz w:val="21"/>
                    </w:rPr>
                    <w:t>季度）展示核心指标波动，支持统计高血压患者的</w:t>
                  </w:r>
                  <w:r>
                    <w:rPr>
                      <w:rFonts w:ascii="仿宋_GB2312" w:hAnsi="仿宋_GB2312" w:cs="仿宋_GB2312" w:eastAsia="仿宋_GB2312"/>
                      <w:sz w:val="21"/>
                    </w:rPr>
                    <w:t>“</w:t>
                  </w:r>
                  <w:r>
                    <w:rPr>
                      <w:rFonts w:ascii="仿宋_GB2312" w:hAnsi="仿宋_GB2312" w:cs="仿宋_GB2312" w:eastAsia="仿宋_GB2312"/>
                      <w:sz w:val="21"/>
                    </w:rPr>
                    <w:t>血压（收缩压</w:t>
                  </w:r>
                  <w:r>
                    <w:rPr>
                      <w:rFonts w:ascii="仿宋_GB2312" w:hAnsi="仿宋_GB2312" w:cs="仿宋_GB2312" w:eastAsia="仿宋_GB2312"/>
                      <w:sz w:val="21"/>
                    </w:rPr>
                    <w:t>/</w:t>
                  </w:r>
                  <w:r>
                    <w:rPr>
                      <w:rFonts w:ascii="仿宋_GB2312" w:hAnsi="仿宋_GB2312" w:cs="仿宋_GB2312" w:eastAsia="仿宋_GB2312"/>
                      <w:sz w:val="21"/>
                    </w:rPr>
                    <w:t>舒张压）监测趋势表</w:t>
                  </w:r>
                  <w:r>
                    <w:rPr>
                      <w:rFonts w:ascii="仿宋_GB2312" w:hAnsi="仿宋_GB2312" w:cs="仿宋_GB2312" w:eastAsia="仿宋_GB2312"/>
                      <w:sz w:val="21"/>
                    </w:rPr>
                    <w:t>”</w:t>
                  </w:r>
                  <w:r>
                    <w:rPr>
                      <w:rFonts w:ascii="仿宋_GB2312" w:hAnsi="仿宋_GB2312" w:cs="仿宋_GB2312" w:eastAsia="仿宋_GB2312"/>
                      <w:sz w:val="21"/>
                    </w:rPr>
                    <w:t>、糖尿病患者的</w:t>
                  </w:r>
                  <w:r>
                    <w:rPr>
                      <w:rFonts w:ascii="仿宋_GB2312" w:hAnsi="仿宋_GB2312" w:cs="仿宋_GB2312" w:eastAsia="仿宋_GB2312"/>
                      <w:sz w:val="21"/>
                    </w:rPr>
                    <w:t>“</w:t>
                  </w:r>
                  <w:r>
                    <w:rPr>
                      <w:rFonts w:ascii="仿宋_GB2312" w:hAnsi="仿宋_GB2312" w:cs="仿宋_GB2312" w:eastAsia="仿宋_GB2312"/>
                      <w:sz w:val="21"/>
                    </w:rPr>
                    <w:t>血糖趋势表</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53.</w:t>
                  </w:r>
                </w:p>
              </w:tc>
              <w:tc>
                <w:tcPr>
                  <w:tcW w:type="dxa" w:w="225"/>
                  <w:vMerge/>
                  <w:tcBorders>
                    <w:top w:val="singl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慢性病患病率</w:t>
                  </w:r>
                  <w:r>
                    <w:rPr>
                      <w:rFonts w:ascii="仿宋_GB2312" w:hAnsi="仿宋_GB2312" w:cs="仿宋_GB2312" w:eastAsia="仿宋_GB2312"/>
                      <w:sz w:val="21"/>
                    </w:rPr>
                    <w:t>/</w:t>
                  </w:r>
                  <w:r>
                    <w:rPr>
                      <w:rFonts w:ascii="仿宋_GB2312" w:hAnsi="仿宋_GB2312" w:cs="仿宋_GB2312" w:eastAsia="仿宋_GB2312"/>
                      <w:sz w:val="21"/>
                    </w:rPr>
                    <w:t>发病率报表</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支持按区域、年龄、性别分层，统计特定周期（年</w:t>
                  </w:r>
                  <w:r>
                    <w:rPr>
                      <w:rFonts w:ascii="仿宋_GB2312" w:hAnsi="仿宋_GB2312" w:cs="仿宋_GB2312" w:eastAsia="仿宋_GB2312"/>
                      <w:sz w:val="21"/>
                    </w:rPr>
                    <w:t>/</w:t>
                  </w:r>
                  <w:r>
                    <w:rPr>
                      <w:rFonts w:ascii="仿宋_GB2312" w:hAnsi="仿宋_GB2312" w:cs="仿宋_GB2312" w:eastAsia="仿宋_GB2312"/>
                      <w:sz w:val="21"/>
                    </w:rPr>
                    <w:t>半年）内高血压、糖尿病、冠心病等慢病的</w:t>
                  </w:r>
                  <w:r>
                    <w:rPr>
                      <w:rFonts w:ascii="仿宋_GB2312" w:hAnsi="仿宋_GB2312" w:cs="仿宋_GB2312" w:eastAsia="仿宋_GB2312"/>
                      <w:sz w:val="21"/>
                    </w:rPr>
                    <w:t>“</w:t>
                  </w:r>
                  <w:r>
                    <w:rPr>
                      <w:rFonts w:ascii="仿宋_GB2312" w:hAnsi="仿宋_GB2312" w:cs="仿宋_GB2312" w:eastAsia="仿宋_GB2312"/>
                      <w:sz w:val="21"/>
                    </w:rPr>
                    <w:t>新发病例数</w:t>
                  </w:r>
                  <w:r>
                    <w:rPr>
                      <w:rFonts w:ascii="仿宋_GB2312" w:hAnsi="仿宋_GB2312" w:cs="仿宋_GB2312" w:eastAsia="仿宋_GB2312"/>
                      <w:sz w:val="21"/>
                    </w:rPr>
                    <w:t>”“</w:t>
                  </w:r>
                  <w:r>
                    <w:rPr>
                      <w:rFonts w:ascii="仿宋_GB2312" w:hAnsi="仿宋_GB2312" w:cs="仿宋_GB2312" w:eastAsia="仿宋_GB2312"/>
                      <w:sz w:val="21"/>
                    </w:rPr>
                    <w:t>现患病例数</w:t>
                  </w:r>
                  <w:r>
                    <w:rPr>
                      <w:rFonts w:ascii="仿宋_GB2312" w:hAnsi="仿宋_GB2312" w:cs="仿宋_GB2312" w:eastAsia="仿宋_GB2312"/>
                      <w:sz w:val="21"/>
                    </w:rPr>
                    <w:t>”</w:t>
                  </w:r>
                  <w:r>
                    <w:rPr>
                      <w:rFonts w:ascii="仿宋_GB2312" w:hAnsi="仿宋_GB2312" w:cs="仿宋_GB2312" w:eastAsia="仿宋_GB2312"/>
                      <w:sz w:val="21"/>
                    </w:rPr>
                    <w:t>及患病率（现患数</w:t>
                  </w:r>
                  <w:r>
                    <w:rPr>
                      <w:rFonts w:ascii="仿宋_GB2312" w:hAnsi="仿宋_GB2312" w:cs="仿宋_GB2312" w:eastAsia="仿宋_GB2312"/>
                      <w:sz w:val="21"/>
                    </w:rPr>
                    <w:t>/</w:t>
                  </w:r>
                  <w:r>
                    <w:rPr>
                      <w:rFonts w:ascii="仿宋_GB2312" w:hAnsi="仿宋_GB2312" w:cs="仿宋_GB2312" w:eastAsia="仿宋_GB2312"/>
                      <w:sz w:val="21"/>
                    </w:rPr>
                    <w:t>总管理人数</w:t>
                  </w:r>
                  <w:r>
                    <w:rPr>
                      <w:rFonts w:ascii="仿宋_GB2312" w:hAnsi="仿宋_GB2312" w:cs="仿宋_GB2312" w:eastAsia="仿宋_GB2312"/>
                      <w:sz w:val="21"/>
                    </w:rPr>
                    <w:t>×100%</w:t>
                  </w:r>
                  <w:r>
                    <w:rPr>
                      <w:rFonts w:ascii="仿宋_GB2312" w:hAnsi="仿宋_GB2312" w:cs="仿宋_GB2312" w:eastAsia="仿宋_GB2312"/>
                      <w:sz w:val="21"/>
                    </w:rPr>
                    <w:t>）。</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54.</w:t>
                  </w:r>
                </w:p>
              </w:tc>
              <w:tc>
                <w:tcPr>
                  <w:tcW w:type="dxa" w:w="225"/>
                  <w:vMerge/>
                  <w:tcBorders>
                    <w:top w:val="singl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高危人群筛查报表</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支持统计慢性病高危人群（血压偏高、糖耐量异常者等）的筛查数量、风险等级分布（低</w:t>
                  </w:r>
                  <w:r>
                    <w:rPr>
                      <w:rFonts w:ascii="仿宋_GB2312" w:hAnsi="仿宋_GB2312" w:cs="仿宋_GB2312" w:eastAsia="仿宋_GB2312"/>
                      <w:sz w:val="21"/>
                    </w:rPr>
                    <w:t>/</w:t>
                  </w:r>
                  <w:r>
                    <w:rPr>
                      <w:rFonts w:ascii="仿宋_GB2312" w:hAnsi="仿宋_GB2312" w:cs="仿宋_GB2312" w:eastAsia="仿宋_GB2312"/>
                      <w:sz w:val="21"/>
                    </w:rPr>
                    <w:t>中</w:t>
                  </w:r>
                  <w:r>
                    <w:rPr>
                      <w:rFonts w:ascii="仿宋_GB2312" w:hAnsi="仿宋_GB2312" w:cs="仿宋_GB2312" w:eastAsia="仿宋_GB2312"/>
                      <w:sz w:val="21"/>
                    </w:rPr>
                    <w:t>/</w:t>
                  </w:r>
                  <w:r>
                    <w:rPr>
                      <w:rFonts w:ascii="仿宋_GB2312" w:hAnsi="仿宋_GB2312" w:cs="仿宋_GB2312" w:eastAsia="仿宋_GB2312"/>
                      <w:sz w:val="21"/>
                    </w:rPr>
                    <w:t>高风险）及后续干预转化率（高危人群纳入规范管理的比例）。</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55.</w:t>
                  </w:r>
                </w:p>
              </w:tc>
              <w:tc>
                <w:tcPr>
                  <w:tcW w:type="dxa" w:w="225"/>
                  <w:vMerge/>
                  <w:tcBorders>
                    <w:top w:val="singl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随访服务完成报表</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支持记录不同干预方式（电话</w:t>
                  </w:r>
                  <w:r>
                    <w:rPr>
                      <w:rFonts w:ascii="仿宋_GB2312" w:hAnsi="仿宋_GB2312" w:cs="仿宋_GB2312" w:eastAsia="仿宋_GB2312"/>
                      <w:sz w:val="21"/>
                    </w:rPr>
                    <w:t>/</w:t>
                  </w:r>
                  <w:r>
                    <w:rPr>
                      <w:rFonts w:ascii="仿宋_GB2312" w:hAnsi="仿宋_GB2312" w:cs="仿宋_GB2312" w:eastAsia="仿宋_GB2312"/>
                      <w:sz w:val="21"/>
                    </w:rPr>
                    <w:t>上门</w:t>
                  </w:r>
                  <w:r>
                    <w:rPr>
                      <w:rFonts w:ascii="仿宋_GB2312" w:hAnsi="仿宋_GB2312" w:cs="仿宋_GB2312" w:eastAsia="仿宋_GB2312"/>
                      <w:sz w:val="21"/>
                    </w:rPr>
                    <w:t>/</w:t>
                  </w:r>
                  <w:r>
                    <w:rPr>
                      <w:rFonts w:ascii="仿宋_GB2312" w:hAnsi="仿宋_GB2312" w:cs="仿宋_GB2312" w:eastAsia="仿宋_GB2312"/>
                      <w:sz w:val="21"/>
                    </w:rPr>
                    <w:t>门诊）的随访次数、完成率（实际随访数</w:t>
                  </w:r>
                  <w:r>
                    <w:rPr>
                      <w:rFonts w:ascii="仿宋_GB2312" w:hAnsi="仿宋_GB2312" w:cs="仿宋_GB2312" w:eastAsia="仿宋_GB2312"/>
                      <w:sz w:val="21"/>
                    </w:rPr>
                    <w:t>/</w:t>
                  </w:r>
                  <w:r>
                    <w:rPr>
                      <w:rFonts w:ascii="仿宋_GB2312" w:hAnsi="仿宋_GB2312" w:cs="仿宋_GB2312" w:eastAsia="仿宋_GB2312"/>
                      <w:sz w:val="21"/>
                    </w:rPr>
                    <w:t>计划随访数</w:t>
                  </w:r>
                  <w:r>
                    <w:rPr>
                      <w:rFonts w:ascii="仿宋_GB2312" w:hAnsi="仿宋_GB2312" w:cs="仿宋_GB2312" w:eastAsia="仿宋_GB2312"/>
                      <w:sz w:val="21"/>
                    </w:rPr>
                    <w:t>×100%</w:t>
                  </w:r>
                  <w:r>
                    <w:rPr>
                      <w:rFonts w:ascii="仿宋_GB2312" w:hAnsi="仿宋_GB2312" w:cs="仿宋_GB2312" w:eastAsia="仿宋_GB2312"/>
                      <w:sz w:val="21"/>
                    </w:rPr>
                    <w:t>）、随访未完成原因（患者拒访</w:t>
                  </w:r>
                  <w:r>
                    <w:rPr>
                      <w:rFonts w:ascii="仿宋_GB2312" w:hAnsi="仿宋_GB2312" w:cs="仿宋_GB2312" w:eastAsia="仿宋_GB2312"/>
                      <w:sz w:val="21"/>
                    </w:rPr>
                    <w:t>/</w:t>
                  </w:r>
                  <w:r>
                    <w:rPr>
                      <w:rFonts w:ascii="仿宋_GB2312" w:hAnsi="仿宋_GB2312" w:cs="仿宋_GB2312" w:eastAsia="仿宋_GB2312"/>
                      <w:sz w:val="21"/>
                    </w:rPr>
                    <w:t>失联等）。</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56.</w:t>
                  </w:r>
                </w:p>
              </w:tc>
              <w:tc>
                <w:tcPr>
                  <w:tcW w:type="dxa" w:w="225"/>
                  <w:vMerge/>
                  <w:tcBorders>
                    <w:top w:val="singl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转诊与复诊报表</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支持分类统计需转诊至上级医院的患者数、转诊成功率、复诊率（转诊后按时返回基层机构随访的比例）</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57.</w:t>
                  </w:r>
                </w:p>
              </w:tc>
              <w:tc>
                <w:tcPr>
                  <w:tcW w:type="dxa" w:w="225"/>
                  <w:vMerge/>
                  <w:tcBorders>
                    <w:top w:val="singl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空值检查</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支持检查关键属性字段是否为空，根据结果限制存储。</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58.</w:t>
                  </w:r>
                </w:p>
              </w:tc>
              <w:tc>
                <w:tcPr>
                  <w:tcW w:type="dxa" w:w="225"/>
                  <w:vMerge/>
                  <w:tcBorders>
                    <w:top w:val="singl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值域范围检查</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支持检查事实数据的值是否在值域范围内，根据结果限制存储。</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59.</w:t>
                  </w:r>
                </w:p>
              </w:tc>
              <w:tc>
                <w:tcPr>
                  <w:tcW w:type="dxa" w:w="225"/>
                  <w:vMerge/>
                  <w:tcBorders>
                    <w:top w:val="singl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逻辑检查</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支持检查属性间是否满足一定的逻辑关系，通过编写规则脚本实现。逻辑检查规则包括简单逻辑检查、复杂逻辑检查和自定义逻辑检查。</w:t>
                  </w:r>
                </w:p>
                <w:p>
                  <w:pPr>
                    <w:pStyle w:val="null3"/>
                    <w:jc w:val="left"/>
                  </w:pPr>
                  <w:r>
                    <w:rPr>
                      <w:rFonts w:ascii="仿宋_GB2312" w:hAnsi="仿宋_GB2312" w:cs="仿宋_GB2312" w:eastAsia="仿宋_GB2312"/>
                      <w:sz w:val="21"/>
                    </w:rPr>
                    <w:t>简单逻辑检查：支持字符串、数值型属性检查。会提供基础表达式定义。</w:t>
                  </w:r>
                </w:p>
                <w:p>
                  <w:pPr>
                    <w:pStyle w:val="null3"/>
                    <w:jc w:val="left"/>
                  </w:pPr>
                  <w:r>
                    <w:rPr>
                      <w:rFonts w:ascii="仿宋_GB2312" w:hAnsi="仿宋_GB2312" w:cs="仿宋_GB2312" w:eastAsia="仿宋_GB2312"/>
                      <w:sz w:val="21"/>
                    </w:rPr>
                    <w:t>复杂逻辑检查：引用已定义的逻辑校验函数，进行数据属性检查。</w:t>
                  </w:r>
                </w:p>
                <w:p>
                  <w:pPr>
                    <w:pStyle w:val="null3"/>
                    <w:jc w:val="left"/>
                  </w:pPr>
                  <w:r>
                    <w:rPr>
                      <w:rFonts w:ascii="仿宋_GB2312" w:hAnsi="仿宋_GB2312" w:cs="仿宋_GB2312" w:eastAsia="仿宋_GB2312"/>
                      <w:sz w:val="21"/>
                    </w:rPr>
                    <w:t>自定义逻辑检查：根据具体业务属性自定义函数进行数据属性检查。</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w:t>
                  </w:r>
                </w:p>
              </w:tc>
              <w:tc>
                <w:tcPr>
                  <w:tcW w:type="dxa" w:w="225"/>
                  <w:vMerge/>
                  <w:tcBorders>
                    <w:top w:val="singl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完整性检查</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支持检查各数据必填项是否完整，是否有子表数据不完善。</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61.</w:t>
                  </w:r>
                </w:p>
              </w:tc>
              <w:tc>
                <w:tcPr>
                  <w:tcW w:type="dxa" w:w="225"/>
                  <w:vMerge/>
                  <w:tcBorders>
                    <w:top w:val="singl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重复数据检查</w:t>
                  </w:r>
                </w:p>
              </w:tc>
              <w:tc>
                <w:tcPr>
                  <w:tcW w:type="dxa" w:w="1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支持根据重复数据依据检查实际数据是否有重复。</w:t>
                  </w:r>
                </w:p>
              </w:tc>
            </w:tr>
            <w:tr>
              <w:tc>
                <w:tcPr>
                  <w:tcW w:type="dxa" w:w="2406"/>
                  <w:gridSpan w:val="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注：以上参数项标有</w:t>
                  </w:r>
                  <w:r>
                    <w:rPr>
                      <w:rFonts w:ascii="仿宋_GB2312" w:hAnsi="仿宋_GB2312" w:cs="仿宋_GB2312" w:eastAsia="仿宋_GB2312"/>
                      <w:sz w:val="21"/>
                    </w:rPr>
                    <w:t>★</w:t>
                  </w:r>
                  <w:r>
                    <w:rPr>
                      <w:rFonts w:ascii="仿宋_GB2312" w:hAnsi="仿宋_GB2312" w:cs="仿宋_GB2312" w:eastAsia="仿宋_GB2312"/>
                      <w:sz w:val="21"/>
                    </w:rPr>
                    <w:t>的技术参数为</w:t>
                  </w:r>
                  <w:r>
                    <w:rPr>
                      <w:rFonts w:ascii="仿宋_GB2312" w:hAnsi="仿宋_GB2312" w:cs="仿宋_GB2312" w:eastAsia="仿宋_GB2312"/>
                      <w:sz w:val="21"/>
                    </w:rPr>
                    <w:t>实质性要求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供应商</w:t>
                  </w:r>
                  <w:r>
                    <w:rPr>
                      <w:rFonts w:ascii="仿宋_GB2312" w:hAnsi="仿宋_GB2312" w:cs="仿宋_GB2312" w:eastAsia="仿宋_GB2312"/>
                      <w:sz w:val="21"/>
                      <w:b/>
                    </w:rPr>
                    <w:t>应对</w:t>
                  </w:r>
                  <w:r>
                    <w:rPr>
                      <w:rFonts w:ascii="仿宋_GB2312" w:hAnsi="仿宋_GB2312" w:cs="仿宋_GB2312" w:eastAsia="仿宋_GB2312"/>
                      <w:sz w:val="21"/>
                      <w:b/>
                    </w:rPr>
                    <w:t>技术参数要求内容逐条响应</w:t>
                  </w:r>
                  <w:r>
                    <w:rPr>
                      <w:rFonts w:ascii="仿宋_GB2312" w:hAnsi="仿宋_GB2312" w:cs="仿宋_GB2312" w:eastAsia="仿宋_GB2312"/>
                      <w:sz w:val="21"/>
                      <w:b/>
                    </w:rPr>
                    <w:t>，</w:t>
                  </w:r>
                  <w:r>
                    <w:rPr>
                      <w:rFonts w:ascii="仿宋_GB2312" w:hAnsi="仿宋_GB2312" w:cs="仿宋_GB2312" w:eastAsia="仿宋_GB2312"/>
                      <w:sz w:val="21"/>
                      <w:b/>
                    </w:rPr>
                    <w:t>并提供</w:t>
                  </w:r>
                  <w:r>
                    <w:rPr>
                      <w:rFonts w:ascii="仿宋_GB2312" w:hAnsi="仿宋_GB2312" w:cs="仿宋_GB2312" w:eastAsia="仿宋_GB2312"/>
                      <w:sz w:val="21"/>
                      <w:b/>
                    </w:rPr>
                    <w:t>相关技术支持资料（</w:t>
                  </w:r>
                  <w:r>
                    <w:rPr>
                      <w:rFonts w:ascii="仿宋_GB2312" w:hAnsi="仿宋_GB2312" w:cs="仿宋_GB2312" w:eastAsia="仿宋_GB2312"/>
                      <w:sz w:val="21"/>
                      <w:b/>
                    </w:rPr>
                    <w:t>包括不限于</w:t>
                  </w:r>
                  <w:r>
                    <w:rPr>
                      <w:rFonts w:ascii="仿宋_GB2312" w:hAnsi="仿宋_GB2312" w:cs="仿宋_GB2312" w:eastAsia="仿宋_GB2312"/>
                      <w:sz w:val="21"/>
                      <w:b/>
                    </w:rPr>
                    <w:t>产品彩页、</w:t>
                  </w:r>
                  <w:r>
                    <w:rPr>
                      <w:rFonts w:ascii="仿宋_GB2312" w:hAnsi="仿宋_GB2312" w:cs="仿宋_GB2312" w:eastAsia="仿宋_GB2312"/>
                      <w:sz w:val="21"/>
                      <w:b/>
                    </w:rPr>
                    <w:t>说明书、</w:t>
                  </w:r>
                  <w:r>
                    <w:rPr>
                      <w:rFonts w:ascii="仿宋_GB2312" w:hAnsi="仿宋_GB2312" w:cs="仿宋_GB2312" w:eastAsia="仿宋_GB2312"/>
                      <w:sz w:val="21"/>
                      <w:b/>
                    </w:rPr>
                    <w:t>测试报告、检验报告、官网或功能截图等）。</w:t>
                  </w:r>
                </w:p>
              </w:tc>
            </w:tr>
          </w:tbl>
          <w:p>
            <w:pPr>
              <w:pStyle w:val="null3"/>
              <w:jc w:val="left"/>
              <w:outlineLvl w:val="2"/>
            </w:pPr>
            <w:r>
              <w:rPr>
                <w:rFonts w:ascii="仿宋_GB2312" w:hAnsi="仿宋_GB2312" w:cs="仿宋_GB2312" w:eastAsia="仿宋_GB2312"/>
                <w:sz w:val="24"/>
                <w:b/>
              </w:rPr>
              <w:t>（二）</w:t>
            </w:r>
            <w:r>
              <w:rPr>
                <w:rFonts w:ascii="仿宋_GB2312" w:hAnsi="仿宋_GB2312" w:cs="仿宋_GB2312" w:eastAsia="仿宋_GB2312"/>
                <w:sz w:val="24"/>
                <w:b/>
              </w:rPr>
              <w:t>硬件参数要求</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智能物联血压计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血压数据自动上传至慢性病管理系统，用于血压筛查，便携式；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测量范围：</w:t>
            </w:r>
            <w:r>
              <w:rPr>
                <w:rFonts w:ascii="仿宋_GB2312" w:hAnsi="仿宋_GB2312" w:cs="仿宋_GB2312" w:eastAsia="仿宋_GB2312"/>
                <w:sz w:val="24"/>
              </w:rPr>
              <w:t>压力（</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270</w:t>
            </w:r>
            <w:r>
              <w:rPr>
                <w:rFonts w:ascii="仿宋_GB2312" w:hAnsi="仿宋_GB2312" w:cs="仿宋_GB2312" w:eastAsia="仿宋_GB2312"/>
                <w:sz w:val="24"/>
              </w:rPr>
              <w:t>）</w:t>
            </w:r>
            <w:r>
              <w:rPr>
                <w:rFonts w:ascii="仿宋_GB2312" w:hAnsi="仿宋_GB2312" w:cs="仿宋_GB2312" w:eastAsia="仿宋_GB2312"/>
                <w:sz w:val="24"/>
              </w:rPr>
              <w:t xml:space="preserve">mmHg </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36</w:t>
            </w:r>
            <w:r>
              <w:rPr>
                <w:rFonts w:ascii="仿宋_GB2312" w:hAnsi="仿宋_GB2312" w:cs="仿宋_GB2312" w:eastAsia="仿宋_GB2312"/>
                <w:sz w:val="24"/>
              </w:rPr>
              <w:t>）</w:t>
            </w:r>
            <w:r>
              <w:rPr>
                <w:rFonts w:ascii="仿宋_GB2312" w:hAnsi="仿宋_GB2312" w:cs="仿宋_GB2312" w:eastAsia="仿宋_GB2312"/>
                <w:sz w:val="24"/>
              </w:rPr>
              <w:t>kPa</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脉率数</w:t>
            </w:r>
            <w:r>
              <w:rPr>
                <w:rFonts w:ascii="仿宋_GB2312" w:hAnsi="仿宋_GB2312" w:cs="仿宋_GB2312" w:eastAsia="仿宋_GB2312"/>
                <w:sz w:val="24"/>
              </w:rPr>
              <w:t xml:space="preserve"> 40 </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分～</w:t>
            </w:r>
            <w:r>
              <w:rPr>
                <w:rFonts w:ascii="仿宋_GB2312" w:hAnsi="仿宋_GB2312" w:cs="仿宋_GB2312" w:eastAsia="仿宋_GB2312"/>
                <w:sz w:val="24"/>
              </w:rPr>
              <w:t xml:space="preserve">180 </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测量准确度：</w:t>
            </w:r>
            <w:r>
              <w:rPr>
                <w:rFonts w:ascii="仿宋_GB2312" w:hAnsi="仿宋_GB2312" w:cs="仿宋_GB2312" w:eastAsia="仿宋_GB2312"/>
                <w:sz w:val="24"/>
              </w:rPr>
              <w:t>压力</w:t>
            </w:r>
            <w:r>
              <w:rPr>
                <w:rFonts w:ascii="仿宋_GB2312" w:hAnsi="仿宋_GB2312" w:cs="仿宋_GB2312" w:eastAsia="仿宋_GB2312"/>
                <w:sz w:val="24"/>
              </w:rPr>
              <w:t>±3mmHg</w:t>
            </w:r>
            <w:r>
              <w:rPr>
                <w:rFonts w:ascii="仿宋_GB2312" w:hAnsi="仿宋_GB2312" w:cs="仿宋_GB2312" w:eastAsia="仿宋_GB2312"/>
                <w:sz w:val="24"/>
              </w:rPr>
              <w:t>（</w:t>
            </w:r>
            <w:r>
              <w:rPr>
                <w:rFonts w:ascii="仿宋_GB2312" w:hAnsi="仿宋_GB2312" w:cs="仿宋_GB2312" w:eastAsia="仿宋_GB2312"/>
                <w:sz w:val="24"/>
              </w:rPr>
              <w:t>±0.4kPa</w:t>
            </w:r>
            <w:r>
              <w:rPr>
                <w:rFonts w:ascii="仿宋_GB2312" w:hAnsi="仿宋_GB2312" w:cs="仿宋_GB2312" w:eastAsia="仿宋_GB2312"/>
                <w:sz w:val="24"/>
              </w:rPr>
              <w:t>）</w:t>
            </w:r>
            <w:r>
              <w:rPr>
                <w:rFonts w:ascii="仿宋_GB2312" w:hAnsi="仿宋_GB2312" w:cs="仿宋_GB2312" w:eastAsia="仿宋_GB2312"/>
                <w:sz w:val="24"/>
              </w:rPr>
              <w:t>以内；</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脉率数</w:t>
            </w:r>
            <w:r>
              <w:rPr>
                <w:rFonts w:ascii="仿宋_GB2312" w:hAnsi="仿宋_GB2312" w:cs="仿宋_GB2312" w:eastAsia="仿宋_GB2312"/>
                <w:sz w:val="24"/>
              </w:rPr>
              <w:t>±5%</w:t>
            </w:r>
            <w:r>
              <w:rPr>
                <w:rFonts w:ascii="仿宋_GB2312" w:hAnsi="仿宋_GB2312" w:cs="仿宋_GB2312" w:eastAsia="仿宋_GB2312"/>
                <w:sz w:val="24"/>
              </w:rPr>
              <w:t>以内；</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屏幕显示：彩屏显示；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存储容量：可存储两个用户，</w:t>
            </w:r>
            <w:r>
              <w:rPr>
                <w:rFonts w:ascii="仿宋_GB2312" w:hAnsi="仿宋_GB2312" w:cs="仿宋_GB2312" w:eastAsia="仿宋_GB2312"/>
                <w:sz w:val="24"/>
              </w:rPr>
              <w:t xml:space="preserve">≥100 </w:t>
            </w:r>
            <w:r>
              <w:rPr>
                <w:rFonts w:ascii="仿宋_GB2312" w:hAnsi="仿宋_GB2312" w:cs="仿宋_GB2312" w:eastAsia="仿宋_GB2312"/>
                <w:sz w:val="24"/>
              </w:rPr>
              <w:t>组测量数据；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信息传输方式：支持</w:t>
            </w:r>
            <w:r>
              <w:rPr>
                <w:rFonts w:ascii="仿宋_GB2312" w:hAnsi="仿宋_GB2312" w:cs="仿宋_GB2312" w:eastAsia="仿宋_GB2312"/>
                <w:sz w:val="24"/>
              </w:rPr>
              <w:t>USB</w:t>
            </w:r>
            <w:r>
              <w:rPr>
                <w:rFonts w:ascii="仿宋_GB2312" w:hAnsi="仿宋_GB2312" w:cs="仿宋_GB2312" w:eastAsia="仿宋_GB2312"/>
                <w:sz w:val="24"/>
              </w:rPr>
              <w:t>，</w:t>
            </w:r>
            <w:r>
              <w:rPr>
                <w:rFonts w:ascii="仿宋_GB2312" w:hAnsi="仿宋_GB2312" w:cs="仿宋_GB2312" w:eastAsia="仿宋_GB2312"/>
                <w:sz w:val="24"/>
              </w:rPr>
              <w:t xml:space="preserve">SIM </w:t>
            </w:r>
            <w:r>
              <w:rPr>
                <w:rFonts w:ascii="仿宋_GB2312" w:hAnsi="仿宋_GB2312" w:cs="仿宋_GB2312" w:eastAsia="仿宋_GB2312"/>
                <w:sz w:val="24"/>
              </w:rPr>
              <w:t>传输；</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人性化设计：</w:t>
            </w:r>
            <w:r>
              <w:rPr>
                <w:rFonts w:ascii="仿宋_GB2312" w:hAnsi="仿宋_GB2312" w:cs="仿宋_GB2312" w:eastAsia="仿宋_GB2312"/>
                <w:sz w:val="24"/>
              </w:rPr>
              <w:t>自动计算平均血压，语音播报；</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电</w:t>
            </w:r>
            <w:r>
              <w:rPr>
                <w:rFonts w:ascii="仿宋_GB2312" w:hAnsi="仿宋_GB2312" w:cs="仿宋_GB2312" w:eastAsia="仿宋_GB2312"/>
                <w:sz w:val="24"/>
              </w:rPr>
              <w:t>源：支持锂电池充电功能；</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电击保护：内部电源设备、</w:t>
            </w:r>
            <w:r>
              <w:rPr>
                <w:rFonts w:ascii="仿宋_GB2312" w:hAnsi="仿宋_GB2312" w:cs="仿宋_GB2312" w:eastAsia="仿宋_GB2312"/>
                <w:sz w:val="24"/>
              </w:rPr>
              <w:t xml:space="preserve">BF </w:t>
            </w:r>
            <w:r>
              <w:rPr>
                <w:rFonts w:ascii="仿宋_GB2312" w:hAnsi="仿宋_GB2312" w:cs="仿宋_GB2312" w:eastAsia="仿宋_GB2312"/>
                <w:sz w:val="24"/>
              </w:rPr>
              <w:t>型应用部分；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袖带适用周长范围：</w:t>
            </w:r>
            <w:r>
              <w:rPr>
                <w:rFonts w:ascii="仿宋_GB2312" w:hAnsi="仿宋_GB2312" w:cs="仿宋_GB2312" w:eastAsia="仿宋_GB2312"/>
                <w:sz w:val="24"/>
              </w:rPr>
              <w:t>15cm</w:t>
            </w:r>
            <w:r>
              <w:rPr>
                <w:rFonts w:ascii="仿宋_GB2312" w:hAnsi="仿宋_GB2312" w:cs="仿宋_GB2312" w:eastAsia="仿宋_GB2312"/>
                <w:sz w:val="24"/>
              </w:rPr>
              <w:t>～</w:t>
            </w:r>
            <w:r>
              <w:rPr>
                <w:rFonts w:ascii="仿宋_GB2312" w:hAnsi="仿宋_GB2312" w:cs="仿宋_GB2312" w:eastAsia="仿宋_GB2312"/>
                <w:sz w:val="24"/>
              </w:rPr>
              <w:t>42cm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、智能物联血糖仪</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血糖数据自动上传至慢病管理系统，用于血糖筛查，便携式；</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检测样本：新鲜毛细血管，静脉血</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校准样品：静脉血浆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调码技术：免调码</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用血量：</w:t>
            </w:r>
            <w:r>
              <w:rPr>
                <w:rFonts w:ascii="仿宋_GB2312" w:hAnsi="仿宋_GB2312" w:cs="仿宋_GB2312" w:eastAsia="仿宋_GB2312"/>
                <w:sz w:val="24"/>
              </w:rPr>
              <w:t xml:space="preserve">≤0.6 </w:t>
            </w:r>
            <w:r>
              <w:rPr>
                <w:rFonts w:ascii="仿宋_GB2312" w:hAnsi="仿宋_GB2312" w:cs="仿宋_GB2312" w:eastAsia="仿宋_GB2312"/>
                <w:sz w:val="24"/>
              </w:rPr>
              <w:t>微升</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加样方式：顶端加样</w:t>
            </w:r>
            <w:r>
              <w:rPr>
                <w:rFonts w:ascii="仿宋_GB2312" w:hAnsi="仿宋_GB2312" w:cs="仿宋_GB2312" w:eastAsia="仿宋_GB2312"/>
                <w:sz w:val="24"/>
              </w:rPr>
              <w:t xml:space="preserve">   </w:t>
            </w:r>
            <w:r>
              <w:rPr>
                <w:rFonts w:ascii="仿宋_GB2312" w:hAnsi="仿宋_GB2312" w:cs="仿宋_GB2312" w:eastAsia="仿宋_GB2312"/>
                <w:sz w:val="24"/>
              </w:rPr>
              <w:t>退条方式：</w:t>
            </w:r>
            <w:r>
              <w:rPr>
                <w:rFonts w:ascii="仿宋_GB2312" w:hAnsi="仿宋_GB2312" w:cs="仿宋_GB2312" w:eastAsia="仿宋_GB2312"/>
                <w:sz w:val="24"/>
              </w:rPr>
              <w:t>自动退条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测试范围：</w:t>
            </w:r>
            <w:r>
              <w:rPr>
                <w:rFonts w:ascii="仿宋_GB2312" w:hAnsi="仿宋_GB2312" w:cs="仿宋_GB2312" w:eastAsia="仿宋_GB2312"/>
                <w:sz w:val="24"/>
              </w:rPr>
              <w:t>1.1mmol/L-33.3mmol/L</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测试时间：</w:t>
            </w:r>
            <w:r>
              <w:rPr>
                <w:rFonts w:ascii="仿宋_GB2312" w:hAnsi="仿宋_GB2312" w:cs="仿宋_GB2312" w:eastAsia="仿宋_GB2312"/>
                <w:sz w:val="24"/>
              </w:rPr>
              <w:t>5</w:t>
            </w:r>
            <w:r>
              <w:rPr>
                <w:rFonts w:ascii="仿宋_GB2312" w:hAnsi="仿宋_GB2312" w:cs="仿宋_GB2312" w:eastAsia="仿宋_GB2312"/>
                <w:sz w:val="24"/>
              </w:rPr>
              <w:t>秒</w:t>
            </w:r>
            <w:r>
              <w:rPr>
                <w:rFonts w:ascii="仿宋_GB2312" w:hAnsi="仿宋_GB2312" w:cs="仿宋_GB2312" w:eastAsia="仿宋_GB2312"/>
                <w:sz w:val="24"/>
              </w:rPr>
              <w:t>；</w:t>
            </w:r>
            <w:r>
              <w:rPr>
                <w:rFonts w:ascii="仿宋_GB2312" w:hAnsi="仿宋_GB2312" w:cs="仿宋_GB2312" w:eastAsia="仿宋_GB2312"/>
                <w:sz w:val="24"/>
              </w:rPr>
              <w:t>测试温度：</w:t>
            </w:r>
            <w:r>
              <w:rPr>
                <w:rFonts w:ascii="仿宋_GB2312" w:hAnsi="仿宋_GB2312" w:cs="仿宋_GB2312" w:eastAsia="仿宋_GB2312"/>
                <w:sz w:val="24"/>
              </w:rPr>
              <w:t xml:space="preserve">10℃-35℃ , </w:t>
            </w:r>
            <w:r>
              <w:rPr>
                <w:rFonts w:ascii="仿宋_GB2312" w:hAnsi="仿宋_GB2312" w:cs="仿宋_GB2312" w:eastAsia="仿宋_GB2312"/>
                <w:sz w:val="24"/>
              </w:rPr>
              <w:t>自动温度补偿功能测试湿度：</w:t>
            </w:r>
            <w:r>
              <w:rPr>
                <w:rFonts w:ascii="仿宋_GB2312" w:hAnsi="仿宋_GB2312" w:cs="仿宋_GB2312" w:eastAsia="仿宋_GB2312"/>
                <w:sz w:val="24"/>
              </w:rPr>
              <w:t>10%—90%</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电源：可充电锂电池</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传输方式支持</w:t>
            </w:r>
            <w:r>
              <w:rPr>
                <w:rFonts w:ascii="仿宋_GB2312" w:hAnsi="仿宋_GB2312" w:cs="仿宋_GB2312" w:eastAsia="仿宋_GB2312"/>
                <w:sz w:val="24"/>
              </w:rPr>
              <w:t xml:space="preserve"> GPRS </w:t>
            </w:r>
            <w:r>
              <w:rPr>
                <w:rFonts w:ascii="仿宋_GB2312" w:hAnsi="仿宋_GB2312" w:cs="仿宋_GB2312" w:eastAsia="仿宋_GB2312"/>
                <w:sz w:val="24"/>
              </w:rPr>
              <w:t>自动传输；</w:t>
            </w:r>
          </w:p>
          <w:p>
            <w:pPr>
              <w:pStyle w:val="null3"/>
              <w:jc w:val="left"/>
            </w:pPr>
            <w:r>
              <w:rPr>
                <w:rFonts w:ascii="仿宋_GB2312" w:hAnsi="仿宋_GB2312" w:cs="仿宋_GB2312" w:eastAsia="仿宋_GB2312"/>
                <w:sz w:val="24"/>
                <w:b/>
              </w:rPr>
              <w:t>注：供应商应对技术参数要求内容逐条响应并提供相关技术支持资料（包括不限于产品彩页、说明书、测试报告、检验报告、官网或功能截图等）。</w:t>
            </w:r>
          </w:p>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详⻅“第七章 拟签订采购合同⽂本”</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详⻅“第七章 拟签订采购合同⽂本”</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1、建设周期：合同签订后60天完成建设⼯作。2、运维保障服务期：⾃验收合格之⽇起3年。3、质量保修范围和保修 期：整个项⽬⾃验收合格之⽇起3年（硬件原⼚质保及配套软件免费升级）</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进度款，整体项目验收通过、乙方提供发票经财务审核后，达到付款条件起30个工作日内，支付合同总金额的100.0%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详见拟签订采购合同文本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⽀付约定（中⼩微企业适⽤）： （1）预付款，合同签订、⼄⽅提供发票经财务审核后，达到付款条件起30个⼯作⽇内，⽀付合同总⾦额的40.0% （2）进度款，经核查硬件设备与技术⼈员均按要求到达现场、⼄⽅提供发票经财务审核后，达到付款条件起30个⼯作⽇内，⽀付合同总⾦额的30.0% （3）进度款，整体项⽬验收通过、⼄⽅提供发票经财务审核后， 达到付款条件起30个⼯作⽇内，⽀付合同总⾦额的30.0%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投标函 9.汉中市政府采购供应商资格承诺函.docx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9.汉中市政府采购供应商资格承诺函.docx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3投标⼈应授权合法的⼈员参加投标全过程，其中法定代表⼈（单位负责⼈）直接参加投标的，须出 具法定代表⼈（单位负责⼈）⾝份证，并与营业执照上信息⼀致。法定代表⼈（单位负责⼈）授权代表参加投标的，须出具法定代表⼈（单位负责⼈）授权书及授权代表⾝份证、授权代表本单位证明（提供授权代表在本单位养⽼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 5投标产品属于医疗器械管理范围的须提供医疗器械注册证。 6提供盖章的《汉中市政府采购供应商资格承诺函》。</w:t>
            </w:r>
          </w:p>
        </w:tc>
        <w:tc>
          <w:tcPr>
            <w:tcW w:type="dxa" w:w="1661"/>
          </w:tcPr>
          <w:p>
            <w:pPr>
              <w:pStyle w:val="null3"/>
            </w:pPr>
            <w:r>
              <w:rPr>
                <w:rFonts w:ascii="仿宋_GB2312" w:hAnsi="仿宋_GB2312" w:cs="仿宋_GB2312" w:eastAsia="仿宋_GB2312"/>
              </w:rPr>
              <w:t>10.特定资格证明文件.docx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⼀、评审中出现下列情形之⼀的，评标委员会应当启动异常低价投标审查程序： 1.投标报价低于采购项⽬最⾼限价45%的，即投标报价&lt;采购项⽬最⾼限价×45%； 2.评标委员会基于专业判断，认为供应商报价过低，有可能影响 产品质量或者不能诚信履约的其他情形。 相关法律法规对供应商报价有规定的，从其规定。 ⼆、评标委员会应当要求相关供应商在评审现场合理的时间内对投标价格作出解释，提供项⽬具体成本测算等与报价合理性相关的书⾯说明及必要的证明材料，包括但不限于原材料成本、⼈⼯成本、制造费⽤等，给予相关供应商 的合理时间⼀般不少于30分钟。评标委员会依据专业经验，参考同类项⽬中标（成交）价格、类似产品市场价格⽔平、⾏业⼈⼯费⽤标准、国家有关部⻔指导⾏业协会发布的⾏业平均成本等情况，对报价合理性进⾏判断。 三、投标⼈提交的相关说明和证明材料，应当加盖投标⼈（法定名称）电⼦印章，在评标委员会要求的时间内通过项⽬电⼦化交易系统进⾏提交，否则提交的相关证明材料⽆效。投标供应商不能提供书⾯说明、证明材料，或者提供的书⾯说明、证明材料不能证明其报价合理性的，评标委员会应当将其作为⽆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投标⽂件按招标⽂件要求签署、盖章</w:t>
            </w:r>
          </w:p>
        </w:tc>
        <w:tc>
          <w:tcPr>
            <w:tcW w:type="dxa" w:w="1661"/>
          </w:tcPr>
          <w:p>
            <w:pPr>
              <w:pStyle w:val="null3"/>
            </w:pPr>
            <w:r>
              <w:rPr>
                <w:rFonts w:ascii="仿宋_GB2312" w:hAnsi="仿宋_GB2312" w:cs="仿宋_GB2312" w:eastAsia="仿宋_GB2312"/>
              </w:rPr>
              <w:t>14.技术证明材料.docx 开标一览表 11.投标分项报价表.docx 12.商务条款偏离表.docx 中小企业声明函 8.投标保证金支付凭证或保函.docx 16.业绩一览表.docx 13.技术偏离表.docx 10.特定资格证明文件.docx 投标函 残疾人福利性单位声明函 标的清单 投标文件封面 9.汉中市政府采购供应商资格承诺函.docx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投标有效期满⾜招标⽂件要求的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投标⼈投标报价没有超出采购预算或最⾼限价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投标保证⾦已按招标⽂件规定提交且⾦额、形式符合招标⽂件要求</w:t>
            </w:r>
          </w:p>
        </w:tc>
        <w:tc>
          <w:tcPr>
            <w:tcW w:type="dxa" w:w="1661"/>
          </w:tcPr>
          <w:p>
            <w:pPr>
              <w:pStyle w:val="null3"/>
            </w:pPr>
            <w:r>
              <w:rPr>
                <w:rFonts w:ascii="仿宋_GB2312" w:hAnsi="仿宋_GB2312" w:cs="仿宋_GB2312" w:eastAsia="仿宋_GB2312"/>
              </w:rPr>
              <w:t>8.投标保证金支付凭证或保函.docx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投标内容满⾜招标⽂件中商务要求和技术实质性要求、不存在漏项或数量与要求不符</w:t>
            </w:r>
          </w:p>
        </w:tc>
        <w:tc>
          <w:tcPr>
            <w:tcW w:type="dxa" w:w="1661"/>
          </w:tcPr>
          <w:p>
            <w:pPr>
              <w:pStyle w:val="null3"/>
            </w:pPr>
            <w:r>
              <w:rPr>
                <w:rFonts w:ascii="仿宋_GB2312" w:hAnsi="仿宋_GB2312" w:cs="仿宋_GB2312" w:eastAsia="仿宋_GB2312"/>
              </w:rPr>
              <w:t>14.技术证明材料.docx 11.投标分项报价表.docx 12.商务条款偏离表.docx 13.技术偏离表.docx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遵循公平竞争的原则，没有弄虚作假、恶意串通或妨碍其他投标⼈的竞争⾏为，损害采购⼈或者其他投标⼈的合法权益。 （弄虚作假、串通投标的情形⻅附注）</w:t>
            </w:r>
          </w:p>
        </w:tc>
        <w:tc>
          <w:tcPr>
            <w:tcW w:type="dxa" w:w="1661"/>
          </w:tcPr>
          <w:p>
            <w:pPr>
              <w:pStyle w:val="null3"/>
            </w:pPr>
            <w:r>
              <w:rPr>
                <w:rFonts w:ascii="仿宋_GB2312" w:hAnsi="仿宋_GB2312" w:cs="仿宋_GB2312" w:eastAsia="仿宋_GB2312"/>
              </w:rPr>
              <w:t>14.技术证明材料.docx 开标一览表 11.投标分项报价表.docx 12.商务条款偏离表.docx 15.投标方案或技术方案.docx 中小企业声明函 8.投标保证金支付凭证或保函.docx 16.业绩一览表.docx 13.技术偏离表.docx 10.特定资格证明文件.docx 投标函 残疾人福利性单位声明函 标的清单 投标文件封面 9.汉中市政府采购供应商资格承诺函.docx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不存在其它不符合法律法规或招标⽂件规定的投标⽆效条款的情形</w:t>
            </w:r>
          </w:p>
        </w:tc>
        <w:tc>
          <w:tcPr>
            <w:tcW w:type="dxa" w:w="1661"/>
          </w:tcPr>
          <w:p>
            <w:pPr>
              <w:pStyle w:val="null3"/>
            </w:pPr>
            <w:r>
              <w:rPr>
                <w:rFonts w:ascii="仿宋_GB2312" w:hAnsi="仿宋_GB2312" w:cs="仿宋_GB2312" w:eastAsia="仿宋_GB2312"/>
              </w:rPr>
              <w:t>14.技术证明材料.docx 开标一览表 11.投标分项报价表.docx 12.商务条款偏离表.docx 15.投标方案或技术方案.docx 中小企业声明函 8.投标保证金支付凭证或保函.docx 16.业绩一览表.docx 13.技术偏离表.docx 10.特定资格证明文件.docx 投标函 残疾人福利性单位声明函 标的清单 投标文件封面 9.汉中市政府采购供应商资格承诺函.docx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 、环境标志产品</w:t>
            </w:r>
          </w:p>
        </w:tc>
        <w:tc>
          <w:tcPr>
            <w:tcW w:type="dxa" w:w="2492"/>
          </w:tcPr>
          <w:p>
            <w:pPr>
              <w:pStyle w:val="null3"/>
            </w:pPr>
            <w:r>
              <w:rPr>
                <w:rFonts w:ascii="仿宋_GB2312" w:hAnsi="仿宋_GB2312" w:cs="仿宋_GB2312" w:eastAsia="仿宋_GB2312"/>
              </w:rPr>
              <w:t>投标⼈所投产品属于节能产品、环境标志产品优先采购范围（除政府强制采购的节能产品外）：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清单为准。财政部、发展改⾰委、⽣态环境部等部⻔根据产品节能环保性能、技术⽔平和市场成熟程度等因素，确定实施政府优先采购和强制采购的产品类别及所依据的相关标准规范，以品⽬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11.投标分项报价表.docx</w:t>
            </w:r>
          </w:p>
        </w:tc>
      </w:tr>
      <w:tr>
        <w:tc>
          <w:tcPr>
            <w:tcW w:type="dxa" w:w="831"/>
            <w:vMerge/>
          </w:tcPr>
          <w:p/>
        </w:tc>
        <w:tc>
          <w:tcPr>
            <w:tcW w:type="dxa" w:w="1661"/>
          </w:tcPr>
          <w:p>
            <w:pPr>
              <w:pStyle w:val="null3"/>
            </w:pPr>
            <w:r>
              <w:rPr>
                <w:rFonts w:ascii="仿宋_GB2312" w:hAnsi="仿宋_GB2312" w:cs="仿宋_GB2312" w:eastAsia="仿宋_GB2312"/>
              </w:rPr>
              <w:t>投标产品的技术、参数评审</w:t>
            </w:r>
          </w:p>
        </w:tc>
        <w:tc>
          <w:tcPr>
            <w:tcW w:type="dxa" w:w="2492"/>
          </w:tcPr>
          <w:p>
            <w:pPr>
              <w:pStyle w:val="null3"/>
            </w:pPr>
            <w:r>
              <w:rPr>
                <w:rFonts w:ascii="仿宋_GB2312" w:hAnsi="仿宋_GB2312" w:cs="仿宋_GB2312" w:eastAsia="仿宋_GB2312"/>
              </w:rPr>
              <w:t>投标产品的技术、参数评审：完全满足得40分。 一般技术指标参数一项不满足扣1分，扣完为止。 评审依据：供应商应对技术、参数要求内容在技术偏离表逐条响应。要求提供相关技术支持资料的指标，在技术偏离表“说明”栏中标明证明材料的页码；无技术材料支持视为负偏离。 技术支持资料包括不限于产品彩页、说明书、测试报告、检验报告、官网或功能截图等。</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11.投标分项报价表.docx</w:t>
            </w:r>
          </w:p>
          <w:p>
            <w:pPr>
              <w:pStyle w:val="null3"/>
            </w:pPr>
            <w:r>
              <w:rPr>
                <w:rFonts w:ascii="仿宋_GB2312" w:hAnsi="仿宋_GB2312" w:cs="仿宋_GB2312" w:eastAsia="仿宋_GB2312"/>
              </w:rPr>
              <w:t>13.技术偏离表.docx</w:t>
            </w:r>
          </w:p>
          <w:p>
            <w:pPr>
              <w:pStyle w:val="null3"/>
            </w:pPr>
            <w:r>
              <w:rPr>
                <w:rFonts w:ascii="仿宋_GB2312" w:hAnsi="仿宋_GB2312" w:cs="仿宋_GB2312" w:eastAsia="仿宋_GB2312"/>
              </w:rPr>
              <w:t>14.技术证明材料.docx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投标人拟派项目负责人具备网络工程师相关证书得 2 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提供2023年1月1日至投标截止时间（以合同签订时间为准），投标人具有的慢病管理软件业绩，每提供一个业绩得3分，满分9分。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16.业绩一览表.docx</w:t>
            </w:r>
          </w:p>
        </w:tc>
      </w:tr>
      <w:tr>
        <w:tc>
          <w:tcPr>
            <w:tcW w:type="dxa" w:w="831"/>
            <w:vMerge/>
          </w:tcPr>
          <w:p/>
        </w:tc>
        <w:tc>
          <w:tcPr>
            <w:tcW w:type="dxa" w:w="1661"/>
          </w:tcPr>
          <w:p>
            <w:pPr>
              <w:pStyle w:val="null3"/>
            </w:pPr>
            <w:r>
              <w:rPr>
                <w:rFonts w:ascii="仿宋_GB2312" w:hAnsi="仿宋_GB2312" w:cs="仿宋_GB2312" w:eastAsia="仿宋_GB2312"/>
              </w:rPr>
              <w:t>软件技术服务方案</w:t>
            </w:r>
          </w:p>
        </w:tc>
        <w:tc>
          <w:tcPr>
            <w:tcW w:type="dxa" w:w="2492"/>
          </w:tcPr>
          <w:p>
            <w:pPr>
              <w:pStyle w:val="null3"/>
            </w:pPr>
            <w:r>
              <w:rPr>
                <w:rFonts w:ascii="仿宋_GB2312" w:hAnsi="仿宋_GB2312" w:cs="仿宋_GB2312" w:eastAsia="仿宋_GB2312"/>
              </w:rPr>
              <w:t>一、评审内容：提供完整可行有针对性的软件技术服务方案，包含：①技术架构、②数据安全、③互联互通、④可扩展性、⑤智能化水平、⑥实施运维。 二、评审标准：每项内容完整可⾏且有针对性得3分，缺漏项不得分，满分18分；每项内容中每有⼀处有缺陷扣1分，扣完为⽌。 （缺陷是指内容缺项、不完整或缺少关键点、只有简单描述⽆实质性内容；⾮专⻔针对本项⽬或不适⽤本项 ⽬特性、套⽤其他项⽬内容；对同⼀问题前后表述⽭盾；存在逻辑漏洞、科学原理或常识错误；不利于本项⽬⽬标的实现、现有技术条件下不可能出现的情形等任意⼀种情形。）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一、评审内容：提供完整可行有针对性的实施方案，包含：①供货方案、②安装调试方案、③技术支持方案、④质量保证措施、⑤验收方案。 二、评审标准：每项内容完整可⾏且有针对性得2分，缺漏项不得分，满分10分；每项内容中每有⼀处有缺陷扣0.5分，扣完为⽌。 （缺陷是指内容缺项、不完整或缺少关键点、只有简单描述⽆实质性内容；⾮专⻔针对本项⽬或不适⽤本项 ⽬特性、套⽤其他项⽬内容；对同⼀问题前后表述⽭盾；存在逻辑漏洞、科学原理或常识错误；不利于本项⽬⽬标的实现、现有技术条件下不可能出现的情形等任意⼀种情形。）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一、评审内容：提供完整可行有针对性的售后服务方案，包含：①售后服务范围及保障措施、②应急保障方案、③培训方案、④故障处理及补救措施、⑤备品配件服务承诺。 二、评审标准：每项内容完整可⾏且有针对性得2分，缺漏项不得分，满分10分；每项内容中每有⼀处有缺陷扣0.5分，扣完为⽌。 （缺陷是指内容缺项、不完整或缺少关键点、只有简单描述⽆实质性内容；⾮专⻔针对本项⽬或不适⽤本项 ⽬特性、套⽤其他项⽬内容；对同⼀问题前后表述⽭盾；存在逻辑漏洞、科学原理或常识错误；不利于本项⽬⽬标的实现、现有技术条件下不可能出现的情形等任意⼀种情形。）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评标委员会应当要求相关供应商在评审现场合理的时间内对投标价格作出解释，提供项⽬具体成本测算等与报价合理性相关的书⾯说明及必要的证明材料，包括但不限于原材料成本、⼈⼯成本、制造费⽤等，给予相关供应商的合理时间⼀般不少于30分钟。评标委员会依据专业经验，参考同类项⽬中标（成交）价格、类似产品市场价格⽔平、⾏业⼈⼯费⽤标准、国家有关部⻔指导⾏业协会发布的⾏业平均成本等情况，对报价合理性进⾏判断。⼆、投标⼈提交的相关说明和证明材料，应当加盖投标⼈（法定名称）电⼦印章，在评标委员会要求的时间内通过项⽬电⼦化交易系统进⾏提交，否则提交的相关证明材料⽆效。投标供应商不能提供书⾯说明、证明材料，或者提供的书⾯说明、证明材料不能证明其报价合理性的，评标委员会应当将其作为⽆效投标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满⾜招标⽂件要求且投标价格最低的投标报价为评标基准价，其价格分为满分。其他投标⼈的价格分统⼀按照下列公式计算：投标报价得分=（评标基准价/投标报价）×10。 （⼩微企业、监狱企业或残疾⼈福利性单位⽤投标报价扣除后的价格参加评审。专⻔⾯向中⼩企业采购的项⽬不进⾏价格扣除。）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详见附件：8.投标保证金支付凭证或保函.docx</w:t>
      </w:r>
    </w:p>
    <w:p>
      <w:pPr>
        <w:pStyle w:val="null3"/>
        <w:ind w:firstLine="960"/>
      </w:pPr>
      <w:r>
        <w:rPr>
          <w:rFonts w:ascii="仿宋_GB2312" w:hAnsi="仿宋_GB2312" w:cs="仿宋_GB2312" w:eastAsia="仿宋_GB2312"/>
        </w:rPr>
        <w:t>详见附件：9.汉中市政府采购供应商资格承诺函.docx</w:t>
      </w:r>
    </w:p>
    <w:p>
      <w:pPr>
        <w:pStyle w:val="null3"/>
        <w:ind w:firstLine="960"/>
      </w:pPr>
      <w:r>
        <w:rPr>
          <w:rFonts w:ascii="仿宋_GB2312" w:hAnsi="仿宋_GB2312" w:cs="仿宋_GB2312" w:eastAsia="仿宋_GB2312"/>
        </w:rPr>
        <w:t>详见附件：10.特定资格证明文件.docx</w:t>
      </w:r>
    </w:p>
    <w:p>
      <w:pPr>
        <w:pStyle w:val="null3"/>
        <w:ind w:firstLine="960"/>
      </w:pPr>
      <w:r>
        <w:rPr>
          <w:rFonts w:ascii="仿宋_GB2312" w:hAnsi="仿宋_GB2312" w:cs="仿宋_GB2312" w:eastAsia="仿宋_GB2312"/>
        </w:rPr>
        <w:t>详见附件：11.投标分项报价表.docx</w:t>
      </w:r>
    </w:p>
    <w:p>
      <w:pPr>
        <w:pStyle w:val="null3"/>
        <w:ind w:firstLine="960"/>
      </w:pPr>
      <w:r>
        <w:rPr>
          <w:rFonts w:ascii="仿宋_GB2312" w:hAnsi="仿宋_GB2312" w:cs="仿宋_GB2312" w:eastAsia="仿宋_GB2312"/>
        </w:rPr>
        <w:t>详见附件：12.商务条款偏离表.docx</w:t>
      </w:r>
    </w:p>
    <w:p>
      <w:pPr>
        <w:pStyle w:val="null3"/>
        <w:ind w:firstLine="960"/>
      </w:pPr>
      <w:r>
        <w:rPr>
          <w:rFonts w:ascii="仿宋_GB2312" w:hAnsi="仿宋_GB2312" w:cs="仿宋_GB2312" w:eastAsia="仿宋_GB2312"/>
        </w:rPr>
        <w:t>详见附件：13.技术偏离表.docx</w:t>
      </w:r>
    </w:p>
    <w:p>
      <w:pPr>
        <w:pStyle w:val="null3"/>
        <w:ind w:firstLine="960"/>
      </w:pPr>
      <w:r>
        <w:rPr>
          <w:rFonts w:ascii="仿宋_GB2312" w:hAnsi="仿宋_GB2312" w:cs="仿宋_GB2312" w:eastAsia="仿宋_GB2312"/>
        </w:rPr>
        <w:t>详见附件：14.技术证明材料.docx</w:t>
      </w:r>
    </w:p>
    <w:p>
      <w:pPr>
        <w:pStyle w:val="null3"/>
        <w:ind w:firstLine="960"/>
      </w:pPr>
      <w:r>
        <w:rPr>
          <w:rFonts w:ascii="仿宋_GB2312" w:hAnsi="仿宋_GB2312" w:cs="仿宋_GB2312" w:eastAsia="仿宋_GB2312"/>
        </w:rPr>
        <w:t>详见附件：15.投标方案或技术方案.docx</w:t>
      </w:r>
    </w:p>
    <w:p>
      <w:pPr>
        <w:pStyle w:val="null3"/>
        <w:ind w:firstLine="960"/>
      </w:pPr>
      <w:r>
        <w:rPr>
          <w:rFonts w:ascii="仿宋_GB2312" w:hAnsi="仿宋_GB2312" w:cs="仿宋_GB2312" w:eastAsia="仿宋_GB2312"/>
        </w:rPr>
        <w:t>详见附件：16.业绩一览表.docx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