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439EB">
      <w:pPr>
        <w:spacing w:line="588" w:lineRule="exact"/>
        <w:ind w:firstLine="562" w:firstLineChars="200"/>
        <w:jc w:val="center"/>
        <w:outlineLvl w:val="1"/>
        <w:rPr>
          <w:rFonts w:hint="eastAsia" w:ascii="宋体" w:hAnsi="宋体" w:eastAsia="宋体" w:cs="宋体"/>
          <w:b/>
          <w:sz w:val="28"/>
          <w:szCs w:val="28"/>
          <w:highlight w:val="none"/>
        </w:rPr>
      </w:pPr>
      <w:r>
        <w:rPr>
          <w:rFonts w:hint="eastAsia" w:ascii="宋体" w:hAnsi="宋体" w:eastAsia="宋体" w:cs="宋体"/>
          <w:b/>
          <w:sz w:val="28"/>
          <w:szCs w:val="28"/>
          <w:highlight w:val="none"/>
        </w:rPr>
        <w:t>技术响应与偏离表</w:t>
      </w:r>
    </w:p>
    <w:p w14:paraId="61BA31F4">
      <w:pPr>
        <w:pStyle w:val="2"/>
        <w:rPr>
          <w:rFonts w:hint="eastAsia" w:ascii="宋体" w:hAnsi="宋体" w:eastAsia="宋体" w:cs="宋体"/>
          <w:color w:val="auto"/>
          <w:sz w:val="24"/>
          <w:szCs w:val="24"/>
          <w:highlight w:val="none"/>
        </w:rPr>
      </w:pPr>
    </w:p>
    <w:p w14:paraId="66BDDD56">
      <w:pPr>
        <w:pStyle w:val="2"/>
        <w:rPr>
          <w:rFonts w:hint="eastAsia" w:ascii="宋体" w:hAnsi="宋体" w:eastAsia="宋体" w:cs="宋体"/>
          <w:color w:val="auto"/>
          <w:sz w:val="24"/>
          <w:szCs w:val="24"/>
          <w:highlight w:val="none"/>
        </w:rPr>
      </w:pPr>
    </w:p>
    <w:p w14:paraId="58103D79">
      <w:pPr>
        <w:pStyle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r>
        <w:rPr>
          <w:rFonts w:hint="eastAsia"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项目编号：</w:t>
      </w:r>
    </w:p>
    <w:tbl>
      <w:tblPr>
        <w:tblStyle w:val="3"/>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
        <w:gridCol w:w="793"/>
        <w:gridCol w:w="585"/>
        <w:gridCol w:w="735"/>
        <w:gridCol w:w="3360"/>
        <w:gridCol w:w="2175"/>
        <w:gridCol w:w="1020"/>
        <w:gridCol w:w="624"/>
      </w:tblGrid>
      <w:tr w14:paraId="19039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597" w:type="dxa"/>
            <w:vAlign w:val="center"/>
          </w:tcPr>
          <w:p w14:paraId="770EDA87">
            <w:pPr>
              <w:pStyle w:val="2"/>
              <w:jc w:val="center"/>
              <w:rPr>
                <w:rFonts w:hint="default" w:ascii="宋体" w:hAnsi="宋体" w:eastAsia="宋体" w:cs="宋体"/>
                <w:color w:val="auto"/>
                <w:sz w:val="24"/>
                <w:szCs w:val="24"/>
                <w:highlight w:val="none"/>
                <w:lang w:val="en-US" w:eastAsia="zh-CN"/>
              </w:rPr>
            </w:pPr>
            <w:r>
              <w:rPr>
                <w:rFonts w:hint="eastAsia" w:hAnsi="宋体" w:cs="宋体"/>
                <w:color w:val="auto"/>
                <w:sz w:val="24"/>
                <w:szCs w:val="24"/>
                <w:highlight w:val="none"/>
                <w:lang w:val="en-US" w:eastAsia="zh-CN"/>
              </w:rPr>
              <w:t>序号</w:t>
            </w:r>
          </w:p>
        </w:tc>
        <w:tc>
          <w:tcPr>
            <w:tcW w:w="793" w:type="dxa"/>
            <w:vAlign w:val="center"/>
          </w:tcPr>
          <w:p w14:paraId="5E78F4E5">
            <w:pPr>
              <w:pStyle w:val="2"/>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产品</w:t>
            </w:r>
          </w:p>
          <w:p w14:paraId="1C67BBE2">
            <w:pPr>
              <w:pStyle w:val="2"/>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名称</w:t>
            </w:r>
          </w:p>
        </w:tc>
        <w:tc>
          <w:tcPr>
            <w:tcW w:w="585" w:type="dxa"/>
            <w:vAlign w:val="center"/>
          </w:tcPr>
          <w:p w14:paraId="48896AE7">
            <w:pPr>
              <w:pStyle w:val="2"/>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品牌</w:t>
            </w:r>
          </w:p>
        </w:tc>
        <w:tc>
          <w:tcPr>
            <w:tcW w:w="735" w:type="dxa"/>
            <w:vAlign w:val="center"/>
          </w:tcPr>
          <w:p w14:paraId="141151BC">
            <w:pPr>
              <w:pStyle w:val="2"/>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型号和规格</w:t>
            </w:r>
          </w:p>
        </w:tc>
        <w:tc>
          <w:tcPr>
            <w:tcW w:w="3360" w:type="dxa"/>
            <w:vAlign w:val="center"/>
          </w:tcPr>
          <w:p w14:paraId="43A7A6C8">
            <w:pPr>
              <w:pStyle w:val="2"/>
              <w:jc w:val="center"/>
              <w:rPr>
                <w:rFonts w:hint="eastAsia" w:ascii="宋体" w:hAnsi="宋体" w:eastAsia="宋体" w:cs="宋体"/>
                <w:color w:val="auto"/>
                <w:sz w:val="24"/>
                <w:szCs w:val="24"/>
                <w:highlight w:val="none"/>
              </w:rPr>
            </w:pPr>
            <w:r>
              <w:rPr>
                <w:rFonts w:hint="eastAsia" w:hAnsi="宋体" w:cs="宋体"/>
                <w:color w:val="auto"/>
                <w:sz w:val="24"/>
                <w:szCs w:val="24"/>
                <w:highlight w:val="none"/>
                <w:lang w:val="en-US" w:eastAsia="zh-CN"/>
              </w:rPr>
              <w:t>磋商文件</w:t>
            </w:r>
            <w:r>
              <w:rPr>
                <w:rFonts w:hint="eastAsia" w:ascii="宋体" w:hAnsi="宋体" w:eastAsia="宋体" w:cs="宋体"/>
                <w:color w:val="auto"/>
                <w:sz w:val="24"/>
                <w:szCs w:val="24"/>
                <w:highlight w:val="none"/>
              </w:rPr>
              <w:t>要求</w:t>
            </w:r>
          </w:p>
          <w:p w14:paraId="2AF174A7">
            <w:pPr>
              <w:pStyle w:val="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参数</w:t>
            </w:r>
          </w:p>
        </w:tc>
        <w:tc>
          <w:tcPr>
            <w:tcW w:w="2175" w:type="dxa"/>
            <w:vAlign w:val="center"/>
          </w:tcPr>
          <w:p w14:paraId="1C9089C0">
            <w:pPr>
              <w:pStyle w:val="2"/>
              <w:jc w:val="center"/>
              <w:rPr>
                <w:rFonts w:hint="eastAsia" w:ascii="宋体" w:hAnsi="宋体" w:eastAsia="宋体" w:cs="宋体"/>
                <w:color w:val="auto"/>
                <w:sz w:val="24"/>
                <w:szCs w:val="24"/>
                <w:highlight w:val="none"/>
                <w:lang w:eastAsia="zh-CN"/>
              </w:rPr>
            </w:pPr>
            <w:r>
              <w:rPr>
                <w:rFonts w:hint="eastAsia" w:hAnsi="宋体" w:cs="宋体"/>
                <w:color w:val="auto"/>
                <w:sz w:val="24"/>
                <w:szCs w:val="24"/>
                <w:highlight w:val="none"/>
                <w:lang w:val="en-US" w:eastAsia="zh-CN"/>
              </w:rPr>
              <w:t>响应</w:t>
            </w:r>
            <w:r>
              <w:rPr>
                <w:rFonts w:hint="eastAsia" w:ascii="宋体" w:hAnsi="宋体" w:eastAsia="宋体" w:cs="宋体"/>
                <w:color w:val="auto"/>
                <w:sz w:val="24"/>
                <w:szCs w:val="24"/>
                <w:highlight w:val="none"/>
                <w:lang w:eastAsia="zh-CN"/>
              </w:rPr>
              <w:t>文件</w:t>
            </w:r>
          </w:p>
          <w:p w14:paraId="0203EB52">
            <w:pPr>
              <w:pStyle w:val="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参数</w:t>
            </w:r>
          </w:p>
        </w:tc>
        <w:tc>
          <w:tcPr>
            <w:tcW w:w="1020" w:type="dxa"/>
            <w:vAlign w:val="center"/>
          </w:tcPr>
          <w:p w14:paraId="5E0F6250">
            <w:pPr>
              <w:pStyle w:val="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偏离</w:t>
            </w:r>
            <w:r>
              <w:rPr>
                <w:rFonts w:hint="eastAsia" w:ascii="宋体" w:hAnsi="宋体" w:eastAsia="宋体" w:cs="宋体"/>
                <w:color w:val="auto"/>
                <w:sz w:val="24"/>
                <w:szCs w:val="24"/>
                <w:highlight w:val="none"/>
              </w:rPr>
              <w:t>响应情况</w:t>
            </w:r>
          </w:p>
        </w:tc>
        <w:tc>
          <w:tcPr>
            <w:tcW w:w="624" w:type="dxa"/>
            <w:vAlign w:val="center"/>
          </w:tcPr>
          <w:p w14:paraId="5E4B4A1D">
            <w:pPr>
              <w:pStyle w:val="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tc>
      </w:tr>
      <w:tr w14:paraId="58093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597" w:type="dxa"/>
            <w:vAlign w:val="center"/>
          </w:tcPr>
          <w:p w14:paraId="174F02AA">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793" w:type="dxa"/>
            <w:vAlign w:val="center"/>
          </w:tcPr>
          <w:p w14:paraId="0017EE07">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场磨式大气电场传感组件</w:t>
            </w:r>
          </w:p>
        </w:tc>
        <w:tc>
          <w:tcPr>
            <w:tcW w:w="585" w:type="dxa"/>
            <w:vAlign w:val="center"/>
          </w:tcPr>
          <w:p w14:paraId="4AD474F6">
            <w:pPr>
              <w:pStyle w:val="2"/>
              <w:jc w:val="center"/>
              <w:rPr>
                <w:rFonts w:hint="eastAsia" w:ascii="宋体" w:hAnsi="宋体" w:eastAsia="宋体" w:cs="宋体"/>
                <w:color w:val="auto"/>
                <w:sz w:val="20"/>
                <w:szCs w:val="20"/>
                <w:highlight w:val="none"/>
              </w:rPr>
            </w:pPr>
          </w:p>
        </w:tc>
        <w:tc>
          <w:tcPr>
            <w:tcW w:w="735" w:type="dxa"/>
            <w:vAlign w:val="center"/>
          </w:tcPr>
          <w:p w14:paraId="3726E64C">
            <w:pPr>
              <w:pStyle w:val="2"/>
              <w:jc w:val="center"/>
              <w:rPr>
                <w:rFonts w:hint="eastAsia" w:ascii="宋体" w:hAnsi="宋体" w:eastAsia="宋体" w:cs="宋体"/>
                <w:color w:val="auto"/>
                <w:sz w:val="20"/>
                <w:szCs w:val="20"/>
                <w:highlight w:val="none"/>
              </w:rPr>
            </w:pPr>
          </w:p>
        </w:tc>
        <w:tc>
          <w:tcPr>
            <w:tcW w:w="3360" w:type="dxa"/>
            <w:vAlign w:val="center"/>
          </w:tcPr>
          <w:p w14:paraId="6CFAD0D6">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（1）探头形式：场磨式大气电场仪。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（2）预警提前时间：≥10min。</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（3）预警准确率：≥80%。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（4）探测半径：≥20km。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（5）电场测量范围：-160kV/m～+160kV/m。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（6）精度：±5%。防护等级：≥IP65。</w:t>
            </w:r>
          </w:p>
        </w:tc>
        <w:tc>
          <w:tcPr>
            <w:tcW w:w="2175" w:type="dxa"/>
            <w:vAlign w:val="center"/>
          </w:tcPr>
          <w:p w14:paraId="69566045">
            <w:pPr>
              <w:pStyle w:val="2"/>
              <w:jc w:val="center"/>
              <w:rPr>
                <w:rFonts w:hint="eastAsia" w:ascii="宋体" w:hAnsi="宋体" w:eastAsia="宋体" w:cs="宋体"/>
                <w:color w:val="auto"/>
                <w:sz w:val="20"/>
                <w:szCs w:val="20"/>
                <w:highlight w:val="none"/>
              </w:rPr>
            </w:pPr>
          </w:p>
        </w:tc>
        <w:tc>
          <w:tcPr>
            <w:tcW w:w="1020" w:type="dxa"/>
            <w:vAlign w:val="center"/>
          </w:tcPr>
          <w:p w14:paraId="04B107D8">
            <w:pPr>
              <w:pStyle w:val="2"/>
              <w:jc w:val="center"/>
              <w:rPr>
                <w:rFonts w:hint="eastAsia" w:ascii="宋体" w:hAnsi="宋体" w:eastAsia="宋体" w:cs="宋体"/>
                <w:color w:val="auto"/>
                <w:sz w:val="20"/>
                <w:szCs w:val="20"/>
                <w:highlight w:val="none"/>
              </w:rPr>
            </w:pPr>
          </w:p>
        </w:tc>
        <w:tc>
          <w:tcPr>
            <w:tcW w:w="624" w:type="dxa"/>
            <w:vAlign w:val="center"/>
          </w:tcPr>
          <w:p w14:paraId="08E9BD47">
            <w:pPr>
              <w:pStyle w:val="2"/>
              <w:jc w:val="center"/>
              <w:rPr>
                <w:rFonts w:hint="eastAsia" w:ascii="宋体" w:hAnsi="宋体" w:eastAsia="宋体" w:cs="宋体"/>
                <w:color w:val="auto"/>
                <w:sz w:val="20"/>
                <w:szCs w:val="20"/>
                <w:highlight w:val="none"/>
              </w:rPr>
            </w:pPr>
          </w:p>
        </w:tc>
      </w:tr>
      <w:tr w14:paraId="679B4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597" w:type="dxa"/>
            <w:vAlign w:val="center"/>
          </w:tcPr>
          <w:p w14:paraId="4E4B9777">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793" w:type="dxa"/>
            <w:vAlign w:val="center"/>
          </w:tcPr>
          <w:p w14:paraId="34FAD664">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正交磁定向闪电探测组件</w:t>
            </w:r>
          </w:p>
        </w:tc>
        <w:tc>
          <w:tcPr>
            <w:tcW w:w="585" w:type="dxa"/>
            <w:vAlign w:val="center"/>
          </w:tcPr>
          <w:p w14:paraId="456C6846">
            <w:pPr>
              <w:pStyle w:val="2"/>
              <w:jc w:val="center"/>
              <w:rPr>
                <w:rFonts w:hint="eastAsia" w:ascii="宋体" w:hAnsi="宋体" w:eastAsia="宋体" w:cs="宋体"/>
                <w:color w:val="auto"/>
                <w:sz w:val="20"/>
                <w:szCs w:val="20"/>
                <w:highlight w:val="none"/>
              </w:rPr>
            </w:pPr>
          </w:p>
        </w:tc>
        <w:tc>
          <w:tcPr>
            <w:tcW w:w="735" w:type="dxa"/>
            <w:vAlign w:val="center"/>
          </w:tcPr>
          <w:p w14:paraId="53D6D92E">
            <w:pPr>
              <w:pStyle w:val="2"/>
              <w:jc w:val="center"/>
              <w:rPr>
                <w:rFonts w:hint="eastAsia" w:ascii="宋体" w:hAnsi="宋体" w:eastAsia="宋体" w:cs="宋体"/>
                <w:color w:val="auto"/>
                <w:sz w:val="20"/>
                <w:szCs w:val="20"/>
                <w:highlight w:val="none"/>
              </w:rPr>
            </w:pPr>
          </w:p>
        </w:tc>
        <w:tc>
          <w:tcPr>
            <w:tcW w:w="3360" w:type="dxa"/>
            <w:vAlign w:val="center"/>
          </w:tcPr>
          <w:p w14:paraId="168E1D41">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（1）信号通道：正交水平闪电磁场和垂直闪电电场。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（2）工作频率：5kHz～400kHz。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（3）AD采样精度：≥14bit。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（4）AD采样速度：≥10MHz。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（5）地闪鉴别正确率：≥90%。</w:t>
            </w:r>
          </w:p>
        </w:tc>
        <w:tc>
          <w:tcPr>
            <w:tcW w:w="2175" w:type="dxa"/>
            <w:vAlign w:val="center"/>
          </w:tcPr>
          <w:p w14:paraId="7630549C">
            <w:pPr>
              <w:pStyle w:val="2"/>
              <w:jc w:val="center"/>
              <w:rPr>
                <w:rFonts w:hint="eastAsia" w:ascii="宋体" w:hAnsi="宋体" w:eastAsia="宋体" w:cs="宋体"/>
                <w:color w:val="auto"/>
                <w:sz w:val="20"/>
                <w:szCs w:val="20"/>
                <w:highlight w:val="none"/>
              </w:rPr>
            </w:pPr>
          </w:p>
        </w:tc>
        <w:tc>
          <w:tcPr>
            <w:tcW w:w="1020" w:type="dxa"/>
            <w:vAlign w:val="center"/>
          </w:tcPr>
          <w:p w14:paraId="6780D183">
            <w:pPr>
              <w:pStyle w:val="2"/>
              <w:jc w:val="center"/>
              <w:rPr>
                <w:rFonts w:hint="eastAsia" w:ascii="宋体" w:hAnsi="宋体" w:eastAsia="宋体" w:cs="宋体"/>
                <w:color w:val="auto"/>
                <w:sz w:val="20"/>
                <w:szCs w:val="20"/>
                <w:highlight w:val="none"/>
              </w:rPr>
            </w:pPr>
          </w:p>
        </w:tc>
        <w:tc>
          <w:tcPr>
            <w:tcW w:w="624" w:type="dxa"/>
            <w:vAlign w:val="center"/>
          </w:tcPr>
          <w:p w14:paraId="6F269986">
            <w:pPr>
              <w:pStyle w:val="2"/>
              <w:jc w:val="center"/>
              <w:rPr>
                <w:rFonts w:hint="eastAsia" w:ascii="宋体" w:hAnsi="宋体" w:eastAsia="宋体" w:cs="宋体"/>
                <w:color w:val="auto"/>
                <w:sz w:val="20"/>
                <w:szCs w:val="20"/>
                <w:highlight w:val="none"/>
              </w:rPr>
            </w:pPr>
          </w:p>
        </w:tc>
      </w:tr>
      <w:tr w14:paraId="129A2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597" w:type="dxa"/>
            <w:vAlign w:val="center"/>
          </w:tcPr>
          <w:p w14:paraId="05F5DB08">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793" w:type="dxa"/>
            <w:vAlign w:val="center"/>
          </w:tcPr>
          <w:p w14:paraId="4CFAE360">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授时模块</w:t>
            </w:r>
          </w:p>
        </w:tc>
        <w:tc>
          <w:tcPr>
            <w:tcW w:w="585" w:type="dxa"/>
            <w:vAlign w:val="center"/>
          </w:tcPr>
          <w:p w14:paraId="0AED95F2">
            <w:pPr>
              <w:pStyle w:val="2"/>
              <w:jc w:val="center"/>
              <w:rPr>
                <w:rFonts w:hint="eastAsia" w:ascii="宋体" w:hAnsi="宋体" w:eastAsia="宋体" w:cs="宋体"/>
                <w:color w:val="auto"/>
                <w:sz w:val="20"/>
                <w:szCs w:val="20"/>
                <w:highlight w:val="none"/>
              </w:rPr>
            </w:pPr>
          </w:p>
        </w:tc>
        <w:tc>
          <w:tcPr>
            <w:tcW w:w="735" w:type="dxa"/>
            <w:vAlign w:val="center"/>
          </w:tcPr>
          <w:p w14:paraId="5C51D392">
            <w:pPr>
              <w:pStyle w:val="2"/>
              <w:jc w:val="center"/>
              <w:rPr>
                <w:rFonts w:hint="eastAsia" w:ascii="宋体" w:hAnsi="宋体" w:eastAsia="宋体" w:cs="宋体"/>
                <w:color w:val="auto"/>
                <w:sz w:val="20"/>
                <w:szCs w:val="20"/>
                <w:highlight w:val="none"/>
              </w:rPr>
            </w:pPr>
          </w:p>
        </w:tc>
        <w:tc>
          <w:tcPr>
            <w:tcW w:w="3360" w:type="dxa"/>
            <w:vAlign w:val="center"/>
          </w:tcPr>
          <w:p w14:paraId="1F79A67A">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（1）采用北斗授时系统。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（2）支持响应校时命令的时钟同步功能。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（3）具备掉电时钟保护，掉电时钟走时误差≤1秒/日。</w:t>
            </w:r>
          </w:p>
        </w:tc>
        <w:tc>
          <w:tcPr>
            <w:tcW w:w="2175" w:type="dxa"/>
            <w:vAlign w:val="center"/>
          </w:tcPr>
          <w:p w14:paraId="49281A0F">
            <w:pPr>
              <w:pStyle w:val="2"/>
              <w:jc w:val="center"/>
              <w:rPr>
                <w:rFonts w:hint="eastAsia" w:ascii="宋体" w:hAnsi="宋体" w:eastAsia="宋体" w:cs="宋体"/>
                <w:color w:val="auto"/>
                <w:sz w:val="20"/>
                <w:szCs w:val="20"/>
                <w:highlight w:val="none"/>
              </w:rPr>
            </w:pPr>
          </w:p>
        </w:tc>
        <w:tc>
          <w:tcPr>
            <w:tcW w:w="1020" w:type="dxa"/>
            <w:vAlign w:val="center"/>
          </w:tcPr>
          <w:p w14:paraId="05470CB8">
            <w:pPr>
              <w:pStyle w:val="2"/>
              <w:jc w:val="center"/>
              <w:rPr>
                <w:rFonts w:hint="eastAsia" w:ascii="宋体" w:hAnsi="宋体" w:eastAsia="宋体" w:cs="宋体"/>
                <w:color w:val="auto"/>
                <w:sz w:val="20"/>
                <w:szCs w:val="20"/>
                <w:highlight w:val="none"/>
              </w:rPr>
            </w:pPr>
          </w:p>
        </w:tc>
        <w:tc>
          <w:tcPr>
            <w:tcW w:w="624" w:type="dxa"/>
            <w:vAlign w:val="center"/>
          </w:tcPr>
          <w:p w14:paraId="1E0301DF">
            <w:pPr>
              <w:pStyle w:val="2"/>
              <w:jc w:val="center"/>
              <w:rPr>
                <w:rFonts w:hint="eastAsia" w:ascii="宋体" w:hAnsi="宋体" w:eastAsia="宋体" w:cs="宋体"/>
                <w:color w:val="auto"/>
                <w:sz w:val="20"/>
                <w:szCs w:val="20"/>
                <w:highlight w:val="none"/>
              </w:rPr>
            </w:pPr>
          </w:p>
        </w:tc>
      </w:tr>
      <w:tr w14:paraId="2A47B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597" w:type="dxa"/>
            <w:vAlign w:val="center"/>
          </w:tcPr>
          <w:p w14:paraId="148FE87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793" w:type="dxa"/>
            <w:vAlign w:val="center"/>
          </w:tcPr>
          <w:p w14:paraId="26597725">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数据处理模块</w:t>
            </w:r>
          </w:p>
        </w:tc>
        <w:tc>
          <w:tcPr>
            <w:tcW w:w="585" w:type="dxa"/>
            <w:vAlign w:val="center"/>
          </w:tcPr>
          <w:p w14:paraId="798B72E7">
            <w:pPr>
              <w:pStyle w:val="2"/>
              <w:jc w:val="center"/>
              <w:rPr>
                <w:rFonts w:hint="eastAsia" w:ascii="宋体" w:hAnsi="宋体" w:eastAsia="宋体" w:cs="宋体"/>
                <w:color w:val="auto"/>
                <w:sz w:val="20"/>
                <w:szCs w:val="20"/>
                <w:highlight w:val="none"/>
              </w:rPr>
            </w:pPr>
          </w:p>
        </w:tc>
        <w:tc>
          <w:tcPr>
            <w:tcW w:w="735" w:type="dxa"/>
            <w:vAlign w:val="center"/>
          </w:tcPr>
          <w:p w14:paraId="5078CDD0">
            <w:pPr>
              <w:pStyle w:val="2"/>
              <w:jc w:val="center"/>
              <w:rPr>
                <w:rFonts w:hint="eastAsia" w:ascii="宋体" w:hAnsi="宋体" w:eastAsia="宋体" w:cs="宋体"/>
                <w:color w:val="auto"/>
                <w:sz w:val="20"/>
                <w:szCs w:val="20"/>
                <w:highlight w:val="none"/>
              </w:rPr>
            </w:pPr>
          </w:p>
        </w:tc>
        <w:tc>
          <w:tcPr>
            <w:tcW w:w="3360" w:type="dxa"/>
            <w:vAlign w:val="center"/>
          </w:tcPr>
          <w:p w14:paraId="3ECD3B22">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（1）应配置支持雷电探测数据的通信、接收、存储、计算与应用发布的硬件和软件。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（2）串口通信：支持RS485/4G通信协议，波特率支持2400bps至115200bps。</w:t>
            </w:r>
          </w:p>
        </w:tc>
        <w:tc>
          <w:tcPr>
            <w:tcW w:w="2175" w:type="dxa"/>
            <w:vAlign w:val="center"/>
          </w:tcPr>
          <w:p w14:paraId="0CBD6300">
            <w:pPr>
              <w:pStyle w:val="2"/>
              <w:jc w:val="center"/>
              <w:rPr>
                <w:rFonts w:hint="eastAsia" w:ascii="宋体" w:hAnsi="宋体" w:eastAsia="宋体" w:cs="宋体"/>
                <w:color w:val="auto"/>
                <w:sz w:val="20"/>
                <w:szCs w:val="20"/>
                <w:highlight w:val="none"/>
              </w:rPr>
            </w:pPr>
          </w:p>
        </w:tc>
        <w:tc>
          <w:tcPr>
            <w:tcW w:w="1020" w:type="dxa"/>
            <w:vAlign w:val="center"/>
          </w:tcPr>
          <w:p w14:paraId="483F9433">
            <w:pPr>
              <w:pStyle w:val="2"/>
              <w:jc w:val="center"/>
              <w:rPr>
                <w:rFonts w:hint="eastAsia" w:ascii="宋体" w:hAnsi="宋体" w:eastAsia="宋体" w:cs="宋体"/>
                <w:color w:val="auto"/>
                <w:sz w:val="20"/>
                <w:szCs w:val="20"/>
                <w:highlight w:val="none"/>
              </w:rPr>
            </w:pPr>
          </w:p>
        </w:tc>
        <w:tc>
          <w:tcPr>
            <w:tcW w:w="624" w:type="dxa"/>
            <w:vAlign w:val="center"/>
          </w:tcPr>
          <w:p w14:paraId="6210EA98">
            <w:pPr>
              <w:pStyle w:val="2"/>
              <w:jc w:val="center"/>
              <w:rPr>
                <w:rFonts w:hint="eastAsia" w:ascii="宋体" w:hAnsi="宋体" w:eastAsia="宋体" w:cs="宋体"/>
                <w:color w:val="auto"/>
                <w:sz w:val="20"/>
                <w:szCs w:val="20"/>
                <w:highlight w:val="none"/>
              </w:rPr>
            </w:pPr>
          </w:p>
        </w:tc>
      </w:tr>
      <w:tr w14:paraId="57BAD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597" w:type="dxa"/>
            <w:vAlign w:val="center"/>
          </w:tcPr>
          <w:p w14:paraId="086F771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793" w:type="dxa"/>
            <w:vAlign w:val="center"/>
          </w:tcPr>
          <w:p w14:paraId="53DFC15A">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预警主机箱</w:t>
            </w:r>
          </w:p>
        </w:tc>
        <w:tc>
          <w:tcPr>
            <w:tcW w:w="585" w:type="dxa"/>
            <w:vAlign w:val="center"/>
          </w:tcPr>
          <w:p w14:paraId="11C9945C">
            <w:pPr>
              <w:pStyle w:val="2"/>
              <w:jc w:val="center"/>
              <w:rPr>
                <w:rFonts w:hint="eastAsia" w:ascii="宋体" w:hAnsi="宋体" w:eastAsia="宋体" w:cs="宋体"/>
                <w:color w:val="auto"/>
                <w:sz w:val="20"/>
                <w:szCs w:val="20"/>
                <w:highlight w:val="none"/>
              </w:rPr>
            </w:pPr>
          </w:p>
        </w:tc>
        <w:tc>
          <w:tcPr>
            <w:tcW w:w="735" w:type="dxa"/>
            <w:vAlign w:val="center"/>
          </w:tcPr>
          <w:p w14:paraId="461B7B77">
            <w:pPr>
              <w:pStyle w:val="2"/>
              <w:jc w:val="center"/>
              <w:rPr>
                <w:rFonts w:hint="eastAsia" w:ascii="宋体" w:hAnsi="宋体" w:eastAsia="宋体" w:cs="宋体"/>
                <w:color w:val="auto"/>
                <w:sz w:val="20"/>
                <w:szCs w:val="20"/>
                <w:highlight w:val="none"/>
              </w:rPr>
            </w:pPr>
          </w:p>
        </w:tc>
        <w:tc>
          <w:tcPr>
            <w:tcW w:w="3360" w:type="dxa"/>
            <w:vAlign w:val="center"/>
          </w:tcPr>
          <w:p w14:paraId="07F0EBC5">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（1）预警级别：三级预警。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（2）通信采集器一体化设计，支持北斗短报文双向数据通讯，4G双向通讯，本地LAN双向通讯，可组网，带存储功能。</w:t>
            </w:r>
          </w:p>
        </w:tc>
        <w:tc>
          <w:tcPr>
            <w:tcW w:w="2175" w:type="dxa"/>
            <w:vAlign w:val="center"/>
          </w:tcPr>
          <w:p w14:paraId="59B0A30D">
            <w:pPr>
              <w:pStyle w:val="2"/>
              <w:jc w:val="center"/>
              <w:rPr>
                <w:rFonts w:hint="eastAsia" w:ascii="宋体" w:hAnsi="宋体" w:eastAsia="宋体" w:cs="宋体"/>
                <w:color w:val="auto"/>
                <w:sz w:val="20"/>
                <w:szCs w:val="20"/>
                <w:highlight w:val="none"/>
              </w:rPr>
            </w:pPr>
          </w:p>
        </w:tc>
        <w:tc>
          <w:tcPr>
            <w:tcW w:w="1020" w:type="dxa"/>
            <w:vAlign w:val="center"/>
          </w:tcPr>
          <w:p w14:paraId="638D9D18">
            <w:pPr>
              <w:pStyle w:val="2"/>
              <w:jc w:val="center"/>
              <w:rPr>
                <w:rFonts w:hint="eastAsia" w:ascii="宋体" w:hAnsi="宋体" w:eastAsia="宋体" w:cs="宋体"/>
                <w:color w:val="auto"/>
                <w:sz w:val="20"/>
                <w:szCs w:val="20"/>
                <w:highlight w:val="none"/>
              </w:rPr>
            </w:pPr>
          </w:p>
        </w:tc>
        <w:tc>
          <w:tcPr>
            <w:tcW w:w="624" w:type="dxa"/>
            <w:vAlign w:val="center"/>
          </w:tcPr>
          <w:p w14:paraId="244686B0">
            <w:pPr>
              <w:pStyle w:val="2"/>
              <w:jc w:val="center"/>
              <w:rPr>
                <w:rFonts w:hint="eastAsia" w:ascii="宋体" w:hAnsi="宋体" w:eastAsia="宋体" w:cs="宋体"/>
                <w:color w:val="auto"/>
                <w:sz w:val="20"/>
                <w:szCs w:val="20"/>
                <w:highlight w:val="none"/>
              </w:rPr>
            </w:pPr>
          </w:p>
        </w:tc>
      </w:tr>
      <w:tr w14:paraId="1E711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6740318D">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w:t>
            </w:r>
          </w:p>
        </w:tc>
        <w:tc>
          <w:tcPr>
            <w:tcW w:w="793" w:type="dxa"/>
            <w:vAlign w:val="center"/>
          </w:tcPr>
          <w:p w14:paraId="7407DC41">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闪电定位仪通信模块</w:t>
            </w:r>
          </w:p>
        </w:tc>
        <w:tc>
          <w:tcPr>
            <w:tcW w:w="585" w:type="dxa"/>
            <w:vAlign w:val="center"/>
          </w:tcPr>
          <w:p w14:paraId="50616128">
            <w:pPr>
              <w:pStyle w:val="2"/>
              <w:jc w:val="center"/>
              <w:rPr>
                <w:rFonts w:hint="eastAsia" w:ascii="宋体" w:hAnsi="宋体" w:eastAsia="宋体" w:cs="宋体"/>
                <w:color w:val="auto"/>
                <w:sz w:val="20"/>
                <w:szCs w:val="20"/>
                <w:highlight w:val="none"/>
              </w:rPr>
            </w:pPr>
          </w:p>
        </w:tc>
        <w:tc>
          <w:tcPr>
            <w:tcW w:w="735" w:type="dxa"/>
            <w:vAlign w:val="center"/>
          </w:tcPr>
          <w:p w14:paraId="192951B4">
            <w:pPr>
              <w:pStyle w:val="2"/>
              <w:jc w:val="center"/>
              <w:rPr>
                <w:rFonts w:hint="eastAsia" w:ascii="宋体" w:hAnsi="宋体" w:eastAsia="宋体" w:cs="宋体"/>
                <w:color w:val="auto"/>
                <w:sz w:val="20"/>
                <w:szCs w:val="20"/>
                <w:highlight w:val="none"/>
              </w:rPr>
            </w:pPr>
          </w:p>
        </w:tc>
        <w:tc>
          <w:tcPr>
            <w:tcW w:w="3360" w:type="dxa"/>
            <w:vAlign w:val="center"/>
          </w:tcPr>
          <w:p w14:paraId="58B10F8C">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（1）应配置支持雷电探测数据的通信、接收、存储、计算与应用发布的硬件和软件。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（2）串口通信：支持RJ45/RS485/4G/5G通信协议。提供3年物联网卡通讯费用。</w:t>
            </w:r>
          </w:p>
        </w:tc>
        <w:tc>
          <w:tcPr>
            <w:tcW w:w="2175" w:type="dxa"/>
            <w:vAlign w:val="center"/>
          </w:tcPr>
          <w:p w14:paraId="0DFBCB97">
            <w:pPr>
              <w:pStyle w:val="2"/>
              <w:jc w:val="center"/>
              <w:rPr>
                <w:rFonts w:hint="eastAsia" w:ascii="宋体" w:hAnsi="宋体" w:eastAsia="宋体" w:cs="宋体"/>
                <w:color w:val="auto"/>
                <w:sz w:val="20"/>
                <w:szCs w:val="20"/>
                <w:highlight w:val="none"/>
              </w:rPr>
            </w:pPr>
          </w:p>
        </w:tc>
        <w:tc>
          <w:tcPr>
            <w:tcW w:w="1020" w:type="dxa"/>
            <w:vAlign w:val="center"/>
          </w:tcPr>
          <w:p w14:paraId="343D29B9">
            <w:pPr>
              <w:pStyle w:val="2"/>
              <w:jc w:val="center"/>
              <w:rPr>
                <w:rFonts w:hint="eastAsia" w:ascii="宋体" w:hAnsi="宋体" w:eastAsia="宋体" w:cs="宋体"/>
                <w:color w:val="auto"/>
                <w:sz w:val="20"/>
                <w:szCs w:val="20"/>
                <w:highlight w:val="none"/>
              </w:rPr>
            </w:pPr>
          </w:p>
        </w:tc>
        <w:tc>
          <w:tcPr>
            <w:tcW w:w="624" w:type="dxa"/>
            <w:vAlign w:val="center"/>
          </w:tcPr>
          <w:p w14:paraId="5CC12CBB">
            <w:pPr>
              <w:pStyle w:val="2"/>
              <w:jc w:val="center"/>
              <w:rPr>
                <w:rFonts w:hint="eastAsia" w:ascii="宋体" w:hAnsi="宋体" w:eastAsia="宋体" w:cs="宋体"/>
                <w:color w:val="auto"/>
                <w:sz w:val="20"/>
                <w:szCs w:val="20"/>
                <w:highlight w:val="none"/>
              </w:rPr>
            </w:pPr>
          </w:p>
        </w:tc>
      </w:tr>
      <w:tr w14:paraId="09B8A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7070BDC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w:t>
            </w:r>
          </w:p>
        </w:tc>
        <w:tc>
          <w:tcPr>
            <w:tcW w:w="793" w:type="dxa"/>
            <w:vAlign w:val="center"/>
          </w:tcPr>
          <w:p w14:paraId="7B1A0536">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设备辅材</w:t>
            </w:r>
          </w:p>
        </w:tc>
        <w:tc>
          <w:tcPr>
            <w:tcW w:w="585" w:type="dxa"/>
            <w:vAlign w:val="center"/>
          </w:tcPr>
          <w:p w14:paraId="348E26B8">
            <w:pPr>
              <w:pStyle w:val="2"/>
              <w:jc w:val="center"/>
              <w:rPr>
                <w:rFonts w:hint="eastAsia" w:ascii="宋体" w:hAnsi="宋体" w:eastAsia="宋体" w:cs="宋体"/>
                <w:color w:val="auto"/>
                <w:sz w:val="20"/>
                <w:szCs w:val="20"/>
                <w:highlight w:val="none"/>
              </w:rPr>
            </w:pPr>
          </w:p>
        </w:tc>
        <w:tc>
          <w:tcPr>
            <w:tcW w:w="735" w:type="dxa"/>
            <w:vAlign w:val="center"/>
          </w:tcPr>
          <w:p w14:paraId="4CAC68A7">
            <w:pPr>
              <w:pStyle w:val="2"/>
              <w:jc w:val="center"/>
              <w:rPr>
                <w:rFonts w:hint="eastAsia" w:ascii="宋体" w:hAnsi="宋体" w:eastAsia="宋体" w:cs="宋体"/>
                <w:color w:val="auto"/>
                <w:sz w:val="20"/>
                <w:szCs w:val="20"/>
                <w:highlight w:val="none"/>
              </w:rPr>
            </w:pPr>
          </w:p>
        </w:tc>
        <w:tc>
          <w:tcPr>
            <w:tcW w:w="3360" w:type="dxa"/>
            <w:vAlign w:val="center"/>
          </w:tcPr>
          <w:p w14:paraId="2764ADD5">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1.（1）应包含设备安装组件所需的所有辅材线缆辅料等。</w:t>
            </w:r>
          </w:p>
        </w:tc>
        <w:tc>
          <w:tcPr>
            <w:tcW w:w="2175" w:type="dxa"/>
            <w:vAlign w:val="center"/>
          </w:tcPr>
          <w:p w14:paraId="6B232011">
            <w:pPr>
              <w:pStyle w:val="2"/>
              <w:jc w:val="center"/>
              <w:rPr>
                <w:rFonts w:hint="eastAsia" w:ascii="宋体" w:hAnsi="宋体" w:eastAsia="宋体" w:cs="宋体"/>
                <w:color w:val="auto"/>
                <w:sz w:val="20"/>
                <w:szCs w:val="20"/>
                <w:highlight w:val="none"/>
              </w:rPr>
            </w:pPr>
          </w:p>
        </w:tc>
        <w:tc>
          <w:tcPr>
            <w:tcW w:w="1020" w:type="dxa"/>
            <w:vAlign w:val="center"/>
          </w:tcPr>
          <w:p w14:paraId="6B31F09D">
            <w:pPr>
              <w:pStyle w:val="2"/>
              <w:jc w:val="center"/>
              <w:rPr>
                <w:rFonts w:hint="eastAsia" w:ascii="宋体" w:hAnsi="宋体" w:eastAsia="宋体" w:cs="宋体"/>
                <w:color w:val="auto"/>
                <w:sz w:val="20"/>
                <w:szCs w:val="20"/>
                <w:highlight w:val="none"/>
              </w:rPr>
            </w:pPr>
          </w:p>
        </w:tc>
        <w:tc>
          <w:tcPr>
            <w:tcW w:w="624" w:type="dxa"/>
            <w:vAlign w:val="center"/>
          </w:tcPr>
          <w:p w14:paraId="16873A73">
            <w:pPr>
              <w:pStyle w:val="2"/>
              <w:jc w:val="center"/>
              <w:rPr>
                <w:rFonts w:hint="eastAsia" w:ascii="宋体" w:hAnsi="宋体" w:eastAsia="宋体" w:cs="宋体"/>
                <w:color w:val="auto"/>
                <w:sz w:val="20"/>
                <w:szCs w:val="20"/>
                <w:highlight w:val="none"/>
              </w:rPr>
            </w:pPr>
          </w:p>
        </w:tc>
      </w:tr>
      <w:tr w14:paraId="7359D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68675C4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w:t>
            </w:r>
          </w:p>
        </w:tc>
        <w:tc>
          <w:tcPr>
            <w:tcW w:w="793" w:type="dxa"/>
            <w:vAlign w:val="center"/>
          </w:tcPr>
          <w:p w14:paraId="210989BA">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整站集成</w:t>
            </w:r>
          </w:p>
        </w:tc>
        <w:tc>
          <w:tcPr>
            <w:tcW w:w="585" w:type="dxa"/>
            <w:vAlign w:val="center"/>
          </w:tcPr>
          <w:p w14:paraId="651805FC">
            <w:pPr>
              <w:pStyle w:val="2"/>
              <w:jc w:val="center"/>
              <w:rPr>
                <w:rFonts w:hint="eastAsia" w:ascii="宋体" w:hAnsi="宋体" w:eastAsia="宋体" w:cs="宋体"/>
                <w:color w:val="auto"/>
                <w:sz w:val="20"/>
                <w:szCs w:val="20"/>
                <w:highlight w:val="none"/>
              </w:rPr>
            </w:pPr>
          </w:p>
        </w:tc>
        <w:tc>
          <w:tcPr>
            <w:tcW w:w="735" w:type="dxa"/>
            <w:vAlign w:val="center"/>
          </w:tcPr>
          <w:p w14:paraId="786535AF">
            <w:pPr>
              <w:pStyle w:val="2"/>
              <w:jc w:val="center"/>
              <w:rPr>
                <w:rFonts w:hint="eastAsia" w:ascii="宋体" w:hAnsi="宋体" w:eastAsia="宋体" w:cs="宋体"/>
                <w:color w:val="auto"/>
                <w:sz w:val="20"/>
                <w:szCs w:val="20"/>
                <w:highlight w:val="none"/>
              </w:rPr>
            </w:pPr>
          </w:p>
        </w:tc>
        <w:tc>
          <w:tcPr>
            <w:tcW w:w="3360" w:type="dxa"/>
            <w:vAlign w:val="center"/>
          </w:tcPr>
          <w:p w14:paraId="01C35696">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（1）闪电类型：云闪、云地闪、袖珍云闪。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（2）探测效率：云地闪≥95%,云闪≥70%。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（3）定位精度：≤500m（无遮挡）。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（4）雷电探测范围：≥35公里。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（5）探测方式：组网探测。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（6）传感器数量：≥4。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（7）频率范围：3kHz～350kHz。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（8）性能：全自动系统校准与自检。</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（9）远程配置能力：可远程配置操作参数。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（10）回击分辨率：1ms或优于。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（11）可靠性：MTBF≥8000h。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（12）通讯类型：同时支持4G/5G网络和专网。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（13）供电方式：市电。</w:t>
            </w:r>
          </w:p>
        </w:tc>
        <w:tc>
          <w:tcPr>
            <w:tcW w:w="2175" w:type="dxa"/>
            <w:vAlign w:val="center"/>
          </w:tcPr>
          <w:p w14:paraId="56E22194">
            <w:pPr>
              <w:pStyle w:val="2"/>
              <w:jc w:val="center"/>
              <w:rPr>
                <w:rFonts w:hint="eastAsia" w:ascii="宋体" w:hAnsi="宋体" w:eastAsia="宋体" w:cs="宋体"/>
                <w:color w:val="auto"/>
                <w:sz w:val="20"/>
                <w:szCs w:val="20"/>
                <w:highlight w:val="none"/>
              </w:rPr>
            </w:pPr>
          </w:p>
        </w:tc>
        <w:tc>
          <w:tcPr>
            <w:tcW w:w="1020" w:type="dxa"/>
            <w:vAlign w:val="center"/>
          </w:tcPr>
          <w:p w14:paraId="59183944">
            <w:pPr>
              <w:pStyle w:val="2"/>
              <w:jc w:val="center"/>
              <w:rPr>
                <w:rFonts w:hint="eastAsia" w:ascii="宋体" w:hAnsi="宋体" w:eastAsia="宋体" w:cs="宋体"/>
                <w:color w:val="auto"/>
                <w:sz w:val="20"/>
                <w:szCs w:val="20"/>
                <w:highlight w:val="none"/>
              </w:rPr>
            </w:pPr>
          </w:p>
        </w:tc>
        <w:tc>
          <w:tcPr>
            <w:tcW w:w="624" w:type="dxa"/>
            <w:vAlign w:val="center"/>
          </w:tcPr>
          <w:p w14:paraId="3DCA1DD9">
            <w:pPr>
              <w:pStyle w:val="2"/>
              <w:jc w:val="center"/>
              <w:rPr>
                <w:rFonts w:hint="eastAsia" w:ascii="宋体" w:hAnsi="宋体" w:eastAsia="宋体" w:cs="宋体"/>
                <w:color w:val="auto"/>
                <w:sz w:val="20"/>
                <w:szCs w:val="20"/>
                <w:highlight w:val="none"/>
              </w:rPr>
            </w:pPr>
          </w:p>
        </w:tc>
      </w:tr>
      <w:tr w14:paraId="33318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0861FDBA">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w:t>
            </w:r>
          </w:p>
        </w:tc>
        <w:tc>
          <w:tcPr>
            <w:tcW w:w="793" w:type="dxa"/>
            <w:vAlign w:val="center"/>
          </w:tcPr>
          <w:p w14:paraId="390D4C22">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整站施工与调试</w:t>
            </w:r>
          </w:p>
        </w:tc>
        <w:tc>
          <w:tcPr>
            <w:tcW w:w="585" w:type="dxa"/>
            <w:vAlign w:val="center"/>
          </w:tcPr>
          <w:p w14:paraId="4CFB2AC6">
            <w:pPr>
              <w:pStyle w:val="2"/>
              <w:jc w:val="center"/>
              <w:rPr>
                <w:rFonts w:hint="eastAsia" w:ascii="宋体" w:hAnsi="宋体" w:eastAsia="宋体" w:cs="宋体"/>
                <w:color w:val="auto"/>
                <w:sz w:val="20"/>
                <w:szCs w:val="20"/>
                <w:highlight w:val="none"/>
              </w:rPr>
            </w:pPr>
          </w:p>
        </w:tc>
        <w:tc>
          <w:tcPr>
            <w:tcW w:w="735" w:type="dxa"/>
            <w:vAlign w:val="center"/>
          </w:tcPr>
          <w:p w14:paraId="4CA1FC1D">
            <w:pPr>
              <w:pStyle w:val="2"/>
              <w:jc w:val="center"/>
              <w:rPr>
                <w:rFonts w:hint="eastAsia" w:ascii="宋体" w:hAnsi="宋体" w:eastAsia="宋体" w:cs="宋体"/>
                <w:color w:val="auto"/>
                <w:sz w:val="20"/>
                <w:szCs w:val="20"/>
                <w:highlight w:val="none"/>
              </w:rPr>
            </w:pPr>
          </w:p>
        </w:tc>
        <w:tc>
          <w:tcPr>
            <w:tcW w:w="3360" w:type="dxa"/>
            <w:vAlign w:val="center"/>
          </w:tcPr>
          <w:p w14:paraId="5FA576C6">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1.需专业对口的技术工程师进行施工安装调试工作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（3名安装工程师、1名调试工程师）</w:t>
            </w:r>
          </w:p>
        </w:tc>
        <w:tc>
          <w:tcPr>
            <w:tcW w:w="2175" w:type="dxa"/>
            <w:vAlign w:val="center"/>
          </w:tcPr>
          <w:p w14:paraId="191546E0">
            <w:pPr>
              <w:pStyle w:val="2"/>
              <w:jc w:val="center"/>
              <w:rPr>
                <w:rFonts w:hint="eastAsia" w:ascii="宋体" w:hAnsi="宋体" w:eastAsia="宋体" w:cs="宋体"/>
                <w:color w:val="auto"/>
                <w:sz w:val="20"/>
                <w:szCs w:val="20"/>
                <w:highlight w:val="none"/>
              </w:rPr>
            </w:pPr>
          </w:p>
        </w:tc>
        <w:tc>
          <w:tcPr>
            <w:tcW w:w="1020" w:type="dxa"/>
            <w:vAlign w:val="center"/>
          </w:tcPr>
          <w:p w14:paraId="3B0D724C">
            <w:pPr>
              <w:pStyle w:val="2"/>
              <w:jc w:val="center"/>
              <w:rPr>
                <w:rFonts w:hint="eastAsia" w:ascii="宋体" w:hAnsi="宋体" w:eastAsia="宋体" w:cs="宋体"/>
                <w:color w:val="auto"/>
                <w:sz w:val="20"/>
                <w:szCs w:val="20"/>
                <w:highlight w:val="none"/>
              </w:rPr>
            </w:pPr>
          </w:p>
        </w:tc>
        <w:tc>
          <w:tcPr>
            <w:tcW w:w="624" w:type="dxa"/>
            <w:vAlign w:val="center"/>
          </w:tcPr>
          <w:p w14:paraId="01FA7F6C">
            <w:pPr>
              <w:pStyle w:val="2"/>
              <w:jc w:val="center"/>
              <w:rPr>
                <w:rFonts w:hint="eastAsia" w:ascii="宋体" w:hAnsi="宋体" w:eastAsia="宋体" w:cs="宋体"/>
                <w:color w:val="auto"/>
                <w:sz w:val="20"/>
                <w:szCs w:val="20"/>
                <w:highlight w:val="none"/>
              </w:rPr>
            </w:pPr>
          </w:p>
        </w:tc>
      </w:tr>
      <w:tr w14:paraId="19BDD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79B9D024">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793" w:type="dxa"/>
            <w:vAlign w:val="center"/>
          </w:tcPr>
          <w:p w14:paraId="7C8DEADD">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运维服务</w:t>
            </w:r>
          </w:p>
        </w:tc>
        <w:tc>
          <w:tcPr>
            <w:tcW w:w="585" w:type="dxa"/>
            <w:vAlign w:val="center"/>
          </w:tcPr>
          <w:p w14:paraId="2FBCFEC8">
            <w:pPr>
              <w:pStyle w:val="2"/>
              <w:jc w:val="center"/>
              <w:rPr>
                <w:rFonts w:hint="eastAsia" w:ascii="宋体" w:hAnsi="宋体" w:eastAsia="宋体" w:cs="宋体"/>
                <w:color w:val="auto"/>
                <w:sz w:val="20"/>
                <w:szCs w:val="20"/>
                <w:highlight w:val="none"/>
              </w:rPr>
            </w:pPr>
          </w:p>
        </w:tc>
        <w:tc>
          <w:tcPr>
            <w:tcW w:w="735" w:type="dxa"/>
            <w:vAlign w:val="center"/>
          </w:tcPr>
          <w:p w14:paraId="51E63230">
            <w:pPr>
              <w:pStyle w:val="2"/>
              <w:jc w:val="center"/>
              <w:rPr>
                <w:rFonts w:hint="eastAsia" w:ascii="宋体" w:hAnsi="宋体" w:eastAsia="宋体" w:cs="宋体"/>
                <w:color w:val="auto"/>
                <w:sz w:val="20"/>
                <w:szCs w:val="20"/>
                <w:highlight w:val="none"/>
              </w:rPr>
            </w:pPr>
          </w:p>
        </w:tc>
        <w:tc>
          <w:tcPr>
            <w:tcW w:w="3360" w:type="dxa"/>
            <w:vAlign w:val="center"/>
          </w:tcPr>
          <w:p w14:paraId="6E643351">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1.需专业对口的技术工程师进行每月巡检运维</w:t>
            </w:r>
          </w:p>
        </w:tc>
        <w:tc>
          <w:tcPr>
            <w:tcW w:w="2175" w:type="dxa"/>
            <w:vAlign w:val="center"/>
          </w:tcPr>
          <w:p w14:paraId="4BEB0B65">
            <w:pPr>
              <w:pStyle w:val="2"/>
              <w:jc w:val="center"/>
              <w:rPr>
                <w:rFonts w:hint="eastAsia" w:ascii="宋体" w:hAnsi="宋体" w:eastAsia="宋体" w:cs="宋体"/>
                <w:color w:val="auto"/>
                <w:sz w:val="20"/>
                <w:szCs w:val="20"/>
                <w:highlight w:val="none"/>
              </w:rPr>
            </w:pPr>
          </w:p>
        </w:tc>
        <w:tc>
          <w:tcPr>
            <w:tcW w:w="1020" w:type="dxa"/>
            <w:vAlign w:val="center"/>
          </w:tcPr>
          <w:p w14:paraId="41FD595F">
            <w:pPr>
              <w:pStyle w:val="2"/>
              <w:jc w:val="center"/>
              <w:rPr>
                <w:rFonts w:hint="eastAsia" w:ascii="宋体" w:hAnsi="宋体" w:eastAsia="宋体" w:cs="宋体"/>
                <w:color w:val="auto"/>
                <w:sz w:val="20"/>
                <w:szCs w:val="20"/>
                <w:highlight w:val="none"/>
              </w:rPr>
            </w:pPr>
          </w:p>
        </w:tc>
        <w:tc>
          <w:tcPr>
            <w:tcW w:w="624" w:type="dxa"/>
            <w:vAlign w:val="center"/>
          </w:tcPr>
          <w:p w14:paraId="7324EB56">
            <w:pPr>
              <w:pStyle w:val="2"/>
              <w:jc w:val="center"/>
              <w:rPr>
                <w:rFonts w:hint="eastAsia" w:ascii="宋体" w:hAnsi="宋体" w:eastAsia="宋体" w:cs="宋体"/>
                <w:color w:val="auto"/>
                <w:sz w:val="20"/>
                <w:szCs w:val="20"/>
                <w:highlight w:val="none"/>
              </w:rPr>
            </w:pPr>
          </w:p>
        </w:tc>
      </w:tr>
      <w:tr w14:paraId="6977E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7D943BDE">
            <w:pPr>
              <w:keepNext w:val="0"/>
              <w:keepLines w:val="0"/>
              <w:widowControl/>
              <w:suppressLineNumbers w:val="0"/>
              <w:jc w:val="left"/>
              <w:textAlignment w:val="center"/>
              <w:rPr>
                <w:rFonts w:hint="eastAsia" w:ascii="宋体" w:hAnsi="宋体" w:eastAsia="宋体" w:cs="宋体"/>
                <w:color w:val="auto"/>
                <w:sz w:val="20"/>
                <w:szCs w:val="20"/>
                <w:highlight w:val="none"/>
                <w:lang w:val="en-US" w:eastAsia="zh-CN"/>
              </w:rPr>
            </w:pPr>
            <w:r>
              <w:rPr>
                <w:rFonts w:hint="eastAsia" w:ascii="宋体" w:hAnsi="宋体" w:eastAsia="宋体" w:cs="宋体"/>
                <w:i w:val="0"/>
                <w:iCs w:val="0"/>
                <w:color w:val="000000"/>
                <w:kern w:val="0"/>
                <w:sz w:val="20"/>
                <w:szCs w:val="20"/>
                <w:highlight w:val="none"/>
                <w:u w:val="none"/>
                <w:lang w:val="en-US" w:eastAsia="zh-CN" w:bidi="ar"/>
              </w:rPr>
              <w:t>11</w:t>
            </w:r>
          </w:p>
        </w:tc>
        <w:tc>
          <w:tcPr>
            <w:tcW w:w="793" w:type="dxa"/>
            <w:vAlign w:val="center"/>
          </w:tcPr>
          <w:p w14:paraId="2BE2A301">
            <w:pPr>
              <w:pStyle w:val="2"/>
              <w:jc w:val="center"/>
              <w:rPr>
                <w:rFonts w:hint="eastAsia" w:ascii="宋体" w:hAnsi="宋体" w:eastAsia="宋体" w:cs="宋体"/>
                <w:color w:val="auto"/>
                <w:sz w:val="20"/>
                <w:szCs w:val="20"/>
                <w:highlight w:val="none"/>
              </w:rPr>
            </w:pPr>
            <w:r>
              <w:rPr>
                <w:rFonts w:hint="eastAsia" w:hAnsi="宋体" w:eastAsia="宋体" w:cs="宋体"/>
                <w:color w:val="auto"/>
                <w:sz w:val="20"/>
                <w:szCs w:val="20"/>
                <w:highlight w:val="none"/>
                <w:lang w:val="en-US" w:eastAsia="zh-CN"/>
              </w:rPr>
              <w:t>30米三柱圆钢</w:t>
            </w:r>
            <w:r>
              <w:rPr>
                <w:rFonts w:hint="eastAsia" w:ascii="宋体" w:hAnsi="宋体" w:eastAsia="宋体" w:cs="宋体"/>
                <w:color w:val="auto"/>
                <w:sz w:val="20"/>
                <w:szCs w:val="20"/>
                <w:highlight w:val="none"/>
              </w:rPr>
              <w:t>避雷塔</w:t>
            </w:r>
          </w:p>
        </w:tc>
        <w:tc>
          <w:tcPr>
            <w:tcW w:w="585" w:type="dxa"/>
            <w:vAlign w:val="center"/>
          </w:tcPr>
          <w:p w14:paraId="1A32617E">
            <w:pPr>
              <w:pStyle w:val="2"/>
              <w:jc w:val="center"/>
              <w:rPr>
                <w:rFonts w:hint="eastAsia" w:ascii="宋体" w:hAnsi="宋体" w:eastAsia="宋体" w:cs="宋体"/>
                <w:color w:val="auto"/>
                <w:sz w:val="20"/>
                <w:szCs w:val="20"/>
                <w:highlight w:val="none"/>
              </w:rPr>
            </w:pPr>
          </w:p>
        </w:tc>
        <w:tc>
          <w:tcPr>
            <w:tcW w:w="735" w:type="dxa"/>
            <w:vAlign w:val="center"/>
          </w:tcPr>
          <w:p w14:paraId="1E8DF4A1">
            <w:pPr>
              <w:pStyle w:val="2"/>
              <w:jc w:val="center"/>
              <w:rPr>
                <w:rFonts w:hint="eastAsia" w:ascii="宋体" w:hAnsi="宋体" w:eastAsia="宋体" w:cs="宋体"/>
                <w:color w:val="auto"/>
                <w:sz w:val="20"/>
                <w:szCs w:val="20"/>
                <w:highlight w:val="none"/>
              </w:rPr>
            </w:pPr>
          </w:p>
        </w:tc>
        <w:tc>
          <w:tcPr>
            <w:tcW w:w="3360" w:type="dxa"/>
            <w:shd w:val="clear" w:color="auto" w:fill="auto"/>
            <w:vAlign w:val="center"/>
          </w:tcPr>
          <w:p w14:paraId="58A2C4D6">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SA"/>
              </w:rPr>
            </w:pPr>
            <w:r>
              <w:rPr>
                <w:rFonts w:hint="eastAsia" w:ascii="宋体" w:hAnsi="宋体" w:eastAsia="宋体" w:cs="宋体"/>
                <w:i w:val="0"/>
                <w:iCs w:val="0"/>
                <w:snapToGrid w:val="0"/>
                <w:color w:val="000000"/>
                <w:kern w:val="0"/>
                <w:sz w:val="20"/>
                <w:szCs w:val="20"/>
                <w:u w:val="none"/>
                <w:lang w:val="en-US" w:eastAsia="zh-CN" w:bidi="ar"/>
              </w:rPr>
              <w:t>1.钢材采用Q235B材质。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2.设计风压:0.7KN</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 xml:space="preserve">   抗震烈度:8°</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 xml:space="preserve">   适宜温度:-35°-+55°C</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 xml:space="preserve">   垂直度:1/1000</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 xml:space="preserve">   裹冰:8MM</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3.塔体构件热镀锌防腐。</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4.设计两层拉线，每层3根。</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钢桩基础</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1.钢材采用Q235B材质;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 xml:space="preserve">  构件镀锌防腐处理;</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2.基础立柱中心位置偏差为士10mm;</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 xml:space="preserve">  顶面水平偏差为士5mm</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3.未注明焊缝高不小于6mm;</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4.基础承载力特征值fa=130KN/m2。</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 xml:space="preserve"> 拉锚</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1.地锚拉杆采用热镀锌防腐。</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2.钢材采用Q235。</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3.焊条采用E4303，焊缝高度不低于6mm。</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5.回填土时必须严格按300mm一层分层夯实.夯实后干容重不大于1.6吨/m³，并在表面上做5%散水坡。</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6.混凝土为C30.钢筋保护层为50mm。</w:t>
            </w:r>
          </w:p>
        </w:tc>
        <w:tc>
          <w:tcPr>
            <w:tcW w:w="2175" w:type="dxa"/>
            <w:vAlign w:val="center"/>
          </w:tcPr>
          <w:p w14:paraId="2A836B6E">
            <w:pPr>
              <w:pStyle w:val="2"/>
              <w:jc w:val="center"/>
              <w:rPr>
                <w:rFonts w:hint="eastAsia" w:ascii="宋体" w:hAnsi="宋体" w:eastAsia="宋体" w:cs="宋体"/>
                <w:color w:val="auto"/>
                <w:sz w:val="20"/>
                <w:szCs w:val="20"/>
                <w:highlight w:val="none"/>
              </w:rPr>
            </w:pPr>
          </w:p>
        </w:tc>
        <w:tc>
          <w:tcPr>
            <w:tcW w:w="1020" w:type="dxa"/>
            <w:vAlign w:val="center"/>
          </w:tcPr>
          <w:p w14:paraId="19CA5C0B">
            <w:pPr>
              <w:pStyle w:val="2"/>
              <w:jc w:val="center"/>
              <w:rPr>
                <w:rFonts w:hint="eastAsia" w:ascii="宋体" w:hAnsi="宋体" w:eastAsia="宋体" w:cs="宋体"/>
                <w:color w:val="auto"/>
                <w:sz w:val="20"/>
                <w:szCs w:val="20"/>
                <w:highlight w:val="none"/>
              </w:rPr>
            </w:pPr>
          </w:p>
        </w:tc>
        <w:tc>
          <w:tcPr>
            <w:tcW w:w="624" w:type="dxa"/>
            <w:vAlign w:val="center"/>
          </w:tcPr>
          <w:p w14:paraId="08791900">
            <w:pPr>
              <w:pStyle w:val="2"/>
              <w:jc w:val="center"/>
              <w:rPr>
                <w:rFonts w:hint="eastAsia" w:ascii="宋体" w:hAnsi="宋体" w:eastAsia="宋体" w:cs="宋体"/>
                <w:color w:val="auto"/>
                <w:sz w:val="20"/>
                <w:szCs w:val="20"/>
                <w:highlight w:val="none"/>
              </w:rPr>
            </w:pPr>
          </w:p>
        </w:tc>
      </w:tr>
      <w:tr w14:paraId="3237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7" w:type="dxa"/>
            <w:vAlign w:val="center"/>
          </w:tcPr>
          <w:p w14:paraId="46FA0AFC">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c>
          <w:tcPr>
            <w:tcW w:w="793" w:type="dxa"/>
            <w:vAlign w:val="center"/>
          </w:tcPr>
          <w:p w14:paraId="2BE985ED">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接地网</w:t>
            </w:r>
          </w:p>
        </w:tc>
        <w:tc>
          <w:tcPr>
            <w:tcW w:w="585" w:type="dxa"/>
            <w:vAlign w:val="center"/>
          </w:tcPr>
          <w:p w14:paraId="7E70AED4">
            <w:pPr>
              <w:pStyle w:val="2"/>
              <w:jc w:val="center"/>
              <w:rPr>
                <w:rFonts w:hint="eastAsia" w:ascii="宋体" w:hAnsi="宋体" w:eastAsia="宋体" w:cs="宋体"/>
                <w:color w:val="auto"/>
                <w:sz w:val="20"/>
                <w:szCs w:val="20"/>
                <w:highlight w:val="none"/>
              </w:rPr>
            </w:pPr>
          </w:p>
        </w:tc>
        <w:tc>
          <w:tcPr>
            <w:tcW w:w="735" w:type="dxa"/>
            <w:vAlign w:val="center"/>
          </w:tcPr>
          <w:p w14:paraId="2C623FA7">
            <w:pPr>
              <w:pStyle w:val="2"/>
              <w:jc w:val="center"/>
              <w:rPr>
                <w:rFonts w:hint="eastAsia" w:ascii="宋体" w:hAnsi="宋体" w:eastAsia="宋体" w:cs="宋体"/>
                <w:color w:val="auto"/>
                <w:sz w:val="20"/>
                <w:szCs w:val="20"/>
                <w:highlight w:val="none"/>
              </w:rPr>
            </w:pPr>
          </w:p>
        </w:tc>
        <w:tc>
          <w:tcPr>
            <w:tcW w:w="3360" w:type="dxa"/>
            <w:shd w:val="clear" w:color="auto" w:fill="auto"/>
            <w:vAlign w:val="center"/>
          </w:tcPr>
          <w:p w14:paraId="25B5F63F">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1、防雷接地网宜和基础一起施工。</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2、接地网埋深度不小于700mm。</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3、件号3上端与塔地脚板焊接，下端与水平接地带和就近一根接地极焊接。焊缝长度不小于100mm，焊缝高度5mm。</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4、接地电阻不得大于10欧姆。如不能满足要求时，根据现场另行设计。</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5、防雷接地网可根据实际地形放置。</w:t>
            </w:r>
          </w:p>
        </w:tc>
        <w:tc>
          <w:tcPr>
            <w:tcW w:w="2175" w:type="dxa"/>
            <w:vAlign w:val="center"/>
          </w:tcPr>
          <w:p w14:paraId="5C5C1B3F">
            <w:pPr>
              <w:pStyle w:val="2"/>
              <w:jc w:val="center"/>
              <w:rPr>
                <w:rFonts w:hint="eastAsia" w:ascii="宋体" w:hAnsi="宋体" w:eastAsia="宋体" w:cs="宋体"/>
                <w:color w:val="auto"/>
                <w:sz w:val="20"/>
                <w:szCs w:val="20"/>
                <w:highlight w:val="none"/>
              </w:rPr>
            </w:pPr>
          </w:p>
        </w:tc>
        <w:tc>
          <w:tcPr>
            <w:tcW w:w="1020" w:type="dxa"/>
            <w:vAlign w:val="center"/>
          </w:tcPr>
          <w:p w14:paraId="75291E37">
            <w:pPr>
              <w:pStyle w:val="2"/>
              <w:jc w:val="center"/>
              <w:rPr>
                <w:rFonts w:hint="eastAsia" w:ascii="宋体" w:hAnsi="宋体" w:eastAsia="宋体" w:cs="宋体"/>
                <w:color w:val="auto"/>
                <w:sz w:val="20"/>
                <w:szCs w:val="20"/>
                <w:highlight w:val="none"/>
              </w:rPr>
            </w:pPr>
          </w:p>
        </w:tc>
        <w:tc>
          <w:tcPr>
            <w:tcW w:w="624" w:type="dxa"/>
            <w:vAlign w:val="center"/>
          </w:tcPr>
          <w:p w14:paraId="0C6D907E">
            <w:pPr>
              <w:pStyle w:val="2"/>
              <w:jc w:val="center"/>
              <w:rPr>
                <w:rFonts w:hint="eastAsia" w:ascii="宋体" w:hAnsi="宋体" w:eastAsia="宋体" w:cs="宋体"/>
                <w:color w:val="auto"/>
                <w:sz w:val="20"/>
                <w:szCs w:val="20"/>
                <w:highlight w:val="none"/>
              </w:rPr>
            </w:pPr>
          </w:p>
        </w:tc>
      </w:tr>
      <w:tr w14:paraId="04C5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09165D3A">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w:t>
            </w:r>
          </w:p>
        </w:tc>
        <w:tc>
          <w:tcPr>
            <w:tcW w:w="793" w:type="dxa"/>
            <w:vAlign w:val="center"/>
          </w:tcPr>
          <w:p w14:paraId="657C5713">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定制警示牌</w:t>
            </w:r>
          </w:p>
        </w:tc>
        <w:tc>
          <w:tcPr>
            <w:tcW w:w="585" w:type="dxa"/>
            <w:vAlign w:val="center"/>
          </w:tcPr>
          <w:p w14:paraId="6FCC7B57">
            <w:pPr>
              <w:pStyle w:val="2"/>
              <w:jc w:val="center"/>
              <w:rPr>
                <w:rFonts w:hint="eastAsia" w:ascii="宋体" w:hAnsi="宋体" w:eastAsia="宋体" w:cs="宋体"/>
                <w:color w:val="auto"/>
                <w:sz w:val="20"/>
                <w:szCs w:val="20"/>
                <w:highlight w:val="none"/>
              </w:rPr>
            </w:pPr>
          </w:p>
        </w:tc>
        <w:tc>
          <w:tcPr>
            <w:tcW w:w="735" w:type="dxa"/>
            <w:vAlign w:val="center"/>
          </w:tcPr>
          <w:p w14:paraId="45AA302A">
            <w:pPr>
              <w:pStyle w:val="2"/>
              <w:jc w:val="center"/>
              <w:rPr>
                <w:rFonts w:hint="eastAsia" w:ascii="宋体" w:hAnsi="宋体" w:eastAsia="宋体" w:cs="宋体"/>
                <w:color w:val="auto"/>
                <w:sz w:val="20"/>
                <w:szCs w:val="20"/>
                <w:highlight w:val="none"/>
              </w:rPr>
            </w:pPr>
          </w:p>
        </w:tc>
        <w:tc>
          <w:tcPr>
            <w:tcW w:w="3360" w:type="dxa"/>
            <w:vAlign w:val="center"/>
          </w:tcPr>
          <w:p w14:paraId="531D4E7C">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（1）材质：304不锈钢。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（2）规格：不低于600mm×300mm,厚度不低于3mm。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（3）工艺要求：定制，蚀刻字体“雷雨天气，请勿靠近”，字体印刷颜色为红、黑、蓝三色烤漆，打孔不低于4个，表面整洁、无划痕。</w:t>
            </w:r>
          </w:p>
        </w:tc>
        <w:tc>
          <w:tcPr>
            <w:tcW w:w="2175" w:type="dxa"/>
            <w:vAlign w:val="center"/>
          </w:tcPr>
          <w:p w14:paraId="5D316CC4">
            <w:pPr>
              <w:pStyle w:val="2"/>
              <w:jc w:val="center"/>
              <w:rPr>
                <w:rFonts w:hint="eastAsia" w:ascii="宋体" w:hAnsi="宋体" w:eastAsia="宋体" w:cs="宋体"/>
                <w:color w:val="auto"/>
                <w:sz w:val="20"/>
                <w:szCs w:val="20"/>
                <w:highlight w:val="none"/>
              </w:rPr>
            </w:pPr>
          </w:p>
        </w:tc>
        <w:tc>
          <w:tcPr>
            <w:tcW w:w="1020" w:type="dxa"/>
            <w:vAlign w:val="center"/>
          </w:tcPr>
          <w:p w14:paraId="492EB2DB">
            <w:pPr>
              <w:pStyle w:val="2"/>
              <w:jc w:val="center"/>
              <w:rPr>
                <w:rFonts w:hint="eastAsia" w:ascii="宋体" w:hAnsi="宋体" w:eastAsia="宋体" w:cs="宋体"/>
                <w:color w:val="auto"/>
                <w:sz w:val="20"/>
                <w:szCs w:val="20"/>
                <w:highlight w:val="none"/>
              </w:rPr>
            </w:pPr>
          </w:p>
        </w:tc>
        <w:tc>
          <w:tcPr>
            <w:tcW w:w="624" w:type="dxa"/>
            <w:vAlign w:val="center"/>
          </w:tcPr>
          <w:p w14:paraId="2FB78889">
            <w:pPr>
              <w:pStyle w:val="2"/>
              <w:jc w:val="center"/>
              <w:rPr>
                <w:rFonts w:hint="eastAsia" w:ascii="宋体" w:hAnsi="宋体" w:eastAsia="宋体" w:cs="宋体"/>
                <w:color w:val="auto"/>
                <w:sz w:val="20"/>
                <w:szCs w:val="20"/>
                <w:highlight w:val="none"/>
              </w:rPr>
            </w:pPr>
          </w:p>
        </w:tc>
      </w:tr>
      <w:tr w14:paraId="2A62E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5C487AF0">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w:t>
            </w:r>
          </w:p>
        </w:tc>
        <w:tc>
          <w:tcPr>
            <w:tcW w:w="793" w:type="dxa"/>
            <w:vAlign w:val="center"/>
          </w:tcPr>
          <w:p w14:paraId="7B9185CF">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整体需求</w:t>
            </w:r>
          </w:p>
        </w:tc>
        <w:tc>
          <w:tcPr>
            <w:tcW w:w="585" w:type="dxa"/>
            <w:vAlign w:val="center"/>
          </w:tcPr>
          <w:p w14:paraId="1F00339A">
            <w:pPr>
              <w:pStyle w:val="2"/>
              <w:jc w:val="center"/>
              <w:rPr>
                <w:rFonts w:hint="eastAsia" w:ascii="宋体" w:hAnsi="宋体" w:eastAsia="宋体" w:cs="宋体"/>
                <w:color w:val="auto"/>
                <w:sz w:val="20"/>
                <w:szCs w:val="20"/>
                <w:highlight w:val="none"/>
              </w:rPr>
            </w:pPr>
          </w:p>
        </w:tc>
        <w:tc>
          <w:tcPr>
            <w:tcW w:w="735" w:type="dxa"/>
            <w:vAlign w:val="center"/>
          </w:tcPr>
          <w:p w14:paraId="6BC2FD49">
            <w:pPr>
              <w:pStyle w:val="2"/>
              <w:jc w:val="center"/>
              <w:rPr>
                <w:rFonts w:hint="eastAsia" w:ascii="宋体" w:hAnsi="宋体" w:eastAsia="宋体" w:cs="宋体"/>
                <w:color w:val="auto"/>
                <w:sz w:val="20"/>
                <w:szCs w:val="20"/>
                <w:highlight w:val="none"/>
              </w:rPr>
            </w:pPr>
          </w:p>
        </w:tc>
        <w:tc>
          <w:tcPr>
            <w:tcW w:w="3360" w:type="dxa"/>
            <w:shd w:val="clear" w:color="auto" w:fill="auto"/>
            <w:vAlign w:val="center"/>
          </w:tcPr>
          <w:p w14:paraId="28FC72E2">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（1）垂直度控制：安装过程中实时检测塔体垂直度，偏差控制在≤1/1000，安装完成后再次复核；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（2）施工安全：园区施工需避开人员高峰期，施工人员佩戴安全防护用品，严格遵守园区安全管理规定，禁止违规操作。</w:t>
            </w:r>
          </w:p>
        </w:tc>
        <w:tc>
          <w:tcPr>
            <w:tcW w:w="2175" w:type="dxa"/>
            <w:vAlign w:val="center"/>
          </w:tcPr>
          <w:p w14:paraId="66C95084">
            <w:pPr>
              <w:pStyle w:val="2"/>
              <w:jc w:val="center"/>
              <w:rPr>
                <w:rFonts w:hint="eastAsia" w:ascii="宋体" w:hAnsi="宋体" w:eastAsia="宋体" w:cs="宋体"/>
                <w:color w:val="auto"/>
                <w:sz w:val="20"/>
                <w:szCs w:val="20"/>
                <w:highlight w:val="none"/>
              </w:rPr>
            </w:pPr>
          </w:p>
        </w:tc>
        <w:tc>
          <w:tcPr>
            <w:tcW w:w="1020" w:type="dxa"/>
            <w:vAlign w:val="center"/>
          </w:tcPr>
          <w:p w14:paraId="76E94232">
            <w:pPr>
              <w:pStyle w:val="2"/>
              <w:jc w:val="center"/>
              <w:rPr>
                <w:rFonts w:hint="eastAsia" w:ascii="宋体" w:hAnsi="宋体" w:eastAsia="宋体" w:cs="宋体"/>
                <w:color w:val="auto"/>
                <w:sz w:val="20"/>
                <w:szCs w:val="20"/>
                <w:highlight w:val="none"/>
              </w:rPr>
            </w:pPr>
          </w:p>
        </w:tc>
        <w:tc>
          <w:tcPr>
            <w:tcW w:w="624" w:type="dxa"/>
            <w:vAlign w:val="center"/>
          </w:tcPr>
          <w:p w14:paraId="69E16BCA">
            <w:pPr>
              <w:pStyle w:val="2"/>
              <w:jc w:val="center"/>
              <w:rPr>
                <w:rFonts w:hint="eastAsia" w:ascii="宋体" w:hAnsi="宋体" w:eastAsia="宋体" w:cs="宋体"/>
                <w:color w:val="auto"/>
                <w:sz w:val="20"/>
                <w:szCs w:val="20"/>
                <w:highlight w:val="none"/>
              </w:rPr>
            </w:pPr>
          </w:p>
        </w:tc>
      </w:tr>
      <w:tr w14:paraId="0400B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440BC4D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w:t>
            </w:r>
          </w:p>
        </w:tc>
        <w:tc>
          <w:tcPr>
            <w:tcW w:w="793" w:type="dxa"/>
            <w:vAlign w:val="center"/>
          </w:tcPr>
          <w:p w14:paraId="0EBDEA37">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运维服务</w:t>
            </w:r>
          </w:p>
        </w:tc>
        <w:tc>
          <w:tcPr>
            <w:tcW w:w="585" w:type="dxa"/>
            <w:vAlign w:val="center"/>
          </w:tcPr>
          <w:p w14:paraId="7A4D1984">
            <w:pPr>
              <w:pStyle w:val="2"/>
              <w:jc w:val="center"/>
              <w:rPr>
                <w:rFonts w:hint="eastAsia" w:ascii="宋体" w:hAnsi="宋体" w:eastAsia="宋体" w:cs="宋体"/>
                <w:color w:val="auto"/>
                <w:sz w:val="20"/>
                <w:szCs w:val="20"/>
                <w:highlight w:val="none"/>
              </w:rPr>
            </w:pPr>
          </w:p>
        </w:tc>
        <w:tc>
          <w:tcPr>
            <w:tcW w:w="735" w:type="dxa"/>
            <w:vAlign w:val="center"/>
          </w:tcPr>
          <w:p w14:paraId="57722492">
            <w:pPr>
              <w:pStyle w:val="2"/>
              <w:jc w:val="center"/>
              <w:rPr>
                <w:rFonts w:hint="eastAsia" w:ascii="宋体" w:hAnsi="宋体" w:eastAsia="宋体" w:cs="宋体"/>
                <w:color w:val="auto"/>
                <w:sz w:val="20"/>
                <w:szCs w:val="20"/>
                <w:highlight w:val="none"/>
              </w:rPr>
            </w:pPr>
          </w:p>
        </w:tc>
        <w:tc>
          <w:tcPr>
            <w:tcW w:w="3360" w:type="dxa"/>
            <w:vAlign w:val="center"/>
          </w:tcPr>
          <w:p w14:paraId="7A45428A">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1.需专业对口的技术工程师进行每月巡检运维</w:t>
            </w:r>
          </w:p>
        </w:tc>
        <w:tc>
          <w:tcPr>
            <w:tcW w:w="2175" w:type="dxa"/>
            <w:vAlign w:val="center"/>
          </w:tcPr>
          <w:p w14:paraId="3C6858E4">
            <w:pPr>
              <w:pStyle w:val="2"/>
              <w:jc w:val="center"/>
              <w:rPr>
                <w:rFonts w:hint="eastAsia" w:ascii="宋体" w:hAnsi="宋体" w:eastAsia="宋体" w:cs="宋体"/>
                <w:color w:val="auto"/>
                <w:sz w:val="20"/>
                <w:szCs w:val="20"/>
                <w:highlight w:val="none"/>
              </w:rPr>
            </w:pPr>
          </w:p>
        </w:tc>
        <w:tc>
          <w:tcPr>
            <w:tcW w:w="1020" w:type="dxa"/>
            <w:vAlign w:val="center"/>
          </w:tcPr>
          <w:p w14:paraId="449D05E7">
            <w:pPr>
              <w:pStyle w:val="2"/>
              <w:jc w:val="center"/>
              <w:rPr>
                <w:rFonts w:hint="eastAsia" w:ascii="宋体" w:hAnsi="宋体" w:eastAsia="宋体" w:cs="宋体"/>
                <w:color w:val="auto"/>
                <w:sz w:val="20"/>
                <w:szCs w:val="20"/>
                <w:highlight w:val="none"/>
              </w:rPr>
            </w:pPr>
          </w:p>
        </w:tc>
        <w:tc>
          <w:tcPr>
            <w:tcW w:w="624" w:type="dxa"/>
            <w:vAlign w:val="center"/>
          </w:tcPr>
          <w:p w14:paraId="69674412">
            <w:pPr>
              <w:pStyle w:val="2"/>
              <w:jc w:val="center"/>
              <w:rPr>
                <w:rFonts w:hint="eastAsia" w:ascii="宋体" w:hAnsi="宋体" w:eastAsia="宋体" w:cs="宋体"/>
                <w:color w:val="auto"/>
                <w:sz w:val="20"/>
                <w:szCs w:val="20"/>
                <w:highlight w:val="none"/>
              </w:rPr>
            </w:pPr>
          </w:p>
        </w:tc>
      </w:tr>
    </w:tbl>
    <w:p w14:paraId="0B2E823D">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p>
    <w:p w14:paraId="408B6037">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p>
    <w:p w14:paraId="774A0C81">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r>
        <w:rPr>
          <w:rFonts w:hint="eastAsia"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项目编号：</w:t>
      </w:r>
    </w:p>
    <w:tbl>
      <w:tblPr>
        <w:tblStyle w:val="3"/>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
        <w:gridCol w:w="793"/>
        <w:gridCol w:w="585"/>
        <w:gridCol w:w="735"/>
        <w:gridCol w:w="3600"/>
        <w:gridCol w:w="1935"/>
        <w:gridCol w:w="1020"/>
        <w:gridCol w:w="624"/>
      </w:tblGrid>
      <w:tr w14:paraId="09A64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1F715564">
            <w:pPr>
              <w:pStyle w:val="2"/>
              <w:jc w:val="center"/>
              <w:rPr>
                <w:rFonts w:hint="eastAsia" w:ascii="宋体" w:hAnsi="宋体" w:eastAsia="宋体" w:cs="宋体"/>
                <w:color w:val="auto"/>
                <w:sz w:val="20"/>
                <w:szCs w:val="20"/>
                <w:highlight w:val="none"/>
                <w:lang w:val="en-US" w:eastAsia="zh-CN"/>
              </w:rPr>
            </w:pPr>
            <w:r>
              <w:rPr>
                <w:rFonts w:hint="eastAsia" w:hAnsi="宋体" w:eastAsia="宋体" w:cs="宋体"/>
                <w:color w:val="auto"/>
                <w:sz w:val="20"/>
                <w:szCs w:val="20"/>
                <w:highlight w:val="none"/>
                <w:lang w:val="en-US" w:eastAsia="zh-CN"/>
              </w:rPr>
              <w:t>1</w:t>
            </w:r>
          </w:p>
        </w:tc>
        <w:tc>
          <w:tcPr>
            <w:tcW w:w="793" w:type="dxa"/>
            <w:vAlign w:val="center"/>
          </w:tcPr>
          <w:p w14:paraId="4A9528A4">
            <w:pPr>
              <w:pStyle w:val="2"/>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数据采集模块</w:t>
            </w:r>
          </w:p>
        </w:tc>
        <w:tc>
          <w:tcPr>
            <w:tcW w:w="585" w:type="dxa"/>
            <w:vAlign w:val="center"/>
          </w:tcPr>
          <w:p w14:paraId="0D8618BF">
            <w:pPr>
              <w:pStyle w:val="2"/>
              <w:jc w:val="center"/>
              <w:rPr>
                <w:rFonts w:hint="eastAsia" w:ascii="宋体" w:hAnsi="宋体" w:eastAsia="宋体" w:cs="宋体"/>
                <w:color w:val="auto"/>
                <w:sz w:val="20"/>
                <w:szCs w:val="20"/>
                <w:highlight w:val="none"/>
              </w:rPr>
            </w:pPr>
          </w:p>
        </w:tc>
        <w:tc>
          <w:tcPr>
            <w:tcW w:w="735" w:type="dxa"/>
            <w:vAlign w:val="center"/>
          </w:tcPr>
          <w:p w14:paraId="18287BCD">
            <w:pPr>
              <w:pStyle w:val="2"/>
              <w:jc w:val="center"/>
              <w:rPr>
                <w:rFonts w:hint="eastAsia" w:ascii="宋体" w:hAnsi="宋体" w:eastAsia="宋体" w:cs="宋体"/>
                <w:color w:val="auto"/>
                <w:sz w:val="20"/>
                <w:szCs w:val="20"/>
                <w:highlight w:val="none"/>
              </w:rPr>
            </w:pPr>
          </w:p>
        </w:tc>
        <w:tc>
          <w:tcPr>
            <w:tcW w:w="3600" w:type="dxa"/>
            <w:shd w:val="clear" w:color="auto" w:fill="auto"/>
            <w:vAlign w:val="center"/>
          </w:tcPr>
          <w:p w14:paraId="4FAA3F96">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（1）数据采集系统同时采用http通信协议和socket数据传输方式。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（2）接收和管理重点地区实时闪电监测数据。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（3）接入基础数据服务和森林资源数据。</w:t>
            </w:r>
          </w:p>
        </w:tc>
        <w:tc>
          <w:tcPr>
            <w:tcW w:w="1935" w:type="dxa"/>
            <w:vAlign w:val="center"/>
          </w:tcPr>
          <w:p w14:paraId="7C3ED7F3">
            <w:pPr>
              <w:pStyle w:val="2"/>
              <w:jc w:val="center"/>
              <w:rPr>
                <w:rFonts w:hint="eastAsia" w:ascii="宋体" w:hAnsi="宋体" w:eastAsia="宋体" w:cs="宋体"/>
                <w:color w:val="auto"/>
                <w:sz w:val="20"/>
                <w:szCs w:val="20"/>
                <w:highlight w:val="none"/>
              </w:rPr>
            </w:pPr>
          </w:p>
        </w:tc>
        <w:tc>
          <w:tcPr>
            <w:tcW w:w="1020" w:type="dxa"/>
            <w:vAlign w:val="center"/>
          </w:tcPr>
          <w:p w14:paraId="6D028BCF">
            <w:pPr>
              <w:pStyle w:val="2"/>
              <w:jc w:val="center"/>
              <w:rPr>
                <w:rFonts w:hint="eastAsia" w:ascii="宋体" w:hAnsi="宋体" w:eastAsia="宋体" w:cs="宋体"/>
                <w:color w:val="auto"/>
                <w:sz w:val="20"/>
                <w:szCs w:val="20"/>
                <w:highlight w:val="none"/>
              </w:rPr>
            </w:pPr>
          </w:p>
        </w:tc>
        <w:tc>
          <w:tcPr>
            <w:tcW w:w="624" w:type="dxa"/>
            <w:vAlign w:val="center"/>
          </w:tcPr>
          <w:p w14:paraId="587C64E3">
            <w:pPr>
              <w:pStyle w:val="2"/>
              <w:jc w:val="center"/>
              <w:rPr>
                <w:rFonts w:hint="eastAsia" w:ascii="宋体" w:hAnsi="宋体" w:eastAsia="宋体" w:cs="宋体"/>
                <w:color w:val="auto"/>
                <w:sz w:val="20"/>
                <w:szCs w:val="20"/>
                <w:highlight w:val="none"/>
              </w:rPr>
            </w:pPr>
          </w:p>
        </w:tc>
      </w:tr>
      <w:tr w14:paraId="17355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2F6F6528">
            <w:pPr>
              <w:pStyle w:val="2"/>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2</w:t>
            </w:r>
          </w:p>
        </w:tc>
        <w:tc>
          <w:tcPr>
            <w:tcW w:w="793" w:type="dxa"/>
            <w:vAlign w:val="center"/>
          </w:tcPr>
          <w:p w14:paraId="764DB5A9">
            <w:pPr>
              <w:pStyle w:val="2"/>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数据整理与维护模块</w:t>
            </w:r>
          </w:p>
        </w:tc>
        <w:tc>
          <w:tcPr>
            <w:tcW w:w="585" w:type="dxa"/>
            <w:vAlign w:val="center"/>
          </w:tcPr>
          <w:p w14:paraId="30D0D4DA">
            <w:pPr>
              <w:pStyle w:val="2"/>
              <w:jc w:val="center"/>
              <w:rPr>
                <w:rFonts w:hint="eastAsia" w:ascii="宋体" w:hAnsi="宋体" w:eastAsia="宋体" w:cs="宋体"/>
                <w:color w:val="auto"/>
                <w:sz w:val="20"/>
                <w:szCs w:val="20"/>
                <w:highlight w:val="none"/>
              </w:rPr>
            </w:pPr>
          </w:p>
        </w:tc>
        <w:tc>
          <w:tcPr>
            <w:tcW w:w="735" w:type="dxa"/>
            <w:vAlign w:val="center"/>
          </w:tcPr>
          <w:p w14:paraId="06763813">
            <w:pPr>
              <w:pStyle w:val="2"/>
              <w:jc w:val="center"/>
              <w:rPr>
                <w:rFonts w:hint="eastAsia" w:ascii="宋体" w:hAnsi="宋体" w:eastAsia="宋体" w:cs="宋体"/>
                <w:color w:val="auto"/>
                <w:sz w:val="20"/>
                <w:szCs w:val="20"/>
                <w:highlight w:val="none"/>
              </w:rPr>
            </w:pPr>
          </w:p>
        </w:tc>
        <w:tc>
          <w:tcPr>
            <w:tcW w:w="3600" w:type="dxa"/>
            <w:shd w:val="clear" w:color="auto" w:fill="auto"/>
            <w:vAlign w:val="center"/>
          </w:tcPr>
          <w:p w14:paraId="0FE73629">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对采集和接入的数据进行治理和整合，同时提供数据质量检验及统一的存储管理功能，为森林雷击火预警业务提供数据的存储、管理、发布服务，可为陕西地区以及指定重点地区森林雷击火预警等提供大数据资源服务。主要包括数据接入整合、数据接收策略自定义、数据完整性检验、数据编目、数据入库准备、数据归档入库、数据资源分类管理、产品目录等功能。</w:t>
            </w:r>
          </w:p>
        </w:tc>
        <w:tc>
          <w:tcPr>
            <w:tcW w:w="1935" w:type="dxa"/>
            <w:vAlign w:val="center"/>
          </w:tcPr>
          <w:p w14:paraId="3641C5FE">
            <w:pPr>
              <w:pStyle w:val="2"/>
              <w:jc w:val="center"/>
              <w:rPr>
                <w:rFonts w:hint="eastAsia" w:ascii="宋体" w:hAnsi="宋体" w:eastAsia="宋体" w:cs="宋体"/>
                <w:color w:val="auto"/>
                <w:sz w:val="20"/>
                <w:szCs w:val="20"/>
                <w:highlight w:val="none"/>
              </w:rPr>
            </w:pPr>
          </w:p>
        </w:tc>
        <w:tc>
          <w:tcPr>
            <w:tcW w:w="1020" w:type="dxa"/>
            <w:vAlign w:val="center"/>
          </w:tcPr>
          <w:p w14:paraId="6CB78E11">
            <w:pPr>
              <w:pStyle w:val="2"/>
              <w:jc w:val="center"/>
              <w:rPr>
                <w:rFonts w:hint="eastAsia" w:ascii="宋体" w:hAnsi="宋体" w:eastAsia="宋体" w:cs="宋体"/>
                <w:color w:val="auto"/>
                <w:sz w:val="20"/>
                <w:szCs w:val="20"/>
                <w:highlight w:val="none"/>
              </w:rPr>
            </w:pPr>
          </w:p>
        </w:tc>
        <w:tc>
          <w:tcPr>
            <w:tcW w:w="624" w:type="dxa"/>
            <w:vAlign w:val="center"/>
          </w:tcPr>
          <w:p w14:paraId="1DD1803E">
            <w:pPr>
              <w:pStyle w:val="2"/>
              <w:jc w:val="center"/>
              <w:rPr>
                <w:rFonts w:hint="eastAsia" w:ascii="宋体" w:hAnsi="宋体" w:eastAsia="宋体" w:cs="宋体"/>
                <w:color w:val="auto"/>
                <w:sz w:val="20"/>
                <w:szCs w:val="20"/>
                <w:highlight w:val="none"/>
              </w:rPr>
            </w:pPr>
          </w:p>
        </w:tc>
      </w:tr>
      <w:tr w14:paraId="5A764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2C9DE521">
            <w:pPr>
              <w:pStyle w:val="2"/>
              <w:jc w:val="center"/>
              <w:rPr>
                <w:rFonts w:hint="eastAsia" w:ascii="宋体" w:hAnsi="宋体" w:eastAsia="宋体" w:cs="宋体"/>
                <w:color w:val="auto"/>
                <w:sz w:val="20"/>
                <w:szCs w:val="20"/>
                <w:highlight w:val="none"/>
                <w:lang w:val="en-US" w:eastAsia="zh-CN"/>
              </w:rPr>
            </w:pPr>
            <w:r>
              <w:rPr>
                <w:rFonts w:hint="eastAsia" w:hAnsi="宋体" w:eastAsia="宋体" w:cs="宋体"/>
                <w:color w:val="auto"/>
                <w:sz w:val="20"/>
                <w:szCs w:val="20"/>
                <w:highlight w:val="none"/>
                <w:lang w:val="en-US" w:eastAsia="zh-CN"/>
              </w:rPr>
              <w:t>3</w:t>
            </w:r>
          </w:p>
        </w:tc>
        <w:tc>
          <w:tcPr>
            <w:tcW w:w="793" w:type="dxa"/>
            <w:vAlign w:val="center"/>
          </w:tcPr>
          <w:p w14:paraId="00C03D18">
            <w:pPr>
              <w:pStyle w:val="2"/>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雷击火预警模块</w:t>
            </w:r>
          </w:p>
        </w:tc>
        <w:tc>
          <w:tcPr>
            <w:tcW w:w="585" w:type="dxa"/>
            <w:vAlign w:val="center"/>
          </w:tcPr>
          <w:p w14:paraId="1F5AD7B1">
            <w:pPr>
              <w:pStyle w:val="2"/>
              <w:jc w:val="center"/>
              <w:rPr>
                <w:rFonts w:hint="eastAsia" w:ascii="宋体" w:hAnsi="宋体" w:eastAsia="宋体" w:cs="宋体"/>
                <w:color w:val="auto"/>
                <w:sz w:val="20"/>
                <w:szCs w:val="20"/>
                <w:highlight w:val="none"/>
              </w:rPr>
            </w:pPr>
          </w:p>
        </w:tc>
        <w:tc>
          <w:tcPr>
            <w:tcW w:w="735" w:type="dxa"/>
            <w:vAlign w:val="center"/>
          </w:tcPr>
          <w:p w14:paraId="5DC9C935">
            <w:pPr>
              <w:pStyle w:val="2"/>
              <w:jc w:val="center"/>
              <w:rPr>
                <w:rFonts w:hint="eastAsia" w:ascii="宋体" w:hAnsi="宋体" w:eastAsia="宋体" w:cs="宋体"/>
                <w:color w:val="auto"/>
                <w:sz w:val="20"/>
                <w:szCs w:val="20"/>
                <w:highlight w:val="none"/>
              </w:rPr>
            </w:pPr>
          </w:p>
        </w:tc>
        <w:tc>
          <w:tcPr>
            <w:tcW w:w="3600" w:type="dxa"/>
            <w:shd w:val="clear" w:color="auto" w:fill="auto"/>
            <w:vAlign w:val="center"/>
          </w:tcPr>
          <w:p w14:paraId="6596D389">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（1）雷击火警报：基于引燃概率模型，雷击火实时概率模型等，对风险点分级预警生成雷击火警报数据。警报数据根据模型算法实时更新预警状态直到警报解除。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（2）雷电潜势预报：基于气象数据和数值天气预报模型，预测未来0-72小时内林区雷电发生的概率、落区范围及强度等级。输出分区域、分时段的雷电潜势等级。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（3）雷击火潜势：整合雷电潜势预报结果、可燃物特性、可燃物含水率、地形等数据。通过模型算法计算雷击火发生的综合潜势值，输出风险等级分布图。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雷击火燃烧蔓延数值模式：基于雷击火发生位置、可燃物类型、气象实时数据和地形参数启动蔓延模拟。通过物理模型计算火焰传播速度、火强度、火场面积随时间的变化，预测未来火场动态。支持调整参数（如改变风向、可燃物含水率）模拟不同条件下的火灾蔓延路径。</w:t>
            </w:r>
          </w:p>
        </w:tc>
        <w:tc>
          <w:tcPr>
            <w:tcW w:w="1935" w:type="dxa"/>
            <w:vAlign w:val="center"/>
          </w:tcPr>
          <w:p w14:paraId="79BD0178">
            <w:pPr>
              <w:pStyle w:val="2"/>
              <w:jc w:val="center"/>
              <w:rPr>
                <w:rFonts w:hint="eastAsia" w:ascii="宋体" w:hAnsi="宋体" w:eastAsia="宋体" w:cs="宋体"/>
                <w:color w:val="auto"/>
                <w:sz w:val="20"/>
                <w:szCs w:val="20"/>
                <w:highlight w:val="none"/>
              </w:rPr>
            </w:pPr>
          </w:p>
        </w:tc>
        <w:tc>
          <w:tcPr>
            <w:tcW w:w="1020" w:type="dxa"/>
            <w:vAlign w:val="center"/>
          </w:tcPr>
          <w:p w14:paraId="162E79A4">
            <w:pPr>
              <w:pStyle w:val="2"/>
              <w:jc w:val="center"/>
              <w:rPr>
                <w:rFonts w:hint="eastAsia" w:ascii="宋体" w:hAnsi="宋体" w:eastAsia="宋体" w:cs="宋体"/>
                <w:color w:val="auto"/>
                <w:sz w:val="20"/>
                <w:szCs w:val="20"/>
                <w:highlight w:val="none"/>
              </w:rPr>
            </w:pPr>
          </w:p>
        </w:tc>
        <w:tc>
          <w:tcPr>
            <w:tcW w:w="624" w:type="dxa"/>
            <w:vAlign w:val="center"/>
          </w:tcPr>
          <w:p w14:paraId="18C3E691">
            <w:pPr>
              <w:pStyle w:val="2"/>
              <w:jc w:val="center"/>
              <w:rPr>
                <w:rFonts w:hint="eastAsia" w:ascii="宋体" w:hAnsi="宋体" w:eastAsia="宋体" w:cs="宋体"/>
                <w:color w:val="auto"/>
                <w:sz w:val="20"/>
                <w:szCs w:val="20"/>
                <w:highlight w:val="none"/>
              </w:rPr>
            </w:pPr>
          </w:p>
        </w:tc>
      </w:tr>
      <w:tr w14:paraId="0E632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426C377A">
            <w:pPr>
              <w:pStyle w:val="2"/>
              <w:jc w:val="center"/>
              <w:rPr>
                <w:rFonts w:hint="eastAsia" w:ascii="宋体" w:hAnsi="宋体" w:eastAsia="宋体" w:cs="宋体"/>
                <w:color w:val="auto"/>
                <w:sz w:val="20"/>
                <w:szCs w:val="20"/>
                <w:highlight w:val="none"/>
                <w:lang w:val="en-US" w:eastAsia="zh-CN"/>
              </w:rPr>
            </w:pPr>
            <w:r>
              <w:rPr>
                <w:rFonts w:hint="eastAsia" w:hAnsi="宋体" w:eastAsia="宋体" w:cs="宋体"/>
                <w:color w:val="auto"/>
                <w:sz w:val="20"/>
                <w:szCs w:val="20"/>
                <w:highlight w:val="none"/>
                <w:lang w:val="en-US" w:eastAsia="zh-CN"/>
              </w:rPr>
              <w:t>4</w:t>
            </w:r>
          </w:p>
        </w:tc>
        <w:tc>
          <w:tcPr>
            <w:tcW w:w="793" w:type="dxa"/>
            <w:vAlign w:val="center"/>
          </w:tcPr>
          <w:p w14:paraId="25A274A0">
            <w:pPr>
              <w:pStyle w:val="2"/>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空间数据库搭建</w:t>
            </w:r>
          </w:p>
        </w:tc>
        <w:tc>
          <w:tcPr>
            <w:tcW w:w="585" w:type="dxa"/>
            <w:vAlign w:val="center"/>
          </w:tcPr>
          <w:p w14:paraId="7EC4A99F">
            <w:pPr>
              <w:pStyle w:val="2"/>
              <w:jc w:val="center"/>
              <w:rPr>
                <w:rFonts w:hint="eastAsia" w:ascii="宋体" w:hAnsi="宋体" w:eastAsia="宋体" w:cs="宋体"/>
                <w:color w:val="auto"/>
                <w:sz w:val="20"/>
                <w:szCs w:val="20"/>
                <w:highlight w:val="none"/>
              </w:rPr>
            </w:pPr>
          </w:p>
        </w:tc>
        <w:tc>
          <w:tcPr>
            <w:tcW w:w="735" w:type="dxa"/>
            <w:vAlign w:val="center"/>
          </w:tcPr>
          <w:p w14:paraId="3F7D5E34">
            <w:pPr>
              <w:pStyle w:val="2"/>
              <w:jc w:val="center"/>
              <w:rPr>
                <w:rFonts w:hint="eastAsia" w:ascii="宋体" w:hAnsi="宋体" w:eastAsia="宋体" w:cs="宋体"/>
                <w:color w:val="auto"/>
                <w:sz w:val="20"/>
                <w:szCs w:val="20"/>
                <w:highlight w:val="none"/>
              </w:rPr>
            </w:pPr>
          </w:p>
        </w:tc>
        <w:tc>
          <w:tcPr>
            <w:tcW w:w="3600" w:type="dxa"/>
            <w:shd w:val="clear" w:color="auto" w:fill="auto"/>
            <w:vAlign w:val="center"/>
          </w:tcPr>
          <w:p w14:paraId="32A0152C">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（1）基础数据库：调用地理信息服务，利用编程接口通过定制编程，将基础地理信息数据资源嵌入到雷击火预警预报平台系统中。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（2）雷电数据库：基于雷电监测定位网的雷电定位站状态感知数据、雷电定位站原始感知数据、雷电定位数据。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（3）成果数据库：成果数据库主要由相关模型及分析成果组成，包括火险因子可燃物模型库及分析成果、各专题数据的分析成果、森林火险预测预报成果、雷击火预警预报数据。</w:t>
            </w:r>
          </w:p>
        </w:tc>
        <w:tc>
          <w:tcPr>
            <w:tcW w:w="1935" w:type="dxa"/>
            <w:vAlign w:val="center"/>
          </w:tcPr>
          <w:p w14:paraId="64A7762C">
            <w:pPr>
              <w:pStyle w:val="2"/>
              <w:jc w:val="center"/>
              <w:rPr>
                <w:rFonts w:hint="eastAsia" w:ascii="宋体" w:hAnsi="宋体" w:eastAsia="宋体" w:cs="宋体"/>
                <w:color w:val="auto"/>
                <w:sz w:val="20"/>
                <w:szCs w:val="20"/>
                <w:highlight w:val="none"/>
              </w:rPr>
            </w:pPr>
          </w:p>
        </w:tc>
        <w:tc>
          <w:tcPr>
            <w:tcW w:w="1020" w:type="dxa"/>
            <w:vAlign w:val="center"/>
          </w:tcPr>
          <w:p w14:paraId="358A5B81">
            <w:pPr>
              <w:pStyle w:val="2"/>
              <w:jc w:val="center"/>
              <w:rPr>
                <w:rFonts w:hint="eastAsia" w:ascii="宋体" w:hAnsi="宋体" w:eastAsia="宋体" w:cs="宋体"/>
                <w:color w:val="auto"/>
                <w:sz w:val="20"/>
                <w:szCs w:val="20"/>
                <w:highlight w:val="none"/>
              </w:rPr>
            </w:pPr>
          </w:p>
        </w:tc>
        <w:tc>
          <w:tcPr>
            <w:tcW w:w="624" w:type="dxa"/>
            <w:vAlign w:val="center"/>
          </w:tcPr>
          <w:p w14:paraId="0B3EEBAC">
            <w:pPr>
              <w:pStyle w:val="2"/>
              <w:jc w:val="center"/>
              <w:rPr>
                <w:rFonts w:hint="eastAsia" w:ascii="宋体" w:hAnsi="宋体" w:eastAsia="宋体" w:cs="宋体"/>
                <w:color w:val="auto"/>
                <w:sz w:val="20"/>
                <w:szCs w:val="20"/>
                <w:highlight w:val="none"/>
              </w:rPr>
            </w:pPr>
          </w:p>
        </w:tc>
      </w:tr>
      <w:tr w14:paraId="0AF4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8" w:hRule="atLeast"/>
          <w:jc w:val="center"/>
        </w:trPr>
        <w:tc>
          <w:tcPr>
            <w:tcW w:w="597" w:type="dxa"/>
            <w:vAlign w:val="center"/>
          </w:tcPr>
          <w:p w14:paraId="601F3509">
            <w:pPr>
              <w:pStyle w:val="2"/>
              <w:jc w:val="center"/>
              <w:rPr>
                <w:rFonts w:hint="eastAsia" w:ascii="宋体" w:hAnsi="宋体" w:eastAsia="宋体" w:cs="宋体"/>
                <w:color w:val="auto"/>
                <w:sz w:val="20"/>
                <w:szCs w:val="20"/>
                <w:highlight w:val="none"/>
                <w:lang w:val="en-US" w:eastAsia="zh-CN"/>
              </w:rPr>
            </w:pPr>
            <w:r>
              <w:rPr>
                <w:rFonts w:hint="eastAsia" w:hAnsi="宋体" w:eastAsia="宋体" w:cs="宋体"/>
                <w:color w:val="auto"/>
                <w:sz w:val="20"/>
                <w:szCs w:val="20"/>
                <w:highlight w:val="none"/>
                <w:lang w:val="en-US" w:eastAsia="zh-CN"/>
              </w:rPr>
              <w:t>5</w:t>
            </w:r>
          </w:p>
        </w:tc>
        <w:tc>
          <w:tcPr>
            <w:tcW w:w="793" w:type="dxa"/>
            <w:vAlign w:val="center"/>
          </w:tcPr>
          <w:p w14:paraId="53C806C7">
            <w:pPr>
              <w:pStyle w:val="2"/>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引燃概率模型、雷击火发生实时概率模型开发</w:t>
            </w:r>
          </w:p>
        </w:tc>
        <w:tc>
          <w:tcPr>
            <w:tcW w:w="585" w:type="dxa"/>
            <w:vAlign w:val="center"/>
          </w:tcPr>
          <w:p w14:paraId="2E1B7197">
            <w:pPr>
              <w:pStyle w:val="2"/>
              <w:jc w:val="center"/>
              <w:rPr>
                <w:rFonts w:hint="eastAsia" w:ascii="宋体" w:hAnsi="宋体" w:eastAsia="宋体" w:cs="宋体"/>
                <w:color w:val="auto"/>
                <w:sz w:val="20"/>
                <w:szCs w:val="20"/>
                <w:highlight w:val="none"/>
              </w:rPr>
            </w:pPr>
          </w:p>
        </w:tc>
        <w:tc>
          <w:tcPr>
            <w:tcW w:w="735" w:type="dxa"/>
            <w:vAlign w:val="center"/>
          </w:tcPr>
          <w:p w14:paraId="0810696D">
            <w:pPr>
              <w:pStyle w:val="2"/>
              <w:jc w:val="center"/>
              <w:rPr>
                <w:rFonts w:hint="eastAsia" w:ascii="宋体" w:hAnsi="宋体" w:eastAsia="宋体" w:cs="宋体"/>
                <w:color w:val="auto"/>
                <w:sz w:val="20"/>
                <w:szCs w:val="20"/>
                <w:highlight w:val="none"/>
              </w:rPr>
            </w:pPr>
          </w:p>
        </w:tc>
        <w:tc>
          <w:tcPr>
            <w:tcW w:w="3600" w:type="dxa"/>
            <w:shd w:val="clear" w:color="auto" w:fill="auto"/>
            <w:vAlign w:val="center"/>
          </w:tcPr>
          <w:p w14:paraId="72E419F8">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模型数据要求：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数据资源池构建：需系统性地收集、清洗、融合长达10-15年的历史数据，构建省级规模的训练与验证样本集。数据来源必须包括但不限于：①雷电数据：雷电流强度、极性、经纬度、时间等原始数据。②环境数据：遥感反演的植被指数。土壤湿度与温度数据。高精度数字高程模型数据。③历史火点数据：卫星监测热点与地面核实报告的雷击火案例数据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（2）数据清洗与预处理：必须设计专门的数据质量控制算法，对缺失、异常、时空不一致数据进行识别、插补与修正，此过程需形成详细的质量评估报告。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超级特征工程：在基础数据之上，需进行深入的时空特征挖掘，例如计算不同时间窗口（如1小时、3小时、24小时、72小时）的气象要素累积值、滑动平均值、趋势项。构建基于地形的水文指数、日照辐射指数。计算雷电活动的空间密度、能量累积等衍生特征。最终形成的特征池维度应不低于500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模型技术要求：</w:t>
            </w:r>
          </w:p>
          <w:p w14:paraId="2A677AF4">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模型架构选择：要求采用模物理机制+深度学习”的混合建模范式。例如，可先基于放电物理、热传导方程构建简化的物理筛选模型，再采用极端梯度提升树、深度神经网络、注意力机制模型等先进算法构建高精度分类与回归模型。或者将物理机制作为损失函数，代替常规损失函数，进一步提高模型准确率。</w:t>
            </w:r>
          </w:p>
          <w:p w14:paraId="0FF0C68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（2）模型训练与调优要求：</w:t>
            </w:r>
          </w:p>
          <w:p w14:paraId="0CEEFBB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采用自动化超参数搜索技术，对每个候选模型进行数百乃至上千次的训练迭代，以寻找最优参数组合。必须实施嵌套交叉验证，以确保模型选择的公正性和评估的稳健性。</w:t>
            </w:r>
          </w:p>
          <w:p w14:paraId="4B21835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模型验证要求：</w:t>
            </w:r>
          </w:p>
          <w:p w14:paraId="5D697BF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（1）内部验证：采用保持数据集、K折交叉验证等方法。</w:t>
            </w:r>
          </w:p>
          <w:p w14:paraId="5E471D8C">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（2）时间序列验证：使用“前N年训练，后M年测试”的方式，严格检验模型的时序外推能力。</w:t>
            </w:r>
          </w:p>
          <w:p w14:paraId="1B9CFA10">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（3）空间外推验证：在某一区域训练的模型，必须在未曾参与训练的地理区域上进行测试（至少三个未测试区域，保证在不同的环境，不同的地形，不同的植被分布等区域），评估其空间泛化能力。</w:t>
            </w:r>
          </w:p>
        </w:tc>
        <w:tc>
          <w:tcPr>
            <w:tcW w:w="1935" w:type="dxa"/>
            <w:vAlign w:val="center"/>
          </w:tcPr>
          <w:p w14:paraId="2163F15A">
            <w:pPr>
              <w:pStyle w:val="2"/>
              <w:jc w:val="center"/>
              <w:rPr>
                <w:rFonts w:hint="eastAsia" w:ascii="宋体" w:hAnsi="宋体" w:eastAsia="宋体" w:cs="宋体"/>
                <w:color w:val="auto"/>
                <w:sz w:val="20"/>
                <w:szCs w:val="20"/>
                <w:highlight w:val="none"/>
              </w:rPr>
            </w:pPr>
          </w:p>
        </w:tc>
        <w:tc>
          <w:tcPr>
            <w:tcW w:w="1020" w:type="dxa"/>
            <w:vAlign w:val="center"/>
          </w:tcPr>
          <w:p w14:paraId="0356CD59">
            <w:pPr>
              <w:pStyle w:val="2"/>
              <w:jc w:val="center"/>
              <w:rPr>
                <w:rFonts w:hint="eastAsia" w:ascii="宋体" w:hAnsi="宋体" w:eastAsia="宋体" w:cs="宋体"/>
                <w:color w:val="auto"/>
                <w:sz w:val="20"/>
                <w:szCs w:val="20"/>
                <w:highlight w:val="none"/>
              </w:rPr>
            </w:pPr>
          </w:p>
        </w:tc>
        <w:tc>
          <w:tcPr>
            <w:tcW w:w="624" w:type="dxa"/>
            <w:vAlign w:val="center"/>
          </w:tcPr>
          <w:p w14:paraId="327DF1E7">
            <w:pPr>
              <w:pStyle w:val="2"/>
              <w:jc w:val="center"/>
              <w:rPr>
                <w:rFonts w:hint="eastAsia" w:ascii="宋体" w:hAnsi="宋体" w:eastAsia="宋体" w:cs="宋体"/>
                <w:color w:val="auto"/>
                <w:sz w:val="20"/>
                <w:szCs w:val="20"/>
                <w:highlight w:val="none"/>
              </w:rPr>
            </w:pPr>
          </w:p>
        </w:tc>
      </w:tr>
      <w:tr w14:paraId="2320A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597" w:type="dxa"/>
            <w:vAlign w:val="center"/>
          </w:tcPr>
          <w:p w14:paraId="4D3C00E7">
            <w:pPr>
              <w:pStyle w:val="2"/>
              <w:jc w:val="center"/>
              <w:rPr>
                <w:rFonts w:hint="eastAsia" w:ascii="宋体" w:hAnsi="宋体" w:eastAsia="宋体" w:cs="宋体"/>
                <w:color w:val="auto"/>
                <w:sz w:val="20"/>
                <w:szCs w:val="20"/>
                <w:highlight w:val="none"/>
                <w:lang w:val="en-US" w:eastAsia="zh-CN"/>
              </w:rPr>
            </w:pPr>
            <w:r>
              <w:rPr>
                <w:rFonts w:hint="eastAsia" w:hAnsi="宋体" w:eastAsia="宋体" w:cs="宋体"/>
                <w:color w:val="auto"/>
                <w:sz w:val="20"/>
                <w:szCs w:val="20"/>
                <w:highlight w:val="none"/>
                <w:lang w:val="en-US" w:eastAsia="zh-CN"/>
              </w:rPr>
              <w:t>6</w:t>
            </w:r>
          </w:p>
        </w:tc>
        <w:tc>
          <w:tcPr>
            <w:tcW w:w="793" w:type="dxa"/>
            <w:vAlign w:val="center"/>
          </w:tcPr>
          <w:p w14:paraId="647E6424">
            <w:pPr>
              <w:pStyle w:val="2"/>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雷击火短期预报概率模型开发</w:t>
            </w:r>
          </w:p>
        </w:tc>
        <w:tc>
          <w:tcPr>
            <w:tcW w:w="585" w:type="dxa"/>
            <w:vAlign w:val="center"/>
          </w:tcPr>
          <w:p w14:paraId="2DCCCEE7">
            <w:pPr>
              <w:pStyle w:val="2"/>
              <w:jc w:val="center"/>
              <w:rPr>
                <w:rFonts w:hint="eastAsia" w:ascii="宋体" w:hAnsi="宋体" w:eastAsia="宋体" w:cs="宋体"/>
                <w:color w:val="auto"/>
                <w:sz w:val="20"/>
                <w:szCs w:val="20"/>
                <w:highlight w:val="none"/>
              </w:rPr>
            </w:pPr>
          </w:p>
        </w:tc>
        <w:tc>
          <w:tcPr>
            <w:tcW w:w="735" w:type="dxa"/>
            <w:vAlign w:val="center"/>
          </w:tcPr>
          <w:p w14:paraId="32EC2066">
            <w:pPr>
              <w:pStyle w:val="2"/>
              <w:jc w:val="center"/>
              <w:rPr>
                <w:rFonts w:hint="eastAsia" w:ascii="宋体" w:hAnsi="宋体" w:eastAsia="宋体" w:cs="宋体"/>
                <w:color w:val="auto"/>
                <w:sz w:val="20"/>
                <w:szCs w:val="20"/>
                <w:highlight w:val="none"/>
              </w:rPr>
            </w:pPr>
          </w:p>
        </w:tc>
        <w:tc>
          <w:tcPr>
            <w:tcW w:w="3600" w:type="dxa"/>
            <w:shd w:val="clear" w:color="auto" w:fill="auto"/>
            <w:vAlign w:val="center"/>
          </w:tcPr>
          <w:p w14:paraId="3D03C32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模型数据要求：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（1）雷击数据：应包括雷击经纬度、发生时间、能量或电流强度、极性等属性。应支持从雷电监测模块和雷击预报模块接入。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（2）地形数据：应采用分辨率不低于30m的数字高程模型DEM。应派生坡度、坡向、相对高差等指标，用于蔓延修正和风场诊断。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燃料与植被数据：应包含燃料类型、优势树种、林龄、郁闭度、林下植被类型、燃料负荷、可燃物连续性等。应形成栅格化燃料类型图和燃料参数库。应支持与森林资源连续清查数据、林分小班数据和多源遥感数据联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（4）气象与风场数据：应包含风速、风向、气温、相对湿度、降水量、气压等逐时或更高频率数据。应支持格点产品与站点数据插值两种来源。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（5）燃料湿度与干燥指数：应具备细小可燃物含水率、浅层腐殖质含水率估算或等价湿度指标。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（6）区域管理与行政区划数据：1）应包含省、市、县（林区）编码。2）应支持将各类参数按行政区管理。</w:t>
            </w:r>
          </w:p>
          <w:p w14:paraId="3F77FA5C">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数据清洗和质量控制要求：坐标与投影统一，所有空间数据应统一采用国家规定坐标系或采购人指定坐标系，应进行几何配准和拓扑检查，消除明显错位、重叠和缝隙。时间对齐，雷击数据、气象数据、火场记录数据应进行时间轴对齐，缺测应通过明确插值规则处理，插值方法需在文档中说明。异常值识别与处理，应制定异常检测规则，识别位置异常、气象突变、可燃物属性异常等情况，异常数据应进行修正或标记，不得直接忽略而无记录。</w:t>
            </w:r>
          </w:p>
          <w:p w14:paraId="0AD3DE92">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物理机理蔓延模型要求：</w:t>
            </w:r>
          </w:p>
          <w:p w14:paraId="7E410A7C">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蔓延速率应显式依赖燃料类型、坡度、风速风向和燃料湿度等关键因子。模型应区分不同燃料类型的基础蔓延速率，体现针叶林、阔叶林、灌丛、草地等燃料差异。模型应体现上坡加速、下坡减速、顺风加速、逆风减速、斜风偏转等基本火行为规律。模型应体现燃料含水量增加会显著降低蔓延速率和火强度的非线性效应。应基于蔓延速率、燃料负荷和热值等指标估算单位宽度火线强度。应能根据火线强度推导火焰高度和火行为等级，并与现行火行为等级体系建立对应关系。</w:t>
            </w:r>
          </w:p>
          <w:p w14:paraId="1B020837">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模型验证要求：</w:t>
            </w:r>
          </w:p>
          <w:p w14:paraId="1CFD5285">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（1）历史雷击火案例应划分为训练集、验证集和测试集三部分。测试集应保持独立，不得用于模型结构选择和超参数调整。评估应采用不少于5折交叉验证，对不同区域、燃料类型和地形类别分别给出评估结果。</w:t>
            </w:r>
          </w:p>
        </w:tc>
        <w:tc>
          <w:tcPr>
            <w:tcW w:w="1935" w:type="dxa"/>
            <w:vAlign w:val="center"/>
          </w:tcPr>
          <w:p w14:paraId="52BBDA73">
            <w:pPr>
              <w:pStyle w:val="2"/>
              <w:jc w:val="center"/>
              <w:rPr>
                <w:rFonts w:hint="eastAsia" w:ascii="宋体" w:hAnsi="宋体" w:eastAsia="宋体" w:cs="宋体"/>
                <w:color w:val="auto"/>
                <w:sz w:val="20"/>
                <w:szCs w:val="20"/>
                <w:highlight w:val="none"/>
              </w:rPr>
            </w:pPr>
          </w:p>
        </w:tc>
        <w:tc>
          <w:tcPr>
            <w:tcW w:w="1020" w:type="dxa"/>
            <w:vAlign w:val="center"/>
          </w:tcPr>
          <w:p w14:paraId="1200B1B1">
            <w:pPr>
              <w:pStyle w:val="2"/>
              <w:jc w:val="center"/>
              <w:rPr>
                <w:rFonts w:hint="eastAsia" w:ascii="宋体" w:hAnsi="宋体" w:eastAsia="宋体" w:cs="宋体"/>
                <w:color w:val="auto"/>
                <w:sz w:val="20"/>
                <w:szCs w:val="20"/>
                <w:highlight w:val="none"/>
              </w:rPr>
            </w:pPr>
          </w:p>
        </w:tc>
        <w:tc>
          <w:tcPr>
            <w:tcW w:w="624" w:type="dxa"/>
            <w:vAlign w:val="center"/>
          </w:tcPr>
          <w:p w14:paraId="32A6C9B1">
            <w:pPr>
              <w:pStyle w:val="2"/>
              <w:jc w:val="center"/>
              <w:rPr>
                <w:rFonts w:hint="eastAsia" w:ascii="宋体" w:hAnsi="宋体" w:eastAsia="宋体" w:cs="宋体"/>
                <w:color w:val="auto"/>
                <w:sz w:val="20"/>
                <w:szCs w:val="20"/>
                <w:highlight w:val="none"/>
              </w:rPr>
            </w:pPr>
          </w:p>
        </w:tc>
      </w:tr>
      <w:tr w14:paraId="49186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451C113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w:t>
            </w:r>
          </w:p>
        </w:tc>
        <w:tc>
          <w:tcPr>
            <w:tcW w:w="793" w:type="dxa"/>
            <w:vAlign w:val="center"/>
          </w:tcPr>
          <w:p w14:paraId="3FF5F12B">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地图数据服务</w:t>
            </w:r>
          </w:p>
        </w:tc>
        <w:tc>
          <w:tcPr>
            <w:tcW w:w="585" w:type="dxa"/>
            <w:vAlign w:val="center"/>
          </w:tcPr>
          <w:p w14:paraId="08389AE5">
            <w:pPr>
              <w:pStyle w:val="2"/>
              <w:jc w:val="center"/>
              <w:rPr>
                <w:rFonts w:hint="eastAsia" w:ascii="宋体" w:hAnsi="宋体" w:eastAsia="宋体" w:cs="宋体"/>
                <w:color w:val="auto"/>
                <w:sz w:val="20"/>
                <w:szCs w:val="20"/>
                <w:highlight w:val="none"/>
              </w:rPr>
            </w:pPr>
          </w:p>
        </w:tc>
        <w:tc>
          <w:tcPr>
            <w:tcW w:w="735" w:type="dxa"/>
            <w:vAlign w:val="center"/>
          </w:tcPr>
          <w:p w14:paraId="234E4A04">
            <w:pPr>
              <w:pStyle w:val="2"/>
              <w:jc w:val="center"/>
              <w:rPr>
                <w:rFonts w:hint="eastAsia" w:ascii="宋体" w:hAnsi="宋体" w:eastAsia="宋体" w:cs="宋体"/>
                <w:color w:val="auto"/>
                <w:sz w:val="20"/>
                <w:szCs w:val="20"/>
                <w:highlight w:val="none"/>
              </w:rPr>
            </w:pPr>
          </w:p>
        </w:tc>
        <w:tc>
          <w:tcPr>
            <w:tcW w:w="3600" w:type="dxa"/>
            <w:shd w:val="clear" w:color="auto" w:fill="auto"/>
            <w:vAlign w:val="center"/>
          </w:tcPr>
          <w:p w14:paraId="6CF8AE5C">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（1）基于国产化GIS平台，构建统一空间基底雷击火地图数据服务体系，对地图数据分类设计，提供标准、统一且稳定的专题服务。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（2）支持发布各类专题数据、各类基础地理数据、各类资源数据等服务，支持多终端访问（大屏、电脑端、移动端），支持地图数据查询、空间分析、图层叠加等功能。</w:t>
            </w:r>
          </w:p>
        </w:tc>
        <w:tc>
          <w:tcPr>
            <w:tcW w:w="1935" w:type="dxa"/>
            <w:vAlign w:val="center"/>
          </w:tcPr>
          <w:p w14:paraId="5E10C386">
            <w:pPr>
              <w:pStyle w:val="2"/>
              <w:jc w:val="center"/>
              <w:rPr>
                <w:rFonts w:hint="eastAsia" w:ascii="宋体" w:hAnsi="宋体" w:eastAsia="宋体" w:cs="宋体"/>
                <w:color w:val="auto"/>
                <w:sz w:val="20"/>
                <w:szCs w:val="20"/>
                <w:highlight w:val="none"/>
              </w:rPr>
            </w:pPr>
          </w:p>
        </w:tc>
        <w:tc>
          <w:tcPr>
            <w:tcW w:w="1020" w:type="dxa"/>
            <w:vAlign w:val="center"/>
          </w:tcPr>
          <w:p w14:paraId="0D1AFD22">
            <w:pPr>
              <w:pStyle w:val="2"/>
              <w:jc w:val="center"/>
              <w:rPr>
                <w:rFonts w:hint="eastAsia" w:ascii="宋体" w:hAnsi="宋体" w:eastAsia="宋体" w:cs="宋体"/>
                <w:color w:val="auto"/>
                <w:sz w:val="20"/>
                <w:szCs w:val="20"/>
                <w:highlight w:val="none"/>
              </w:rPr>
            </w:pPr>
          </w:p>
        </w:tc>
        <w:tc>
          <w:tcPr>
            <w:tcW w:w="624" w:type="dxa"/>
            <w:vAlign w:val="center"/>
          </w:tcPr>
          <w:p w14:paraId="5EF940C6">
            <w:pPr>
              <w:pStyle w:val="2"/>
              <w:jc w:val="center"/>
              <w:rPr>
                <w:rFonts w:hint="eastAsia" w:ascii="宋体" w:hAnsi="宋体" w:eastAsia="宋体" w:cs="宋体"/>
                <w:color w:val="auto"/>
                <w:sz w:val="20"/>
                <w:szCs w:val="20"/>
                <w:highlight w:val="none"/>
              </w:rPr>
            </w:pPr>
          </w:p>
        </w:tc>
      </w:tr>
      <w:tr w14:paraId="6E703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068DE9C8">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w:t>
            </w:r>
          </w:p>
        </w:tc>
        <w:tc>
          <w:tcPr>
            <w:tcW w:w="793" w:type="dxa"/>
            <w:vAlign w:val="center"/>
          </w:tcPr>
          <w:p w14:paraId="0518F697">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闪电监测分布专题图</w:t>
            </w:r>
          </w:p>
        </w:tc>
        <w:tc>
          <w:tcPr>
            <w:tcW w:w="585" w:type="dxa"/>
            <w:vAlign w:val="center"/>
          </w:tcPr>
          <w:p w14:paraId="667E98BE">
            <w:pPr>
              <w:pStyle w:val="2"/>
              <w:jc w:val="center"/>
              <w:rPr>
                <w:rFonts w:hint="eastAsia" w:ascii="宋体" w:hAnsi="宋体" w:eastAsia="宋体" w:cs="宋体"/>
                <w:color w:val="auto"/>
                <w:sz w:val="20"/>
                <w:szCs w:val="20"/>
                <w:highlight w:val="none"/>
              </w:rPr>
            </w:pPr>
          </w:p>
        </w:tc>
        <w:tc>
          <w:tcPr>
            <w:tcW w:w="735" w:type="dxa"/>
            <w:vAlign w:val="center"/>
          </w:tcPr>
          <w:p w14:paraId="2E4629C6">
            <w:pPr>
              <w:pStyle w:val="2"/>
              <w:jc w:val="center"/>
              <w:rPr>
                <w:rFonts w:hint="eastAsia" w:ascii="宋体" w:hAnsi="宋体" w:eastAsia="宋体" w:cs="宋体"/>
                <w:color w:val="auto"/>
                <w:sz w:val="20"/>
                <w:szCs w:val="20"/>
                <w:highlight w:val="none"/>
              </w:rPr>
            </w:pPr>
          </w:p>
        </w:tc>
        <w:tc>
          <w:tcPr>
            <w:tcW w:w="3600" w:type="dxa"/>
            <w:shd w:val="clear" w:color="auto" w:fill="auto"/>
            <w:vAlign w:val="center"/>
          </w:tcPr>
          <w:p w14:paraId="62C47A4E">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基于电子地图，将雷电监测成果数据（网格化数据），按雷电发生位置落点上图，按雷电发生时间和类型进行分组渲染，全方位展示雷电发生散点图。</w:t>
            </w:r>
          </w:p>
        </w:tc>
        <w:tc>
          <w:tcPr>
            <w:tcW w:w="1935" w:type="dxa"/>
            <w:vAlign w:val="center"/>
          </w:tcPr>
          <w:p w14:paraId="4B0419E8">
            <w:pPr>
              <w:pStyle w:val="2"/>
              <w:jc w:val="center"/>
              <w:rPr>
                <w:rFonts w:hint="eastAsia" w:ascii="宋体" w:hAnsi="宋体" w:eastAsia="宋体" w:cs="宋体"/>
                <w:color w:val="auto"/>
                <w:sz w:val="20"/>
                <w:szCs w:val="20"/>
                <w:highlight w:val="none"/>
              </w:rPr>
            </w:pPr>
          </w:p>
        </w:tc>
        <w:tc>
          <w:tcPr>
            <w:tcW w:w="1020" w:type="dxa"/>
            <w:vAlign w:val="center"/>
          </w:tcPr>
          <w:p w14:paraId="718EFDD5">
            <w:pPr>
              <w:pStyle w:val="2"/>
              <w:jc w:val="center"/>
              <w:rPr>
                <w:rFonts w:hint="eastAsia" w:ascii="宋体" w:hAnsi="宋体" w:eastAsia="宋体" w:cs="宋体"/>
                <w:color w:val="auto"/>
                <w:sz w:val="20"/>
                <w:szCs w:val="20"/>
                <w:highlight w:val="none"/>
              </w:rPr>
            </w:pPr>
          </w:p>
        </w:tc>
        <w:tc>
          <w:tcPr>
            <w:tcW w:w="624" w:type="dxa"/>
            <w:vAlign w:val="center"/>
          </w:tcPr>
          <w:p w14:paraId="1DAA0E55">
            <w:pPr>
              <w:pStyle w:val="2"/>
              <w:jc w:val="center"/>
              <w:rPr>
                <w:rFonts w:hint="eastAsia" w:ascii="宋体" w:hAnsi="宋体" w:eastAsia="宋体" w:cs="宋体"/>
                <w:color w:val="auto"/>
                <w:sz w:val="20"/>
                <w:szCs w:val="20"/>
                <w:highlight w:val="none"/>
              </w:rPr>
            </w:pPr>
          </w:p>
        </w:tc>
      </w:tr>
      <w:tr w14:paraId="3DC87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7D5AC86D">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w:t>
            </w:r>
          </w:p>
        </w:tc>
        <w:tc>
          <w:tcPr>
            <w:tcW w:w="793" w:type="dxa"/>
            <w:vAlign w:val="center"/>
          </w:tcPr>
          <w:p w14:paraId="561A3D47">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闪电监测密度专题图</w:t>
            </w:r>
          </w:p>
        </w:tc>
        <w:tc>
          <w:tcPr>
            <w:tcW w:w="585" w:type="dxa"/>
            <w:vAlign w:val="center"/>
          </w:tcPr>
          <w:p w14:paraId="065E9B1A">
            <w:pPr>
              <w:pStyle w:val="2"/>
              <w:jc w:val="center"/>
              <w:rPr>
                <w:rFonts w:hint="eastAsia" w:ascii="宋体" w:hAnsi="宋体" w:eastAsia="宋体" w:cs="宋体"/>
                <w:color w:val="auto"/>
                <w:sz w:val="20"/>
                <w:szCs w:val="20"/>
                <w:highlight w:val="none"/>
              </w:rPr>
            </w:pPr>
          </w:p>
        </w:tc>
        <w:tc>
          <w:tcPr>
            <w:tcW w:w="735" w:type="dxa"/>
            <w:vAlign w:val="center"/>
          </w:tcPr>
          <w:p w14:paraId="67491DB9">
            <w:pPr>
              <w:pStyle w:val="2"/>
              <w:jc w:val="center"/>
              <w:rPr>
                <w:rFonts w:hint="eastAsia" w:ascii="宋体" w:hAnsi="宋体" w:eastAsia="宋体" w:cs="宋体"/>
                <w:color w:val="auto"/>
                <w:sz w:val="20"/>
                <w:szCs w:val="20"/>
                <w:highlight w:val="none"/>
              </w:rPr>
            </w:pPr>
          </w:p>
        </w:tc>
        <w:tc>
          <w:tcPr>
            <w:tcW w:w="3600" w:type="dxa"/>
            <w:shd w:val="clear" w:color="auto" w:fill="auto"/>
            <w:vAlign w:val="center"/>
          </w:tcPr>
          <w:p w14:paraId="0D421618">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基于电子地图，将雷电监测密度成果数据（网格化数据），按网格雷电发生数量进行渲染，展示雷电发生区域分布图，可为相关单位的森林火灾防控工作提供参考。</w:t>
            </w:r>
          </w:p>
        </w:tc>
        <w:tc>
          <w:tcPr>
            <w:tcW w:w="1935" w:type="dxa"/>
            <w:vAlign w:val="center"/>
          </w:tcPr>
          <w:p w14:paraId="128F0E4C">
            <w:pPr>
              <w:pStyle w:val="2"/>
              <w:jc w:val="center"/>
              <w:rPr>
                <w:rFonts w:hint="eastAsia" w:ascii="宋体" w:hAnsi="宋体" w:eastAsia="宋体" w:cs="宋体"/>
                <w:color w:val="auto"/>
                <w:sz w:val="20"/>
                <w:szCs w:val="20"/>
                <w:highlight w:val="none"/>
              </w:rPr>
            </w:pPr>
          </w:p>
        </w:tc>
        <w:tc>
          <w:tcPr>
            <w:tcW w:w="1020" w:type="dxa"/>
            <w:vAlign w:val="center"/>
          </w:tcPr>
          <w:p w14:paraId="597407D1">
            <w:pPr>
              <w:pStyle w:val="2"/>
              <w:jc w:val="center"/>
              <w:rPr>
                <w:rFonts w:hint="eastAsia" w:ascii="宋体" w:hAnsi="宋体" w:eastAsia="宋体" w:cs="宋体"/>
                <w:color w:val="auto"/>
                <w:sz w:val="20"/>
                <w:szCs w:val="20"/>
                <w:highlight w:val="none"/>
              </w:rPr>
            </w:pPr>
          </w:p>
        </w:tc>
        <w:tc>
          <w:tcPr>
            <w:tcW w:w="624" w:type="dxa"/>
            <w:vAlign w:val="center"/>
          </w:tcPr>
          <w:p w14:paraId="7761D7C4">
            <w:pPr>
              <w:pStyle w:val="2"/>
              <w:jc w:val="center"/>
              <w:rPr>
                <w:rFonts w:hint="eastAsia" w:ascii="宋体" w:hAnsi="宋体" w:eastAsia="宋体" w:cs="宋体"/>
                <w:color w:val="auto"/>
                <w:sz w:val="20"/>
                <w:szCs w:val="20"/>
                <w:highlight w:val="none"/>
              </w:rPr>
            </w:pPr>
          </w:p>
        </w:tc>
      </w:tr>
      <w:tr w14:paraId="09E42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11E8DBA3">
            <w:pPr>
              <w:keepNext w:val="0"/>
              <w:keepLines w:val="0"/>
              <w:widowControl/>
              <w:suppressLineNumbers w:val="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793" w:type="dxa"/>
            <w:vAlign w:val="center"/>
          </w:tcPr>
          <w:p w14:paraId="4689BAD2">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逐小时高危雷闪数据专题图</w:t>
            </w:r>
          </w:p>
        </w:tc>
        <w:tc>
          <w:tcPr>
            <w:tcW w:w="585" w:type="dxa"/>
            <w:vAlign w:val="center"/>
          </w:tcPr>
          <w:p w14:paraId="1ED26857">
            <w:pPr>
              <w:pStyle w:val="2"/>
              <w:jc w:val="center"/>
              <w:rPr>
                <w:rFonts w:hint="eastAsia" w:ascii="宋体" w:hAnsi="宋体" w:eastAsia="宋体" w:cs="宋体"/>
                <w:color w:val="auto"/>
                <w:sz w:val="20"/>
                <w:szCs w:val="20"/>
                <w:highlight w:val="none"/>
              </w:rPr>
            </w:pPr>
          </w:p>
        </w:tc>
        <w:tc>
          <w:tcPr>
            <w:tcW w:w="735" w:type="dxa"/>
            <w:vAlign w:val="center"/>
          </w:tcPr>
          <w:p w14:paraId="59D1128B">
            <w:pPr>
              <w:pStyle w:val="2"/>
              <w:jc w:val="center"/>
              <w:rPr>
                <w:rFonts w:hint="eastAsia" w:ascii="宋体" w:hAnsi="宋体" w:eastAsia="宋体" w:cs="宋体"/>
                <w:color w:val="auto"/>
                <w:sz w:val="20"/>
                <w:szCs w:val="20"/>
                <w:highlight w:val="none"/>
              </w:rPr>
            </w:pPr>
          </w:p>
        </w:tc>
        <w:tc>
          <w:tcPr>
            <w:tcW w:w="3600" w:type="dxa"/>
            <w:shd w:val="clear" w:color="auto" w:fill="auto"/>
            <w:vAlign w:val="center"/>
          </w:tcPr>
          <w:p w14:paraId="203339B1">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基于电子地图，逐小时将生成的高危雷闪数据（网格化数据），按高危雷电位置落点上图，按较高风险、高风险和极高风险进行分组渲染，准确及时的展示高危雷闪分布情况，可为相关单位的森林火灾防控工作提供参考。</w:t>
            </w:r>
          </w:p>
        </w:tc>
        <w:tc>
          <w:tcPr>
            <w:tcW w:w="1935" w:type="dxa"/>
            <w:vAlign w:val="center"/>
          </w:tcPr>
          <w:p w14:paraId="39B6E265">
            <w:pPr>
              <w:pStyle w:val="2"/>
              <w:jc w:val="center"/>
              <w:rPr>
                <w:rFonts w:hint="eastAsia" w:ascii="宋体" w:hAnsi="宋体" w:eastAsia="宋体" w:cs="宋体"/>
                <w:color w:val="auto"/>
                <w:sz w:val="20"/>
                <w:szCs w:val="20"/>
                <w:highlight w:val="none"/>
              </w:rPr>
            </w:pPr>
          </w:p>
        </w:tc>
        <w:tc>
          <w:tcPr>
            <w:tcW w:w="1020" w:type="dxa"/>
            <w:vAlign w:val="center"/>
          </w:tcPr>
          <w:p w14:paraId="292D0718">
            <w:pPr>
              <w:pStyle w:val="2"/>
              <w:jc w:val="center"/>
              <w:rPr>
                <w:rFonts w:hint="eastAsia" w:ascii="宋体" w:hAnsi="宋体" w:eastAsia="宋体" w:cs="宋体"/>
                <w:color w:val="auto"/>
                <w:sz w:val="20"/>
                <w:szCs w:val="20"/>
                <w:highlight w:val="none"/>
              </w:rPr>
            </w:pPr>
          </w:p>
        </w:tc>
        <w:tc>
          <w:tcPr>
            <w:tcW w:w="624" w:type="dxa"/>
            <w:vAlign w:val="center"/>
          </w:tcPr>
          <w:p w14:paraId="7AB0D595">
            <w:pPr>
              <w:pStyle w:val="2"/>
              <w:jc w:val="center"/>
              <w:rPr>
                <w:rFonts w:hint="eastAsia" w:ascii="宋体" w:hAnsi="宋体" w:eastAsia="宋体" w:cs="宋体"/>
                <w:color w:val="auto"/>
                <w:sz w:val="20"/>
                <w:szCs w:val="20"/>
                <w:highlight w:val="none"/>
              </w:rPr>
            </w:pPr>
          </w:p>
        </w:tc>
      </w:tr>
      <w:tr w14:paraId="57976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1FC73DE1">
            <w:pPr>
              <w:keepNext w:val="0"/>
              <w:keepLines w:val="0"/>
              <w:widowControl/>
              <w:suppressLineNumbers w:val="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w:t>
            </w:r>
          </w:p>
        </w:tc>
        <w:tc>
          <w:tcPr>
            <w:tcW w:w="793" w:type="dxa"/>
            <w:vAlign w:val="center"/>
          </w:tcPr>
          <w:p w14:paraId="428AC68B">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空间网格时雷击火险预测预报专题图</w:t>
            </w:r>
          </w:p>
        </w:tc>
        <w:tc>
          <w:tcPr>
            <w:tcW w:w="585" w:type="dxa"/>
            <w:vAlign w:val="center"/>
          </w:tcPr>
          <w:p w14:paraId="279C37E3">
            <w:pPr>
              <w:pStyle w:val="2"/>
              <w:jc w:val="center"/>
              <w:rPr>
                <w:rFonts w:hint="eastAsia" w:ascii="宋体" w:hAnsi="宋体" w:eastAsia="宋体" w:cs="宋体"/>
                <w:color w:val="auto"/>
                <w:sz w:val="20"/>
                <w:szCs w:val="20"/>
                <w:highlight w:val="none"/>
              </w:rPr>
            </w:pPr>
          </w:p>
        </w:tc>
        <w:tc>
          <w:tcPr>
            <w:tcW w:w="735" w:type="dxa"/>
            <w:vAlign w:val="center"/>
          </w:tcPr>
          <w:p w14:paraId="093931E8">
            <w:pPr>
              <w:pStyle w:val="2"/>
              <w:jc w:val="center"/>
              <w:rPr>
                <w:rFonts w:hint="eastAsia" w:ascii="宋体" w:hAnsi="宋体" w:eastAsia="宋体" w:cs="宋体"/>
                <w:color w:val="auto"/>
                <w:sz w:val="20"/>
                <w:szCs w:val="20"/>
                <w:highlight w:val="none"/>
              </w:rPr>
            </w:pPr>
          </w:p>
        </w:tc>
        <w:tc>
          <w:tcPr>
            <w:tcW w:w="3600" w:type="dxa"/>
            <w:shd w:val="clear" w:color="auto" w:fill="auto"/>
            <w:vAlign w:val="center"/>
          </w:tcPr>
          <w:p w14:paraId="7CA643A0">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对系统生成的24/48/72/96/120小时雷击火险预测预报的5km×5km空间网格专题图成果数据，在地图上以网格形式展示未2/24/48~120小时内的雷击火险预测情况，每个网格显示相应的火险等级，支持动态更新和预警提示。</w:t>
            </w:r>
          </w:p>
        </w:tc>
        <w:tc>
          <w:tcPr>
            <w:tcW w:w="1935" w:type="dxa"/>
            <w:vAlign w:val="center"/>
          </w:tcPr>
          <w:p w14:paraId="4D394C34">
            <w:pPr>
              <w:pStyle w:val="2"/>
              <w:jc w:val="center"/>
              <w:rPr>
                <w:rFonts w:hint="eastAsia" w:ascii="宋体" w:hAnsi="宋体" w:eastAsia="宋体" w:cs="宋体"/>
                <w:color w:val="auto"/>
                <w:sz w:val="20"/>
                <w:szCs w:val="20"/>
                <w:highlight w:val="none"/>
              </w:rPr>
            </w:pPr>
          </w:p>
        </w:tc>
        <w:tc>
          <w:tcPr>
            <w:tcW w:w="1020" w:type="dxa"/>
            <w:vAlign w:val="center"/>
          </w:tcPr>
          <w:p w14:paraId="23C46B66">
            <w:pPr>
              <w:pStyle w:val="2"/>
              <w:jc w:val="center"/>
              <w:rPr>
                <w:rFonts w:hint="eastAsia" w:ascii="宋体" w:hAnsi="宋体" w:eastAsia="宋体" w:cs="宋体"/>
                <w:color w:val="auto"/>
                <w:sz w:val="20"/>
                <w:szCs w:val="20"/>
                <w:highlight w:val="none"/>
              </w:rPr>
            </w:pPr>
          </w:p>
        </w:tc>
        <w:tc>
          <w:tcPr>
            <w:tcW w:w="624" w:type="dxa"/>
            <w:vAlign w:val="center"/>
          </w:tcPr>
          <w:p w14:paraId="63675CD8">
            <w:pPr>
              <w:pStyle w:val="2"/>
              <w:jc w:val="center"/>
              <w:rPr>
                <w:rFonts w:hint="eastAsia" w:ascii="宋体" w:hAnsi="宋体" w:eastAsia="宋体" w:cs="宋体"/>
                <w:color w:val="auto"/>
                <w:sz w:val="20"/>
                <w:szCs w:val="20"/>
                <w:highlight w:val="none"/>
              </w:rPr>
            </w:pPr>
          </w:p>
        </w:tc>
      </w:tr>
      <w:tr w14:paraId="2FD26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49652EAD">
            <w:pPr>
              <w:pStyle w:val="2"/>
              <w:jc w:val="center"/>
              <w:rPr>
                <w:rFonts w:hint="default" w:ascii="宋体" w:hAnsi="宋体" w:eastAsia="宋体" w:cs="宋体"/>
                <w:color w:val="auto"/>
                <w:sz w:val="20"/>
                <w:szCs w:val="20"/>
                <w:highlight w:val="none"/>
                <w:lang w:val="en-US" w:eastAsia="zh-CN"/>
              </w:rPr>
            </w:pPr>
            <w:r>
              <w:rPr>
                <w:rFonts w:hint="eastAsia" w:hAnsi="宋体" w:eastAsia="宋体" w:cs="宋体"/>
                <w:color w:val="auto"/>
                <w:sz w:val="20"/>
                <w:szCs w:val="20"/>
                <w:highlight w:val="none"/>
                <w:lang w:val="en-US" w:eastAsia="zh-CN"/>
              </w:rPr>
              <w:t>12</w:t>
            </w:r>
          </w:p>
        </w:tc>
        <w:tc>
          <w:tcPr>
            <w:tcW w:w="793" w:type="dxa"/>
            <w:vAlign w:val="center"/>
          </w:tcPr>
          <w:p w14:paraId="022D0452">
            <w:pPr>
              <w:pStyle w:val="2"/>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数据可视化</w:t>
            </w:r>
          </w:p>
        </w:tc>
        <w:tc>
          <w:tcPr>
            <w:tcW w:w="585" w:type="dxa"/>
            <w:vAlign w:val="center"/>
          </w:tcPr>
          <w:p w14:paraId="6B74CB9A">
            <w:pPr>
              <w:pStyle w:val="2"/>
              <w:jc w:val="center"/>
              <w:rPr>
                <w:rFonts w:hint="eastAsia" w:ascii="宋体" w:hAnsi="宋体" w:eastAsia="宋体" w:cs="宋体"/>
                <w:color w:val="auto"/>
                <w:sz w:val="20"/>
                <w:szCs w:val="20"/>
                <w:highlight w:val="none"/>
              </w:rPr>
            </w:pPr>
          </w:p>
        </w:tc>
        <w:tc>
          <w:tcPr>
            <w:tcW w:w="735" w:type="dxa"/>
            <w:vAlign w:val="center"/>
          </w:tcPr>
          <w:p w14:paraId="186FFF16">
            <w:pPr>
              <w:pStyle w:val="2"/>
              <w:jc w:val="center"/>
              <w:rPr>
                <w:rFonts w:hint="eastAsia" w:ascii="宋体" w:hAnsi="宋体" w:eastAsia="宋体" w:cs="宋体"/>
                <w:color w:val="auto"/>
                <w:sz w:val="20"/>
                <w:szCs w:val="20"/>
                <w:highlight w:val="none"/>
              </w:rPr>
            </w:pPr>
          </w:p>
        </w:tc>
        <w:tc>
          <w:tcPr>
            <w:tcW w:w="3600" w:type="dxa"/>
            <w:shd w:val="clear" w:color="auto" w:fill="auto"/>
            <w:vAlign w:val="center"/>
          </w:tcPr>
          <w:p w14:paraId="421467B2">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（1）具备空间数据可视化，支持加载OGC标准服务、矢量瓦片服务、三维场景服务、地理编码服务等，在服务进行预览时，系统支持对服务进行打印。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（2）具备三维场景扩展功能，提供三维场景的浏览功能，提供在三维场景内的查询功能，支持安全设置。提供三维加载和浏览功能：地形数据、影像数据、KML数据、模型数据、矢量数据、二维地图。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（3）提供空间分析扩展功能集成了大量的空间分析能力，包括空间统计分析如聚合分析、区域汇总分析、属性汇总分析，常规的空间分析如叠加分析、缓冲区分析、表面分析、CAD叠加分析、地理编码逆编码等。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（4）提供动态标绘服务，包括：二维平面标绘、三维立体标绘、动态模型标绘等。</w:t>
            </w:r>
          </w:p>
        </w:tc>
        <w:tc>
          <w:tcPr>
            <w:tcW w:w="1935" w:type="dxa"/>
            <w:vAlign w:val="center"/>
          </w:tcPr>
          <w:p w14:paraId="03E766C4">
            <w:pPr>
              <w:pStyle w:val="2"/>
              <w:jc w:val="center"/>
              <w:rPr>
                <w:rFonts w:hint="eastAsia" w:ascii="宋体" w:hAnsi="宋体" w:eastAsia="宋体" w:cs="宋体"/>
                <w:color w:val="auto"/>
                <w:sz w:val="20"/>
                <w:szCs w:val="20"/>
                <w:highlight w:val="none"/>
              </w:rPr>
            </w:pPr>
          </w:p>
        </w:tc>
        <w:tc>
          <w:tcPr>
            <w:tcW w:w="1020" w:type="dxa"/>
            <w:vAlign w:val="center"/>
          </w:tcPr>
          <w:p w14:paraId="5683A6FD">
            <w:pPr>
              <w:pStyle w:val="2"/>
              <w:jc w:val="center"/>
              <w:rPr>
                <w:rFonts w:hint="eastAsia" w:ascii="宋体" w:hAnsi="宋体" w:eastAsia="宋体" w:cs="宋体"/>
                <w:color w:val="auto"/>
                <w:sz w:val="20"/>
                <w:szCs w:val="20"/>
                <w:highlight w:val="none"/>
              </w:rPr>
            </w:pPr>
          </w:p>
        </w:tc>
        <w:tc>
          <w:tcPr>
            <w:tcW w:w="624" w:type="dxa"/>
            <w:vAlign w:val="center"/>
          </w:tcPr>
          <w:p w14:paraId="46DC0CE1">
            <w:pPr>
              <w:pStyle w:val="2"/>
              <w:jc w:val="center"/>
              <w:rPr>
                <w:rFonts w:hint="eastAsia" w:ascii="宋体" w:hAnsi="宋体" w:eastAsia="宋体" w:cs="宋体"/>
                <w:color w:val="auto"/>
                <w:sz w:val="20"/>
                <w:szCs w:val="20"/>
                <w:highlight w:val="none"/>
              </w:rPr>
            </w:pPr>
          </w:p>
        </w:tc>
      </w:tr>
      <w:tr w14:paraId="0A724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35793E6E">
            <w:pPr>
              <w:pStyle w:val="2"/>
              <w:jc w:val="center"/>
              <w:rPr>
                <w:rFonts w:hint="default" w:ascii="宋体" w:hAnsi="宋体" w:eastAsia="宋体" w:cs="宋体"/>
                <w:color w:val="auto"/>
                <w:sz w:val="20"/>
                <w:szCs w:val="20"/>
                <w:highlight w:val="none"/>
                <w:lang w:val="en-US" w:eastAsia="zh-CN"/>
              </w:rPr>
            </w:pPr>
            <w:r>
              <w:rPr>
                <w:rFonts w:hint="eastAsia" w:hAnsi="宋体" w:eastAsia="宋体" w:cs="宋体"/>
                <w:color w:val="auto"/>
                <w:sz w:val="20"/>
                <w:szCs w:val="20"/>
                <w:highlight w:val="none"/>
                <w:lang w:val="en-US" w:eastAsia="zh-CN"/>
              </w:rPr>
              <w:t>13</w:t>
            </w:r>
          </w:p>
        </w:tc>
        <w:tc>
          <w:tcPr>
            <w:tcW w:w="793" w:type="dxa"/>
            <w:vAlign w:val="center"/>
          </w:tcPr>
          <w:p w14:paraId="31AA519A">
            <w:pPr>
              <w:pStyle w:val="2"/>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界面可视化</w:t>
            </w:r>
          </w:p>
        </w:tc>
        <w:tc>
          <w:tcPr>
            <w:tcW w:w="585" w:type="dxa"/>
            <w:vAlign w:val="center"/>
          </w:tcPr>
          <w:p w14:paraId="37833600">
            <w:pPr>
              <w:pStyle w:val="2"/>
              <w:jc w:val="center"/>
              <w:rPr>
                <w:rFonts w:hint="eastAsia" w:ascii="宋体" w:hAnsi="宋体" w:eastAsia="宋体" w:cs="宋体"/>
                <w:color w:val="auto"/>
                <w:sz w:val="20"/>
                <w:szCs w:val="20"/>
                <w:highlight w:val="none"/>
              </w:rPr>
            </w:pPr>
          </w:p>
        </w:tc>
        <w:tc>
          <w:tcPr>
            <w:tcW w:w="735" w:type="dxa"/>
            <w:vAlign w:val="center"/>
          </w:tcPr>
          <w:p w14:paraId="3B55F461">
            <w:pPr>
              <w:pStyle w:val="2"/>
              <w:jc w:val="center"/>
              <w:rPr>
                <w:rFonts w:hint="eastAsia" w:ascii="宋体" w:hAnsi="宋体" w:eastAsia="宋体" w:cs="宋体"/>
                <w:color w:val="auto"/>
                <w:sz w:val="20"/>
                <w:szCs w:val="20"/>
                <w:highlight w:val="none"/>
              </w:rPr>
            </w:pPr>
          </w:p>
        </w:tc>
        <w:tc>
          <w:tcPr>
            <w:tcW w:w="3600" w:type="dxa"/>
            <w:vAlign w:val="center"/>
          </w:tcPr>
          <w:p w14:paraId="7BDE2A27">
            <w:pPr>
              <w:pStyle w:val="2"/>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（1）界面布局设计采用“总览-详情”分层设计，模块化布局。系统采用响应式布局，支持PC端、大屏监控端、平板电脑自适应显示，确保在不同设备上界面布局合理、操作流畅。</w:t>
            </w:r>
          </w:p>
          <w:p w14:paraId="2263EAD7">
            <w:pPr>
              <w:pStyle w:val="2"/>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（2）界面开发需确保跨浏览器兼容性（支持Chrome、Firefox、Edge等主流浏览器），支持国产化环境适配。</w:t>
            </w:r>
          </w:p>
          <w:p w14:paraId="6C2D29B6">
            <w:pPr>
              <w:pStyle w:val="2"/>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（3）提供平板电脑使用移动端应用程序。</w:t>
            </w:r>
          </w:p>
          <w:p w14:paraId="6F9127B9">
            <w:pPr>
              <w:pStyle w:val="2"/>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（4）加载速度：页面首次加载时间≤3秒，数据更新响应时间≤3秒，避免用户等待卡顿。</w:t>
            </w:r>
          </w:p>
          <w:p w14:paraId="78CBDB74">
            <w:pPr>
              <w:pStyle w:val="2"/>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（5）视觉设计规范，界面风格需符合统一视觉规范（如主色调以蓝色/绿色为主，警示色采用红/橙/黄标准色值），使用清晰易懂的森林防火行业图标（如雷击符号、火险等级标识），避免过度商业化设计。</w:t>
            </w:r>
          </w:p>
          <w:p w14:paraId="63FBC3A6">
            <w:pPr>
              <w:pStyle w:val="2"/>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（6）支持管理员、业务人员等不同角色的界面权限配置。</w:t>
            </w:r>
          </w:p>
        </w:tc>
        <w:tc>
          <w:tcPr>
            <w:tcW w:w="1935" w:type="dxa"/>
            <w:vAlign w:val="center"/>
          </w:tcPr>
          <w:p w14:paraId="1B289F31">
            <w:pPr>
              <w:pStyle w:val="2"/>
              <w:jc w:val="center"/>
              <w:rPr>
                <w:rFonts w:hint="eastAsia" w:ascii="宋体" w:hAnsi="宋体" w:eastAsia="宋体" w:cs="宋体"/>
                <w:color w:val="auto"/>
                <w:sz w:val="20"/>
                <w:szCs w:val="20"/>
                <w:highlight w:val="none"/>
              </w:rPr>
            </w:pPr>
          </w:p>
        </w:tc>
        <w:tc>
          <w:tcPr>
            <w:tcW w:w="1020" w:type="dxa"/>
            <w:vAlign w:val="center"/>
          </w:tcPr>
          <w:p w14:paraId="1D4A6724">
            <w:pPr>
              <w:pStyle w:val="2"/>
              <w:jc w:val="center"/>
              <w:rPr>
                <w:rFonts w:hint="eastAsia" w:ascii="宋体" w:hAnsi="宋体" w:eastAsia="宋体" w:cs="宋体"/>
                <w:color w:val="auto"/>
                <w:sz w:val="20"/>
                <w:szCs w:val="20"/>
                <w:highlight w:val="none"/>
              </w:rPr>
            </w:pPr>
          </w:p>
        </w:tc>
        <w:tc>
          <w:tcPr>
            <w:tcW w:w="624" w:type="dxa"/>
            <w:vAlign w:val="center"/>
          </w:tcPr>
          <w:p w14:paraId="0B8D8F1B">
            <w:pPr>
              <w:pStyle w:val="2"/>
              <w:jc w:val="center"/>
              <w:rPr>
                <w:rFonts w:hint="eastAsia" w:ascii="宋体" w:hAnsi="宋体" w:eastAsia="宋体" w:cs="宋体"/>
                <w:color w:val="auto"/>
                <w:sz w:val="20"/>
                <w:szCs w:val="20"/>
                <w:highlight w:val="none"/>
              </w:rPr>
            </w:pPr>
          </w:p>
        </w:tc>
      </w:tr>
      <w:tr w14:paraId="2FFAA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7A13E6A8">
            <w:pPr>
              <w:keepNext w:val="0"/>
              <w:keepLines w:val="0"/>
              <w:widowControl/>
              <w:suppressLineNumbers w:val="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w:t>
            </w:r>
          </w:p>
        </w:tc>
        <w:tc>
          <w:tcPr>
            <w:tcW w:w="793" w:type="dxa"/>
            <w:vAlign w:val="center"/>
          </w:tcPr>
          <w:p w14:paraId="3CC8636B">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系统管理模块</w:t>
            </w:r>
          </w:p>
        </w:tc>
        <w:tc>
          <w:tcPr>
            <w:tcW w:w="585" w:type="dxa"/>
            <w:vAlign w:val="center"/>
          </w:tcPr>
          <w:p w14:paraId="7BD3B1D5">
            <w:pPr>
              <w:pStyle w:val="2"/>
              <w:jc w:val="center"/>
              <w:rPr>
                <w:rFonts w:hint="eastAsia" w:ascii="宋体" w:hAnsi="宋体" w:eastAsia="宋体" w:cs="宋体"/>
                <w:color w:val="auto"/>
                <w:sz w:val="20"/>
                <w:szCs w:val="20"/>
                <w:highlight w:val="none"/>
              </w:rPr>
            </w:pPr>
          </w:p>
        </w:tc>
        <w:tc>
          <w:tcPr>
            <w:tcW w:w="735" w:type="dxa"/>
            <w:vAlign w:val="center"/>
          </w:tcPr>
          <w:p w14:paraId="19A589D8">
            <w:pPr>
              <w:pStyle w:val="2"/>
              <w:jc w:val="center"/>
              <w:rPr>
                <w:rFonts w:hint="eastAsia" w:ascii="宋体" w:hAnsi="宋体" w:eastAsia="宋体" w:cs="宋体"/>
                <w:color w:val="auto"/>
                <w:sz w:val="20"/>
                <w:szCs w:val="20"/>
                <w:highlight w:val="none"/>
              </w:rPr>
            </w:pPr>
          </w:p>
        </w:tc>
        <w:tc>
          <w:tcPr>
            <w:tcW w:w="3600" w:type="dxa"/>
            <w:shd w:val="clear" w:color="auto" w:fill="auto"/>
            <w:vAlign w:val="center"/>
          </w:tcPr>
          <w:p w14:paraId="668C6169">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（1）提供集中统一的身份认证服务，满足各业务系统有机集成、统一管理的技术需求。提供组织架构及用户体系。可自定义配置用户角色，并根据角色分配权限及功能模块。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（2）提供统一应用授权管理功能，针对不同角色用户制定灵活的统一信息资源目录授权策略，实现统一的分级分类授权等管理，包含应用（系统）管理、角色管理、用户授权功能。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（3）提供用户登录系统情况、访问量的统计功能，支持系统操作记录的查询与管理，并具备统一的账号审计分析功能。</w:t>
            </w:r>
          </w:p>
        </w:tc>
        <w:tc>
          <w:tcPr>
            <w:tcW w:w="1935" w:type="dxa"/>
            <w:vAlign w:val="center"/>
          </w:tcPr>
          <w:p w14:paraId="3046109F">
            <w:pPr>
              <w:pStyle w:val="2"/>
              <w:jc w:val="center"/>
              <w:rPr>
                <w:rFonts w:hint="eastAsia" w:ascii="宋体" w:hAnsi="宋体" w:eastAsia="宋体" w:cs="宋体"/>
                <w:color w:val="auto"/>
                <w:sz w:val="20"/>
                <w:szCs w:val="20"/>
                <w:highlight w:val="none"/>
              </w:rPr>
            </w:pPr>
          </w:p>
        </w:tc>
        <w:tc>
          <w:tcPr>
            <w:tcW w:w="1020" w:type="dxa"/>
            <w:vAlign w:val="center"/>
          </w:tcPr>
          <w:p w14:paraId="23BA6EB7">
            <w:pPr>
              <w:pStyle w:val="2"/>
              <w:jc w:val="center"/>
              <w:rPr>
                <w:rFonts w:hint="eastAsia" w:ascii="宋体" w:hAnsi="宋体" w:eastAsia="宋体" w:cs="宋体"/>
                <w:color w:val="auto"/>
                <w:sz w:val="20"/>
                <w:szCs w:val="20"/>
                <w:highlight w:val="none"/>
              </w:rPr>
            </w:pPr>
          </w:p>
        </w:tc>
        <w:tc>
          <w:tcPr>
            <w:tcW w:w="624" w:type="dxa"/>
            <w:vAlign w:val="center"/>
          </w:tcPr>
          <w:p w14:paraId="472978A0">
            <w:pPr>
              <w:pStyle w:val="2"/>
              <w:jc w:val="center"/>
              <w:rPr>
                <w:rFonts w:hint="eastAsia" w:ascii="宋体" w:hAnsi="宋体" w:eastAsia="宋体" w:cs="宋体"/>
                <w:color w:val="auto"/>
                <w:sz w:val="20"/>
                <w:szCs w:val="20"/>
                <w:highlight w:val="none"/>
              </w:rPr>
            </w:pPr>
          </w:p>
        </w:tc>
      </w:tr>
      <w:tr w14:paraId="5BCEA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0011DA13">
            <w:pPr>
              <w:keepNext w:val="0"/>
              <w:keepLines w:val="0"/>
              <w:widowControl/>
              <w:suppressLineNumbers w:val="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w:t>
            </w:r>
          </w:p>
        </w:tc>
        <w:tc>
          <w:tcPr>
            <w:tcW w:w="793" w:type="dxa"/>
            <w:vAlign w:val="center"/>
          </w:tcPr>
          <w:p w14:paraId="667EFF7D">
            <w:pPr>
              <w:keepNext w:val="0"/>
              <w:keepLines w:val="0"/>
              <w:widowControl/>
              <w:suppressLineNumbers w:val="0"/>
              <w:jc w:val="left"/>
              <w:textAlignment w:val="center"/>
              <w:rPr>
                <w:rFonts w:hint="eastAsia" w:ascii="宋体" w:hAnsi="宋体" w:eastAsia="宋体" w:cs="宋体"/>
                <w:color w:val="auto"/>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大屏适配</w:t>
            </w:r>
          </w:p>
        </w:tc>
        <w:tc>
          <w:tcPr>
            <w:tcW w:w="585" w:type="dxa"/>
            <w:vAlign w:val="center"/>
          </w:tcPr>
          <w:p w14:paraId="4423D043">
            <w:pPr>
              <w:pStyle w:val="2"/>
              <w:jc w:val="center"/>
              <w:rPr>
                <w:rFonts w:hint="eastAsia" w:ascii="宋体" w:hAnsi="宋体" w:eastAsia="宋体" w:cs="宋体"/>
                <w:color w:val="auto"/>
                <w:sz w:val="20"/>
                <w:szCs w:val="20"/>
                <w:highlight w:val="none"/>
              </w:rPr>
            </w:pPr>
          </w:p>
        </w:tc>
        <w:tc>
          <w:tcPr>
            <w:tcW w:w="735" w:type="dxa"/>
            <w:vAlign w:val="center"/>
          </w:tcPr>
          <w:p w14:paraId="1C460553">
            <w:pPr>
              <w:pStyle w:val="2"/>
              <w:jc w:val="center"/>
              <w:rPr>
                <w:rFonts w:hint="eastAsia" w:ascii="宋体" w:hAnsi="宋体" w:eastAsia="宋体" w:cs="宋体"/>
                <w:color w:val="auto"/>
                <w:sz w:val="20"/>
                <w:szCs w:val="20"/>
                <w:highlight w:val="none"/>
              </w:rPr>
            </w:pPr>
          </w:p>
        </w:tc>
        <w:tc>
          <w:tcPr>
            <w:tcW w:w="3600" w:type="dxa"/>
            <w:shd w:val="clear" w:color="auto" w:fill="auto"/>
            <w:vAlign w:val="center"/>
          </w:tcPr>
          <w:p w14:paraId="76CA8792">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（1）适配研判中心定制的小间距LED大屏，构建基于Web端电子地图的可视化大屏展示。实时展示业务系统内的相关数据，将复杂的数据信息以图表、地图、仪表盘等形式进行展示。</w:t>
            </w:r>
          </w:p>
        </w:tc>
        <w:tc>
          <w:tcPr>
            <w:tcW w:w="1935" w:type="dxa"/>
            <w:vAlign w:val="center"/>
          </w:tcPr>
          <w:p w14:paraId="65353133">
            <w:pPr>
              <w:pStyle w:val="2"/>
              <w:jc w:val="center"/>
              <w:rPr>
                <w:rFonts w:hint="eastAsia" w:ascii="宋体" w:hAnsi="宋体" w:eastAsia="宋体" w:cs="宋体"/>
                <w:color w:val="auto"/>
                <w:sz w:val="20"/>
                <w:szCs w:val="20"/>
                <w:highlight w:val="none"/>
              </w:rPr>
            </w:pPr>
          </w:p>
        </w:tc>
        <w:tc>
          <w:tcPr>
            <w:tcW w:w="1020" w:type="dxa"/>
            <w:vAlign w:val="center"/>
          </w:tcPr>
          <w:p w14:paraId="637005F8">
            <w:pPr>
              <w:pStyle w:val="2"/>
              <w:jc w:val="center"/>
              <w:rPr>
                <w:rFonts w:hint="eastAsia" w:ascii="宋体" w:hAnsi="宋体" w:eastAsia="宋体" w:cs="宋体"/>
                <w:color w:val="auto"/>
                <w:sz w:val="20"/>
                <w:szCs w:val="20"/>
                <w:highlight w:val="none"/>
              </w:rPr>
            </w:pPr>
          </w:p>
        </w:tc>
        <w:tc>
          <w:tcPr>
            <w:tcW w:w="624" w:type="dxa"/>
            <w:vAlign w:val="center"/>
          </w:tcPr>
          <w:p w14:paraId="2309E67F">
            <w:pPr>
              <w:pStyle w:val="2"/>
              <w:jc w:val="center"/>
              <w:rPr>
                <w:rFonts w:hint="eastAsia" w:ascii="宋体" w:hAnsi="宋体" w:eastAsia="宋体" w:cs="宋体"/>
                <w:color w:val="auto"/>
                <w:sz w:val="20"/>
                <w:szCs w:val="20"/>
                <w:highlight w:val="none"/>
              </w:rPr>
            </w:pPr>
          </w:p>
        </w:tc>
      </w:tr>
      <w:tr w14:paraId="2CB83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97" w:type="dxa"/>
            <w:vAlign w:val="center"/>
          </w:tcPr>
          <w:p w14:paraId="27A1AE1D">
            <w:pPr>
              <w:pStyle w:val="2"/>
              <w:jc w:val="center"/>
              <w:rPr>
                <w:rFonts w:hint="default" w:ascii="宋体" w:hAnsi="宋体" w:eastAsia="宋体" w:cs="宋体"/>
                <w:color w:val="auto"/>
                <w:sz w:val="20"/>
                <w:szCs w:val="20"/>
                <w:highlight w:val="none"/>
                <w:lang w:val="en-US" w:eastAsia="zh-CN"/>
              </w:rPr>
            </w:pPr>
            <w:r>
              <w:rPr>
                <w:rFonts w:hint="eastAsia" w:hAnsi="宋体" w:eastAsia="宋体" w:cs="宋体"/>
                <w:color w:val="auto"/>
                <w:sz w:val="20"/>
                <w:szCs w:val="20"/>
                <w:highlight w:val="none"/>
                <w:lang w:val="en-US" w:eastAsia="zh-CN"/>
              </w:rPr>
              <w:t>16</w:t>
            </w:r>
          </w:p>
        </w:tc>
        <w:tc>
          <w:tcPr>
            <w:tcW w:w="793" w:type="dxa"/>
            <w:vAlign w:val="center"/>
          </w:tcPr>
          <w:p w14:paraId="21C86A75">
            <w:pPr>
              <w:pStyle w:val="2"/>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预警信息发布</w:t>
            </w:r>
          </w:p>
        </w:tc>
        <w:tc>
          <w:tcPr>
            <w:tcW w:w="585" w:type="dxa"/>
            <w:vAlign w:val="center"/>
          </w:tcPr>
          <w:p w14:paraId="01E2D7EA">
            <w:pPr>
              <w:pStyle w:val="2"/>
              <w:jc w:val="center"/>
              <w:rPr>
                <w:rFonts w:hint="eastAsia" w:ascii="宋体" w:hAnsi="宋体" w:eastAsia="宋体" w:cs="宋体"/>
                <w:color w:val="auto"/>
                <w:sz w:val="20"/>
                <w:szCs w:val="20"/>
                <w:highlight w:val="none"/>
              </w:rPr>
            </w:pPr>
          </w:p>
        </w:tc>
        <w:tc>
          <w:tcPr>
            <w:tcW w:w="735" w:type="dxa"/>
            <w:vAlign w:val="center"/>
          </w:tcPr>
          <w:p w14:paraId="590C8626">
            <w:pPr>
              <w:pStyle w:val="2"/>
              <w:jc w:val="center"/>
              <w:rPr>
                <w:rFonts w:hint="eastAsia" w:ascii="宋体" w:hAnsi="宋体" w:eastAsia="宋体" w:cs="宋体"/>
                <w:color w:val="auto"/>
                <w:sz w:val="20"/>
                <w:szCs w:val="20"/>
                <w:highlight w:val="none"/>
              </w:rPr>
            </w:pPr>
          </w:p>
        </w:tc>
        <w:tc>
          <w:tcPr>
            <w:tcW w:w="3600" w:type="dxa"/>
            <w:shd w:val="clear" w:color="auto" w:fill="auto"/>
            <w:vAlign w:val="center"/>
          </w:tcPr>
          <w:p w14:paraId="67236117">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（1）系统利用接口API共享、短信、消息推送等技术手段，通过互联网、移动通讯、微信等渠道向PC端、手机移动端、平板端等平台发布和推送雷击火险预测预报成果和告警信息。</w:t>
            </w:r>
          </w:p>
        </w:tc>
        <w:tc>
          <w:tcPr>
            <w:tcW w:w="1935" w:type="dxa"/>
            <w:vAlign w:val="center"/>
          </w:tcPr>
          <w:p w14:paraId="3A8D1D07">
            <w:pPr>
              <w:pStyle w:val="2"/>
              <w:jc w:val="center"/>
              <w:rPr>
                <w:rFonts w:hint="eastAsia" w:ascii="宋体" w:hAnsi="宋体" w:eastAsia="宋体" w:cs="宋体"/>
                <w:color w:val="auto"/>
                <w:sz w:val="20"/>
                <w:szCs w:val="20"/>
                <w:highlight w:val="none"/>
              </w:rPr>
            </w:pPr>
          </w:p>
        </w:tc>
        <w:tc>
          <w:tcPr>
            <w:tcW w:w="1020" w:type="dxa"/>
            <w:vAlign w:val="center"/>
          </w:tcPr>
          <w:p w14:paraId="0BF1C5E2">
            <w:pPr>
              <w:pStyle w:val="2"/>
              <w:jc w:val="center"/>
              <w:rPr>
                <w:rFonts w:hint="eastAsia" w:ascii="宋体" w:hAnsi="宋体" w:eastAsia="宋体" w:cs="宋体"/>
                <w:color w:val="auto"/>
                <w:sz w:val="20"/>
                <w:szCs w:val="20"/>
                <w:highlight w:val="none"/>
              </w:rPr>
            </w:pPr>
          </w:p>
        </w:tc>
        <w:tc>
          <w:tcPr>
            <w:tcW w:w="624" w:type="dxa"/>
            <w:vAlign w:val="center"/>
          </w:tcPr>
          <w:p w14:paraId="7F9079A4">
            <w:pPr>
              <w:pStyle w:val="2"/>
              <w:jc w:val="center"/>
              <w:rPr>
                <w:rFonts w:hint="eastAsia" w:ascii="宋体" w:hAnsi="宋体" w:eastAsia="宋体" w:cs="宋体"/>
                <w:color w:val="auto"/>
                <w:sz w:val="20"/>
                <w:szCs w:val="20"/>
                <w:highlight w:val="none"/>
              </w:rPr>
            </w:pPr>
          </w:p>
        </w:tc>
      </w:tr>
    </w:tbl>
    <w:p w14:paraId="7A007E60">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p>
    <w:p w14:paraId="1CD5AC28">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p>
    <w:p w14:paraId="5FE741D3">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p>
    <w:p w14:paraId="63374A83">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w:t>
      </w:r>
      <w:r>
        <w:rPr>
          <w:rFonts w:hint="eastAsia" w:ascii="宋体" w:hAnsi="宋体" w:eastAsia="宋体" w:cs="宋体"/>
          <w:color w:val="auto"/>
          <w:sz w:val="24"/>
          <w:szCs w:val="24"/>
          <w:highlight w:val="none"/>
        </w:rPr>
        <w:tab/>
      </w:r>
      <w:r>
        <w:rPr>
          <w:rFonts w:hint="eastAsia"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应对照</w:t>
      </w:r>
      <w:r>
        <w:rPr>
          <w:rFonts w:hint="eastAsia" w:hAnsi="宋体" w:cs="宋体"/>
          <w:color w:val="auto"/>
          <w:sz w:val="24"/>
          <w:szCs w:val="24"/>
          <w:highlight w:val="none"/>
          <w:lang w:val="en-US" w:eastAsia="zh-CN"/>
        </w:rPr>
        <w:t>磋商</w:t>
      </w:r>
      <w:r>
        <w:rPr>
          <w:rFonts w:hint="eastAsia" w:ascii="宋体" w:hAnsi="宋体" w:eastAsia="宋体" w:cs="宋体"/>
          <w:color w:val="auto"/>
          <w:sz w:val="24"/>
          <w:szCs w:val="24"/>
          <w:highlight w:val="none"/>
        </w:rPr>
        <w:t>文件</w:t>
      </w:r>
      <w:r>
        <w:rPr>
          <w:rFonts w:hint="eastAsia" w:hAnsi="宋体" w:cs="宋体"/>
          <w:color w:val="auto"/>
          <w:sz w:val="24"/>
          <w:szCs w:val="24"/>
          <w:highlight w:val="none"/>
          <w:lang w:val="en-US" w:eastAsia="zh-CN"/>
        </w:rPr>
        <w:t>工程量清单</w:t>
      </w:r>
      <w:r>
        <w:rPr>
          <w:rFonts w:hint="eastAsia" w:ascii="宋体" w:hAnsi="宋体" w:cs="宋体"/>
          <w:b/>
          <w:bCs/>
          <w:color w:val="auto"/>
          <w:sz w:val="24"/>
          <w:highlight w:val="none"/>
          <w:lang w:val="en-US" w:eastAsia="zh-CN"/>
        </w:rPr>
        <w:t>参数要求</w:t>
      </w:r>
      <w:r>
        <w:rPr>
          <w:rFonts w:hint="eastAsia" w:ascii="宋体" w:hAnsi="宋体" w:eastAsia="宋体" w:cs="宋体"/>
          <w:color w:val="auto"/>
          <w:sz w:val="24"/>
          <w:szCs w:val="24"/>
          <w:highlight w:val="none"/>
        </w:rPr>
        <w:t>，在“偏离响应情况”项中填写“正</w:t>
      </w:r>
      <w:r>
        <w:rPr>
          <w:rFonts w:hint="eastAsia" w:ascii="宋体" w:hAnsi="宋体" w:eastAsia="宋体" w:cs="宋体"/>
          <w:color w:val="auto"/>
          <w:sz w:val="24"/>
          <w:szCs w:val="24"/>
          <w:highlight w:val="none"/>
          <w:lang w:eastAsia="zh-CN"/>
        </w:rPr>
        <w:t>偏离</w:t>
      </w:r>
      <w:r>
        <w:rPr>
          <w:rFonts w:hint="eastAsia" w:ascii="宋体" w:hAnsi="宋体" w:eastAsia="宋体" w:cs="宋体"/>
          <w:color w:val="auto"/>
          <w:sz w:val="24"/>
          <w:szCs w:val="24"/>
          <w:highlight w:val="none"/>
        </w:rPr>
        <w:t>”、“负</w:t>
      </w:r>
      <w:r>
        <w:rPr>
          <w:rFonts w:hint="eastAsia" w:ascii="宋体" w:hAnsi="宋体" w:eastAsia="宋体" w:cs="宋体"/>
          <w:color w:val="auto"/>
          <w:sz w:val="24"/>
          <w:szCs w:val="24"/>
          <w:highlight w:val="none"/>
          <w:lang w:eastAsia="zh-CN"/>
        </w:rPr>
        <w:t>偏离</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”，逐条说明已对</w:t>
      </w:r>
      <w:r>
        <w:rPr>
          <w:rFonts w:hint="eastAsia" w:hAnsi="宋体" w:cs="宋体"/>
          <w:color w:val="auto"/>
          <w:sz w:val="24"/>
          <w:szCs w:val="24"/>
          <w:highlight w:val="none"/>
          <w:lang w:val="en-US" w:eastAsia="zh-CN"/>
        </w:rPr>
        <w:t>磋商</w:t>
      </w:r>
      <w:r>
        <w:rPr>
          <w:rFonts w:hint="eastAsia" w:ascii="宋体" w:hAnsi="宋体" w:eastAsia="宋体" w:cs="宋体"/>
          <w:color w:val="auto"/>
          <w:sz w:val="24"/>
          <w:szCs w:val="24"/>
          <w:highlight w:val="none"/>
        </w:rPr>
        <w:t>文件的</w:t>
      </w:r>
      <w:r>
        <w:rPr>
          <w:rFonts w:hint="eastAsia" w:ascii="宋体" w:hAnsi="宋体" w:eastAsia="宋体" w:cs="宋体"/>
          <w:color w:val="auto"/>
          <w:sz w:val="24"/>
          <w:szCs w:val="24"/>
          <w:highlight w:val="none"/>
          <w:lang w:eastAsia="zh-CN"/>
        </w:rPr>
        <w:t>要求</w:t>
      </w:r>
      <w:r>
        <w:rPr>
          <w:rFonts w:hint="eastAsia" w:ascii="宋体" w:hAnsi="宋体" w:eastAsia="宋体" w:cs="宋体"/>
          <w:color w:val="auto"/>
          <w:sz w:val="24"/>
          <w:szCs w:val="24"/>
          <w:highlight w:val="none"/>
        </w:rPr>
        <w:t>内容做出了实质性的响应，并</w:t>
      </w:r>
      <w:r>
        <w:rPr>
          <w:rFonts w:hint="eastAsia" w:ascii="宋体" w:hAnsi="宋体" w:eastAsia="宋体" w:cs="宋体"/>
          <w:color w:val="auto"/>
          <w:sz w:val="24"/>
          <w:szCs w:val="24"/>
          <w:highlight w:val="none"/>
          <w:lang w:eastAsia="zh-CN"/>
        </w:rPr>
        <w:t>声明</w:t>
      </w:r>
      <w:r>
        <w:rPr>
          <w:rFonts w:hint="eastAsia" w:ascii="宋体" w:hAnsi="宋体" w:eastAsia="宋体" w:cs="宋体"/>
          <w:color w:val="auto"/>
          <w:sz w:val="24"/>
          <w:szCs w:val="24"/>
          <w:highlight w:val="none"/>
        </w:rPr>
        <w:t>与</w:t>
      </w:r>
      <w:r>
        <w:rPr>
          <w:rFonts w:hint="eastAsia" w:hAnsi="宋体" w:cs="宋体"/>
          <w:color w:val="auto"/>
          <w:sz w:val="24"/>
          <w:szCs w:val="24"/>
          <w:highlight w:val="none"/>
          <w:lang w:val="en-US" w:eastAsia="zh-CN"/>
        </w:rPr>
        <w:t>磋商</w:t>
      </w:r>
      <w:r>
        <w:rPr>
          <w:rFonts w:hint="eastAsia" w:ascii="宋体" w:hAnsi="宋体" w:eastAsia="宋体" w:cs="宋体"/>
          <w:color w:val="auto"/>
          <w:sz w:val="24"/>
          <w:szCs w:val="24"/>
          <w:highlight w:val="none"/>
        </w:rPr>
        <w:t>文件的偏差和例外</w:t>
      </w:r>
      <w:r>
        <w:rPr>
          <w:rFonts w:hint="eastAsia" w:ascii="宋体" w:hAnsi="宋体" w:eastAsia="宋体" w:cs="宋体"/>
          <w:color w:val="auto"/>
          <w:sz w:val="24"/>
          <w:szCs w:val="24"/>
          <w:highlight w:val="none"/>
          <w:lang w:eastAsia="zh-CN"/>
        </w:rPr>
        <w:t>。</w:t>
      </w:r>
    </w:p>
    <w:p w14:paraId="0A31BDFB">
      <w:pPr>
        <w:pStyle w:val="2"/>
        <w:ind w:firstLine="480" w:firstLineChars="200"/>
        <w:rPr>
          <w:rFonts w:hint="eastAsia" w:ascii="宋体" w:hAnsi="宋体" w:eastAsia="宋体" w:cs="宋体"/>
          <w:color w:val="auto"/>
          <w:sz w:val="24"/>
          <w:szCs w:val="24"/>
          <w:highlight w:val="none"/>
        </w:rPr>
      </w:pPr>
    </w:p>
    <w:p w14:paraId="2B16DD81">
      <w:pPr>
        <w:pStyle w:val="2"/>
        <w:ind w:firstLine="480" w:firstLineChars="200"/>
        <w:rPr>
          <w:rFonts w:hint="eastAsia" w:ascii="宋体" w:hAnsi="宋体" w:eastAsia="宋体" w:cs="宋体"/>
          <w:color w:val="auto"/>
          <w:sz w:val="24"/>
          <w:szCs w:val="24"/>
          <w:highlight w:val="none"/>
        </w:rPr>
      </w:pPr>
    </w:p>
    <w:p w14:paraId="4E4670D2">
      <w:pPr>
        <w:pStyle w:val="2"/>
        <w:spacing w:line="360" w:lineRule="auto"/>
        <w:ind w:firstLine="480" w:firstLineChars="200"/>
        <w:rPr>
          <w:rFonts w:hint="eastAsia" w:ascii="宋体" w:hAnsi="宋体" w:eastAsia="宋体" w:cs="宋体"/>
          <w:color w:val="auto"/>
          <w:sz w:val="24"/>
          <w:szCs w:val="24"/>
          <w:highlight w:val="none"/>
        </w:rPr>
      </w:pPr>
      <w:r>
        <w:rPr>
          <w:rFonts w:hint="eastAsia"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名称(公章)：____________</w:t>
      </w:r>
    </w:p>
    <w:p w14:paraId="0BA2F47A">
      <w:pPr>
        <w:pStyle w:val="2"/>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法定代表人或其授权代表(签字或盖章)：____________</w:t>
      </w:r>
    </w:p>
    <w:p w14:paraId="6BA3D5F3">
      <w:pPr>
        <w:pStyle w:val="2"/>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日期：______年____月____日</w:t>
      </w:r>
    </w:p>
    <w:p w14:paraId="4C9AA7F2">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9065AC"/>
    <w:rsid w:val="29906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2026-05-29T05:40:00Z</dcterms:created>
  <dc:creator>张锦吉</dc:creator>
  <cp:lastModifiedBy>张锦吉</cp:lastModifiedBy>
  <dcterms:modified xsi:type="dcterms:W3CDTF">2026-05-29T05:44:58Z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4194A03CE1B7432D85D6A1A795711E72_11</vt:lpwstr>
  </property>
  <property fmtid="{D5CDD505-2E9C-101B-9397-08002B2CF9AE}" pid="4" name="KSOTemplateDocerSaveRecord">
    <vt:lpwstr>eyJoZGlkIjoiZDU5ZmUxYTc5ZjVhNjc2ZjlmNjIwZDE5NzZjZGZkMmMiLCJ1c2VySWQiOiIxNzgyMDU1MTIyIn0=</vt:lpwstr>
  </property>
</Properties>
</file>