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版本号：ZJZB2026-CS101220260521002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西安市人民检察院食堂包厨项目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ZJZB2026-CS1012</w:t>
      </w:r>
      <w:r>
        <w:br/>
      </w:r>
      <w:r>
        <w:br/>
      </w:r>
      <w:r>
        <w:br/>
      </w:r>
    </w:p>
    <w:p>
      <w:pPr>
        <w:pStyle w:val="null3"/>
        <w:jc w:val="center"/>
        <w:outlineLvl w:val="2"/>
      </w:pPr>
      <w:r>
        <w:rPr>
          <w:rFonts w:ascii="仿宋_GB2312" w:hAnsi="仿宋_GB2312" w:cs="仿宋_GB2312" w:eastAsia="仿宋_GB2312"/>
          <w:sz w:val="28"/>
          <w:b/>
        </w:rPr>
        <w:t>西安市人民检察院（本级）</w:t>
      </w:r>
    </w:p>
    <w:p>
      <w:pPr>
        <w:pStyle w:val="null3"/>
        <w:jc w:val="center"/>
        <w:outlineLvl w:val="2"/>
      </w:pPr>
      <w:r>
        <w:rPr>
          <w:rFonts w:ascii="仿宋_GB2312" w:hAnsi="仿宋_GB2312" w:cs="仿宋_GB2312" w:eastAsia="仿宋_GB2312"/>
          <w:sz w:val="28"/>
          <w:b/>
        </w:rPr>
        <w:t>陕西中基项目管理有限公司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陕西中基项目管理有限公司</w:t>
      </w:r>
      <w:r>
        <w:rPr>
          <w:rFonts w:ascii="仿宋_GB2312" w:hAnsi="仿宋_GB2312" w:cs="仿宋_GB2312" w:eastAsia="仿宋_GB2312"/>
        </w:rPr>
        <w:t>（以下简称“代理机构”）受</w:t>
      </w:r>
      <w:r>
        <w:rPr>
          <w:rFonts w:ascii="仿宋_GB2312" w:hAnsi="仿宋_GB2312" w:cs="仿宋_GB2312" w:eastAsia="仿宋_GB2312"/>
        </w:rPr>
        <w:t>西安市人民检察院（本级）</w:t>
      </w:r>
      <w:r>
        <w:rPr>
          <w:rFonts w:ascii="仿宋_GB2312" w:hAnsi="仿宋_GB2312" w:cs="仿宋_GB2312" w:eastAsia="仿宋_GB2312"/>
        </w:rPr>
        <w:t>委托，拟对</w:t>
      </w:r>
      <w:r>
        <w:rPr>
          <w:rFonts w:ascii="仿宋_GB2312" w:hAnsi="仿宋_GB2312" w:cs="仿宋_GB2312" w:eastAsia="仿宋_GB2312"/>
        </w:rPr>
        <w:t>西安市人民检察院食堂包厨项目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ZJZB2026-CS1012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西安市人民检察院食堂包厨项目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陕西省西安市人民检察院干警餐厅采用服务外包的方式，食堂服务、餐饮管理和饭菜制作等相关工作全部委托给承包方，由承包方按照餐费标准、经营模式、管理规程提供餐饮服务管理。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采购包1（西安市人民检察院食堂包厨项目）：属于专门面向中小企业采购。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1、资质要求：供应商需具有有效的国家市场监督管理行政部门颁发的食品经营许可证。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西安市人民检察院（本级）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西安市北二环东段569号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西安市人民检察院（本级）经办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86130919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陕西省西安市⾼新区⾼新路56号电信⼴场东⻔裙楼4F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招标代理中心曾艳、高杰、宜健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029-88336376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计算方法：以中标金额为基数，依据国家计委颁布《招标代理服务收费管理暂行办法》（计价格[2002]1980号）和国家发展和改革委员会办公厅颁发的《关于招标代理服务收费有关问题的通知》（发改办价格[2003]857号）文件规定执行，不足8000.00元按8000.00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西安市人民检察院（本级）</w:t>
      </w:r>
      <w:r>
        <w:rPr>
          <w:rFonts w:ascii="仿宋_GB2312" w:hAnsi="仿宋_GB2312" w:cs="仿宋_GB2312" w:eastAsia="仿宋_GB2312"/>
        </w:rPr>
        <w:t>和</w:t>
      </w:r>
      <w:r>
        <w:rPr>
          <w:rFonts w:ascii="仿宋_GB2312" w:hAnsi="仿宋_GB2312" w:cs="仿宋_GB2312" w:eastAsia="仿宋_GB2312"/>
        </w:rPr>
        <w:t>陕西中基项目管理有限公司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西安市人民检察院（本级）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西安市人民检察院（本级）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具体以合同签订为准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联系人：曾艳</w:t>
      </w:r>
    </w:p>
    <w:p>
      <w:pPr>
        <w:pStyle w:val="null3"/>
      </w:pPr>
      <w:r>
        <w:rPr>
          <w:rFonts w:ascii="仿宋_GB2312" w:hAnsi="仿宋_GB2312" w:cs="仿宋_GB2312" w:eastAsia="仿宋_GB2312"/>
        </w:rPr>
        <w:t>联系电话：029-88336376</w:t>
      </w:r>
    </w:p>
    <w:p>
      <w:pPr>
        <w:pStyle w:val="null3"/>
      </w:pPr>
      <w:r>
        <w:rPr>
          <w:rFonts w:ascii="仿宋_GB2312" w:hAnsi="仿宋_GB2312" w:cs="仿宋_GB2312" w:eastAsia="仿宋_GB2312"/>
        </w:rPr>
        <w:t>地址：陕西省西安市高新区高新路56号电信广场东门裙楼4F</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陕西省西安市人民检察院干警餐厅采用服务外包的方式，食堂服务、餐饮管理和饭菜制作等相关工作全部委托给承包方，由承包方按照餐费标准、经营模式、管理规程提供餐饮服务管理。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710,000.00</w:t>
      </w:r>
    </w:p>
    <w:p>
      <w:pPr>
        <w:pStyle w:val="null3"/>
      </w:pPr>
      <w:r>
        <w:rPr>
          <w:rFonts w:ascii="仿宋_GB2312" w:hAnsi="仿宋_GB2312" w:cs="仿宋_GB2312" w:eastAsia="仿宋_GB2312"/>
        </w:rPr>
        <w:t>采购包最高限价（元）: 710,000.00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710,000.00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1"/>
                <w:b/>
              </w:rPr>
              <w:t>一、项目概况</w:t>
            </w:r>
          </w:p>
          <w:p>
            <w:pPr>
              <w:pStyle w:val="null3"/>
              <w:ind w:firstLine="640"/>
              <w:jc w:val="both"/>
            </w:pPr>
            <w:r>
              <w:rPr>
                <w:rFonts w:ascii="仿宋_GB2312" w:hAnsi="仿宋_GB2312" w:cs="仿宋_GB2312" w:eastAsia="仿宋_GB2312"/>
                <w:sz w:val="21"/>
              </w:rPr>
              <w:t>陕西省西安市人民检察院干警餐厅采用服务外包的方式，食堂服务、餐饮管理和饭菜制作等相关工作全部委托给承包方，由承包方按照餐费标准、经营模式、管理规程提供餐饮服务管理。</w:t>
            </w:r>
          </w:p>
          <w:p>
            <w:pPr>
              <w:pStyle w:val="null3"/>
              <w:spacing w:before="315"/>
              <w:jc w:val="both"/>
            </w:pPr>
            <w:r>
              <w:rPr>
                <w:rFonts w:ascii="仿宋_GB2312" w:hAnsi="仿宋_GB2312" w:cs="仿宋_GB2312" w:eastAsia="仿宋_GB2312"/>
                <w:sz w:val="21"/>
                <w:b/>
              </w:rPr>
              <w:t>二、服务内容（包括工作区域、工作内容等）</w:t>
            </w:r>
          </w:p>
          <w:p>
            <w:pPr>
              <w:pStyle w:val="null3"/>
              <w:ind w:firstLine="360"/>
              <w:jc w:val="both"/>
            </w:pPr>
            <w:r>
              <w:rPr>
                <w:rFonts w:ascii="仿宋_GB2312" w:hAnsi="仿宋_GB2312" w:cs="仿宋_GB2312" w:eastAsia="仿宋_GB2312"/>
                <w:sz w:val="21"/>
              </w:rPr>
              <w:t>（一）费用标准</w:t>
            </w:r>
          </w:p>
          <w:p>
            <w:pPr>
              <w:pStyle w:val="null3"/>
              <w:ind w:firstLine="480"/>
              <w:jc w:val="both"/>
            </w:pPr>
            <w:r>
              <w:rPr>
                <w:rFonts w:ascii="仿宋_GB2312" w:hAnsi="仿宋_GB2312" w:cs="仿宋_GB2312" w:eastAsia="仿宋_GB2312"/>
                <w:sz w:val="21"/>
              </w:rPr>
              <w:t>1、主要包括餐厅管理人员、服务员、厨师、洗碗工的工资和福利等所有费用。按照合同条款付费。</w:t>
            </w:r>
          </w:p>
          <w:p>
            <w:pPr>
              <w:pStyle w:val="null3"/>
              <w:ind w:firstLine="480"/>
              <w:jc w:val="both"/>
            </w:pPr>
            <w:r>
              <w:rPr>
                <w:rFonts w:ascii="仿宋_GB2312" w:hAnsi="仿宋_GB2312" w:cs="仿宋_GB2312" w:eastAsia="仿宋_GB2312"/>
                <w:sz w:val="21"/>
              </w:rPr>
              <w:t>2、餐费按每人每天28元的标准（早餐6元、午餐22元）。根据就餐人数每月月底按照餐费标准据实结算。</w:t>
            </w:r>
          </w:p>
          <w:p>
            <w:pPr>
              <w:pStyle w:val="null3"/>
              <w:ind w:firstLine="480"/>
              <w:jc w:val="both"/>
            </w:pPr>
            <w:r>
              <w:rPr>
                <w:rFonts w:ascii="仿宋_GB2312" w:hAnsi="仿宋_GB2312" w:cs="仿宋_GB2312" w:eastAsia="仿宋_GB2312"/>
                <w:sz w:val="21"/>
              </w:rPr>
              <w:t>3、公务接待餐、会议餐、培训餐、办案等其他用餐的费用，每月底照实结账。</w:t>
            </w:r>
          </w:p>
          <w:p>
            <w:pPr>
              <w:pStyle w:val="null3"/>
              <w:ind w:firstLine="360"/>
              <w:jc w:val="both"/>
            </w:pPr>
            <w:r>
              <w:rPr>
                <w:rFonts w:ascii="仿宋_GB2312" w:hAnsi="仿宋_GB2312" w:cs="仿宋_GB2312" w:eastAsia="仿宋_GB2312"/>
                <w:sz w:val="21"/>
              </w:rPr>
              <w:t>（二）供餐服务对象</w:t>
            </w:r>
          </w:p>
          <w:p>
            <w:pPr>
              <w:pStyle w:val="null3"/>
              <w:ind w:firstLine="480"/>
              <w:jc w:val="both"/>
            </w:pPr>
            <w:r>
              <w:rPr>
                <w:rFonts w:ascii="仿宋_GB2312" w:hAnsi="仿宋_GB2312" w:cs="仿宋_GB2312" w:eastAsia="仿宋_GB2312"/>
                <w:sz w:val="21"/>
              </w:rPr>
              <w:t>1、本院干警（220人）、公勤人员（48人）、书记员（88人）、实习学生、临时人员工作餐，大约350人。</w:t>
            </w:r>
          </w:p>
          <w:p>
            <w:pPr>
              <w:pStyle w:val="null3"/>
              <w:ind w:firstLine="480"/>
              <w:jc w:val="both"/>
            </w:pPr>
            <w:r>
              <w:rPr>
                <w:rFonts w:ascii="仿宋_GB2312" w:hAnsi="仿宋_GB2312" w:cs="仿宋_GB2312" w:eastAsia="仿宋_GB2312"/>
                <w:sz w:val="21"/>
              </w:rPr>
              <w:t>2、全市检察系统会议用餐。</w:t>
            </w:r>
          </w:p>
          <w:p>
            <w:pPr>
              <w:pStyle w:val="null3"/>
              <w:ind w:firstLine="480"/>
              <w:jc w:val="both"/>
            </w:pPr>
            <w:r>
              <w:rPr>
                <w:rFonts w:ascii="仿宋_GB2312" w:hAnsi="仿宋_GB2312" w:cs="仿宋_GB2312" w:eastAsia="仿宋_GB2312"/>
                <w:sz w:val="21"/>
              </w:rPr>
              <w:t>3、全市检察系统业务培训用餐。</w:t>
            </w:r>
          </w:p>
          <w:p>
            <w:pPr>
              <w:pStyle w:val="null3"/>
              <w:ind w:firstLine="480"/>
              <w:jc w:val="both"/>
            </w:pPr>
            <w:r>
              <w:rPr>
                <w:rFonts w:ascii="仿宋_GB2312" w:hAnsi="仿宋_GB2312" w:cs="仿宋_GB2312" w:eastAsia="仿宋_GB2312"/>
                <w:sz w:val="21"/>
              </w:rPr>
              <w:t>4、市级机关、上级机关或外地兄弟单位来院检查调研工作、案件协查和学习交流时的接待用餐。</w:t>
            </w:r>
          </w:p>
          <w:p>
            <w:pPr>
              <w:pStyle w:val="null3"/>
              <w:ind w:firstLine="480"/>
              <w:jc w:val="both"/>
            </w:pPr>
            <w:r>
              <w:rPr>
                <w:rFonts w:ascii="仿宋_GB2312" w:hAnsi="仿宋_GB2312" w:cs="仿宋_GB2312" w:eastAsia="仿宋_GB2312"/>
                <w:sz w:val="21"/>
              </w:rPr>
              <w:t>5、日常办案和专案工作用餐。</w:t>
            </w:r>
          </w:p>
          <w:p>
            <w:pPr>
              <w:pStyle w:val="null3"/>
              <w:ind w:firstLine="480"/>
              <w:jc w:val="both"/>
            </w:pPr>
            <w:r>
              <w:rPr>
                <w:rFonts w:ascii="仿宋_GB2312" w:hAnsi="仿宋_GB2312" w:cs="仿宋_GB2312" w:eastAsia="仿宋_GB2312"/>
                <w:sz w:val="21"/>
              </w:rPr>
              <w:t>6、各级人大代表来院检查调研工作用餐。</w:t>
            </w:r>
          </w:p>
          <w:p>
            <w:pPr>
              <w:pStyle w:val="null3"/>
              <w:ind w:firstLine="360"/>
              <w:jc w:val="both"/>
            </w:pPr>
            <w:r>
              <w:rPr>
                <w:rFonts w:ascii="仿宋_GB2312" w:hAnsi="仿宋_GB2312" w:cs="仿宋_GB2312" w:eastAsia="仿宋_GB2312"/>
                <w:sz w:val="21"/>
              </w:rPr>
              <w:t>（三）菜品标准</w:t>
            </w:r>
          </w:p>
          <w:p>
            <w:pPr>
              <w:pStyle w:val="null3"/>
              <w:ind w:firstLine="480"/>
              <w:jc w:val="both"/>
            </w:pPr>
            <w:r>
              <w:rPr>
                <w:rFonts w:ascii="仿宋_GB2312" w:hAnsi="仿宋_GB2312" w:cs="仿宋_GB2312" w:eastAsia="仿宋_GB2312"/>
                <w:sz w:val="21"/>
              </w:rPr>
              <w:t>1、工作餐标准</w:t>
            </w:r>
          </w:p>
          <w:p>
            <w:pPr>
              <w:pStyle w:val="null3"/>
              <w:ind w:firstLine="480"/>
              <w:jc w:val="both"/>
            </w:pPr>
            <w:r>
              <w:rPr>
                <w:rFonts w:ascii="仿宋_GB2312" w:hAnsi="仿宋_GB2312" w:cs="仿宋_GB2312" w:eastAsia="仿宋_GB2312"/>
                <w:sz w:val="21"/>
              </w:rPr>
              <w:t>早餐：各种小菜</w:t>
            </w:r>
            <w:r>
              <w:rPr>
                <w:rFonts w:ascii="仿宋_GB2312" w:hAnsi="仿宋_GB2312" w:cs="仿宋_GB2312" w:eastAsia="仿宋_GB2312"/>
                <w:sz w:val="21"/>
              </w:rPr>
              <w:t>6种（含热菜3种）；主食6种（馒头、烧饼、锅盔、杂粮馒头、花卷、包子、油饼、油条、葱花饼、蛋糕、煎饼、米糕、面包、粽子、甑糕等任选）；汤粥2种（豆浆、大米稀饭、小米稀饭、红豆稀饭、包谷掺稀饭、油茶、豆腐脑、鸡蛋羹、蔬菜拌汤、胡辣汤等任选）；牛奶（每周不少于2次纯牛奶）、酸奶；鸡蛋（每周不少于2次煎鸡蛋）。</w:t>
            </w:r>
          </w:p>
          <w:p>
            <w:pPr>
              <w:pStyle w:val="null3"/>
              <w:ind w:firstLine="480"/>
              <w:jc w:val="both"/>
            </w:pPr>
            <w:r>
              <w:rPr>
                <w:rFonts w:ascii="仿宋_GB2312" w:hAnsi="仿宋_GB2312" w:cs="仿宋_GB2312" w:eastAsia="仿宋_GB2312"/>
                <w:sz w:val="21"/>
              </w:rPr>
              <w:t>午餐：菜品</w:t>
            </w:r>
            <w:r>
              <w:rPr>
                <w:rFonts w:ascii="仿宋_GB2312" w:hAnsi="仿宋_GB2312" w:cs="仿宋_GB2312" w:eastAsia="仿宋_GB2312"/>
                <w:sz w:val="21"/>
              </w:rPr>
              <w:t>8种（含凉菜）其中全荤菜1种（必须是纯肉，不得配菜）、半荤菜2种、豆制品1种、素菜4种；含酱卤菜1种；汤粥类2种；主食3种（米饭、馒头、面条，其中包子、饺子、肉夹馍、水盆、泡馍等特色食品每周必须选择1类）；每周1-2次鱼类；水果2种，其中一种水果自用餐开始到结束必须保证足量。</w:t>
            </w:r>
          </w:p>
          <w:p>
            <w:pPr>
              <w:pStyle w:val="null3"/>
              <w:ind w:firstLine="480"/>
              <w:jc w:val="both"/>
            </w:pPr>
            <w:r>
              <w:rPr>
                <w:rFonts w:ascii="仿宋_GB2312" w:hAnsi="仿宋_GB2312" w:cs="仿宋_GB2312" w:eastAsia="仿宋_GB2312"/>
                <w:sz w:val="21"/>
              </w:rPr>
              <w:t>晚餐：一般情况下不需提供晚餐，特殊情况下，根据甲方需求按菜品</w:t>
            </w:r>
            <w:r>
              <w:rPr>
                <w:rFonts w:ascii="仿宋_GB2312" w:hAnsi="仿宋_GB2312" w:cs="仿宋_GB2312" w:eastAsia="仿宋_GB2312"/>
                <w:sz w:val="21"/>
              </w:rPr>
              <w:t>6种、主食2种、汤粥2种执行。</w:t>
            </w:r>
          </w:p>
          <w:p>
            <w:pPr>
              <w:pStyle w:val="null3"/>
              <w:ind w:firstLine="480"/>
              <w:jc w:val="both"/>
            </w:pPr>
            <w:r>
              <w:rPr>
                <w:rFonts w:ascii="仿宋_GB2312" w:hAnsi="仿宋_GB2312" w:cs="仿宋_GB2312" w:eastAsia="仿宋_GB2312"/>
                <w:sz w:val="21"/>
              </w:rPr>
              <w:t>2、公务接待餐：以圆桌餐、盒饭餐和按位分餐等形式保障用餐。由甲方根据就餐的实际需要，按标准菜单点餐或单独点菜。每次就餐结束后由检务保障部人员、用餐部门经办人和食堂服务人员现场清点消费清单并签字确认，月底统一结账。</w:t>
            </w:r>
          </w:p>
          <w:p>
            <w:pPr>
              <w:pStyle w:val="null3"/>
              <w:ind w:firstLine="480"/>
              <w:jc w:val="both"/>
            </w:pPr>
            <w:r>
              <w:rPr>
                <w:rFonts w:ascii="仿宋_GB2312" w:hAnsi="仿宋_GB2312" w:cs="仿宋_GB2312" w:eastAsia="仿宋_GB2312"/>
                <w:sz w:val="21"/>
              </w:rPr>
              <w:t>3、会议餐和培训餐：工作日期间按照干警自助餐标准供餐，特殊情况需安排桌餐，不提供烟酒。</w:t>
            </w:r>
          </w:p>
          <w:p>
            <w:pPr>
              <w:pStyle w:val="null3"/>
              <w:ind w:firstLine="480"/>
              <w:jc w:val="both"/>
            </w:pPr>
            <w:r>
              <w:rPr>
                <w:rFonts w:ascii="仿宋_GB2312" w:hAnsi="仿宋_GB2312" w:cs="仿宋_GB2312" w:eastAsia="仿宋_GB2312"/>
                <w:sz w:val="21"/>
              </w:rPr>
              <w:t>4、办案等其他工作需要供餐时，执行会议和培训用餐标准。</w:t>
            </w:r>
          </w:p>
          <w:p>
            <w:pPr>
              <w:pStyle w:val="null3"/>
              <w:ind w:firstLine="360"/>
              <w:jc w:val="both"/>
            </w:pPr>
            <w:r>
              <w:rPr>
                <w:rFonts w:ascii="仿宋_GB2312" w:hAnsi="仿宋_GB2312" w:cs="仿宋_GB2312" w:eastAsia="仿宋_GB2312"/>
                <w:sz w:val="21"/>
              </w:rPr>
              <w:t>（四）饭菜质量要求</w:t>
            </w:r>
          </w:p>
          <w:p>
            <w:pPr>
              <w:pStyle w:val="null3"/>
              <w:ind w:firstLine="480"/>
              <w:jc w:val="both"/>
            </w:pPr>
            <w:r>
              <w:rPr>
                <w:rFonts w:ascii="仿宋_GB2312" w:hAnsi="仿宋_GB2312" w:cs="仿宋_GB2312" w:eastAsia="仿宋_GB2312"/>
                <w:sz w:val="21"/>
              </w:rPr>
              <w:t>1、保证菜品标准、数量、花样、质量，每天不得重复，每餐有主菜和时令蔬菜。</w:t>
            </w:r>
          </w:p>
          <w:p>
            <w:pPr>
              <w:pStyle w:val="null3"/>
              <w:ind w:firstLine="480"/>
              <w:jc w:val="both"/>
            </w:pPr>
            <w:r>
              <w:rPr>
                <w:rFonts w:ascii="仿宋_GB2312" w:hAnsi="仿宋_GB2312" w:cs="仿宋_GB2312" w:eastAsia="仿宋_GB2312"/>
                <w:sz w:val="21"/>
              </w:rPr>
              <w:t>2、保证菜品味道，注重精耕细作，掌握好油、盐、辣、酱、醋，口味适中。</w:t>
            </w:r>
          </w:p>
          <w:p>
            <w:pPr>
              <w:pStyle w:val="null3"/>
              <w:ind w:firstLine="480"/>
              <w:jc w:val="both"/>
            </w:pPr>
            <w:r>
              <w:rPr>
                <w:rFonts w:ascii="仿宋_GB2312" w:hAnsi="仿宋_GB2312" w:cs="仿宋_GB2312" w:eastAsia="仿宋_GB2312"/>
                <w:sz w:val="21"/>
              </w:rPr>
              <w:t>3、保证小吃和水果的数量、种类和质量，做到人人能够吃上。</w:t>
            </w:r>
          </w:p>
          <w:p>
            <w:pPr>
              <w:pStyle w:val="null3"/>
              <w:ind w:firstLine="480"/>
              <w:jc w:val="both"/>
            </w:pPr>
            <w:r>
              <w:rPr>
                <w:rFonts w:ascii="仿宋_GB2312" w:hAnsi="仿宋_GB2312" w:cs="仿宋_GB2312" w:eastAsia="仿宋_GB2312"/>
                <w:sz w:val="21"/>
              </w:rPr>
              <w:t>5、原材料粮油、面均为市面上销售及口碑排名靠前的知名品牌；蔬菜、肉类供货商均提供产品“卫生许可证”营业执照等手续，采购的主要食材要经过甲方验收和备案。</w:t>
            </w:r>
          </w:p>
          <w:p>
            <w:pPr>
              <w:pStyle w:val="null3"/>
              <w:ind w:firstLine="480"/>
              <w:jc w:val="both"/>
            </w:pPr>
            <w:r>
              <w:rPr>
                <w:rFonts w:ascii="仿宋_GB2312" w:hAnsi="仿宋_GB2312" w:cs="仿宋_GB2312" w:eastAsia="仿宋_GB2312"/>
                <w:sz w:val="21"/>
              </w:rPr>
              <w:t>6、按照国家行业规范和卫生许可要求，做好餐饮服务中的各项工作。</w:t>
            </w:r>
          </w:p>
          <w:p>
            <w:pPr>
              <w:pStyle w:val="null3"/>
              <w:ind w:firstLine="360"/>
              <w:jc w:val="both"/>
            </w:pPr>
            <w:r>
              <w:rPr>
                <w:rFonts w:ascii="仿宋_GB2312" w:hAnsi="仿宋_GB2312" w:cs="仿宋_GB2312" w:eastAsia="仿宋_GB2312"/>
                <w:sz w:val="21"/>
              </w:rPr>
              <w:t>（五）甲方对餐厅管理服务保障责任</w:t>
            </w:r>
          </w:p>
          <w:p>
            <w:pPr>
              <w:pStyle w:val="null3"/>
              <w:ind w:firstLine="360"/>
              <w:jc w:val="both"/>
            </w:pPr>
            <w:r>
              <w:rPr>
                <w:rFonts w:ascii="仿宋_GB2312" w:hAnsi="仿宋_GB2312" w:cs="仿宋_GB2312" w:eastAsia="仿宋_GB2312"/>
                <w:sz w:val="21"/>
              </w:rPr>
              <w:t>（</w:t>
            </w:r>
            <w:r>
              <w:rPr>
                <w:rFonts w:ascii="仿宋_GB2312" w:hAnsi="仿宋_GB2312" w:cs="仿宋_GB2312" w:eastAsia="仿宋_GB2312"/>
                <w:sz w:val="21"/>
              </w:rPr>
              <w:t>1）提供食堂、厨房所需要的各种厨具、餐具等设备。</w:t>
            </w:r>
          </w:p>
          <w:p>
            <w:pPr>
              <w:pStyle w:val="null3"/>
              <w:ind w:firstLine="360"/>
              <w:jc w:val="both"/>
            </w:pPr>
            <w:r>
              <w:rPr>
                <w:rFonts w:ascii="仿宋_GB2312" w:hAnsi="仿宋_GB2312" w:cs="仿宋_GB2312" w:eastAsia="仿宋_GB2312"/>
                <w:sz w:val="21"/>
              </w:rPr>
              <w:t>（</w:t>
            </w:r>
            <w:r>
              <w:rPr>
                <w:rFonts w:ascii="仿宋_GB2312" w:hAnsi="仿宋_GB2312" w:cs="仿宋_GB2312" w:eastAsia="仿宋_GB2312"/>
                <w:sz w:val="21"/>
              </w:rPr>
              <w:t>2）承担设施设备维修以及水、电、气费用。</w:t>
            </w:r>
          </w:p>
          <w:p>
            <w:pPr>
              <w:pStyle w:val="null3"/>
              <w:ind w:firstLine="360"/>
              <w:jc w:val="both"/>
            </w:pPr>
            <w:r>
              <w:rPr>
                <w:rFonts w:ascii="仿宋_GB2312" w:hAnsi="仿宋_GB2312" w:cs="仿宋_GB2312" w:eastAsia="仿宋_GB2312"/>
                <w:sz w:val="21"/>
              </w:rPr>
              <w:t>（</w:t>
            </w:r>
            <w:r>
              <w:rPr>
                <w:rFonts w:ascii="仿宋_GB2312" w:hAnsi="仿宋_GB2312" w:cs="仿宋_GB2312" w:eastAsia="仿宋_GB2312"/>
                <w:sz w:val="21"/>
              </w:rPr>
              <w:t>3）对食堂服务管理工作进行全面监督检查，发现问题及时整改，必要时实行奖惩。</w:t>
            </w:r>
          </w:p>
          <w:p>
            <w:pPr>
              <w:pStyle w:val="null3"/>
              <w:ind w:firstLine="360"/>
              <w:jc w:val="both"/>
            </w:pPr>
            <w:r>
              <w:rPr>
                <w:rFonts w:ascii="仿宋_GB2312" w:hAnsi="仿宋_GB2312" w:cs="仿宋_GB2312" w:eastAsia="仿宋_GB2312"/>
                <w:sz w:val="21"/>
              </w:rPr>
              <w:t>（</w:t>
            </w:r>
            <w:r>
              <w:rPr>
                <w:rFonts w:ascii="仿宋_GB2312" w:hAnsi="仿宋_GB2312" w:cs="仿宋_GB2312" w:eastAsia="仿宋_GB2312"/>
                <w:sz w:val="21"/>
              </w:rPr>
              <w:t>4）每月结算工作餐费、公务接待餐费、会议培训餐费。</w:t>
            </w:r>
          </w:p>
          <w:p>
            <w:pPr>
              <w:pStyle w:val="null3"/>
              <w:spacing w:before="315"/>
              <w:ind w:left="420"/>
              <w:jc w:val="both"/>
            </w:pPr>
            <w:r>
              <w:rPr>
                <w:rFonts w:ascii="仿宋_GB2312" w:hAnsi="仿宋_GB2312" w:cs="仿宋_GB2312" w:eastAsia="仿宋_GB2312"/>
                <w:sz w:val="21"/>
                <w:b/>
              </w:rPr>
              <w:t>三、服务要求（如对人员配置、专业设备、服务标准等）</w:t>
            </w:r>
          </w:p>
          <w:p>
            <w:pPr>
              <w:pStyle w:val="null3"/>
              <w:ind w:firstLine="361"/>
              <w:jc w:val="both"/>
            </w:pPr>
            <w:r>
              <w:rPr>
                <w:rFonts w:ascii="仿宋_GB2312" w:hAnsi="仿宋_GB2312" w:cs="仿宋_GB2312" w:eastAsia="仿宋_GB2312"/>
                <w:sz w:val="21"/>
                <w:b/>
              </w:rPr>
              <w:t>（一）人员要求</w:t>
            </w:r>
          </w:p>
          <w:p>
            <w:pPr>
              <w:pStyle w:val="null3"/>
              <w:ind w:firstLine="480"/>
              <w:jc w:val="both"/>
            </w:pPr>
            <w:r>
              <w:rPr>
                <w:rFonts w:ascii="仿宋_GB2312" w:hAnsi="仿宋_GB2312" w:cs="仿宋_GB2312" w:eastAsia="仿宋_GB2312"/>
                <w:sz w:val="21"/>
              </w:rPr>
              <w:t>1、餐厅人员配置要求：总配备人员不少于17人，所有在岗人员年龄均需在50周岁以下；厨师8名（厨师长1名兼职管理人员、管理人员须具备大专及以上学历、热菜2人（等级厨师）；凉菜2人（等级厨师）、面点师3人）；洗碗工2人；餐厅服务员中需专职配置7名（含4名接待餐服务员）餐食接待人员要求年龄30周岁以下、身高160cm及以上，且具备餐厅相关服务工作经验。</w:t>
            </w:r>
          </w:p>
          <w:p>
            <w:pPr>
              <w:pStyle w:val="null3"/>
              <w:ind w:firstLine="480"/>
              <w:jc w:val="both"/>
            </w:pPr>
            <w:r>
              <w:rPr>
                <w:rFonts w:ascii="仿宋_GB2312" w:hAnsi="仿宋_GB2312" w:cs="仿宋_GB2312" w:eastAsia="仿宋_GB2312"/>
                <w:sz w:val="21"/>
              </w:rPr>
              <w:t>2、工作人员必须定期接受体检，保证工作人员身体健康无传染病，符合食品卫生工作人员标准。</w:t>
            </w:r>
          </w:p>
          <w:p>
            <w:pPr>
              <w:pStyle w:val="null3"/>
              <w:ind w:firstLine="480"/>
              <w:jc w:val="both"/>
            </w:pPr>
            <w:r>
              <w:rPr>
                <w:rFonts w:ascii="仿宋_GB2312" w:hAnsi="仿宋_GB2312" w:cs="仿宋_GB2312" w:eastAsia="仿宋_GB2312"/>
                <w:sz w:val="21"/>
              </w:rPr>
              <w:t>3、工作人员上岗前必须持《健康证》。</w:t>
            </w:r>
          </w:p>
          <w:p>
            <w:pPr>
              <w:pStyle w:val="null3"/>
              <w:ind w:firstLine="241"/>
              <w:jc w:val="both"/>
            </w:pPr>
            <w:r>
              <w:rPr>
                <w:rFonts w:ascii="仿宋_GB2312" w:hAnsi="仿宋_GB2312" w:cs="仿宋_GB2312" w:eastAsia="仿宋_GB2312"/>
                <w:sz w:val="21"/>
                <w:b/>
              </w:rPr>
              <w:t>（二）承包方工作要求</w:t>
            </w:r>
          </w:p>
          <w:p>
            <w:pPr>
              <w:pStyle w:val="null3"/>
              <w:ind w:firstLine="240"/>
              <w:jc w:val="both"/>
            </w:pPr>
            <w:r>
              <w:rPr>
                <w:rFonts w:ascii="仿宋_GB2312" w:hAnsi="仿宋_GB2312" w:cs="仿宋_GB2312" w:eastAsia="仿宋_GB2312"/>
                <w:sz w:val="21"/>
              </w:rPr>
              <w:t>（</w:t>
            </w:r>
            <w:r>
              <w:rPr>
                <w:rFonts w:ascii="仿宋_GB2312" w:hAnsi="仿宋_GB2312" w:cs="仿宋_GB2312" w:eastAsia="仿宋_GB2312"/>
                <w:sz w:val="21"/>
              </w:rPr>
              <w:t>1）根据早餐6元、午餐22元的标准，统筹安排，科学计划，合理采购食料，要确保原材料新鲜，无霉烂变质。</w:t>
            </w:r>
          </w:p>
          <w:p>
            <w:pPr>
              <w:pStyle w:val="null3"/>
              <w:ind w:firstLine="240"/>
              <w:jc w:val="both"/>
            </w:pPr>
            <w:r>
              <w:rPr>
                <w:rFonts w:ascii="仿宋_GB2312" w:hAnsi="仿宋_GB2312" w:cs="仿宋_GB2312" w:eastAsia="仿宋_GB2312"/>
                <w:sz w:val="21"/>
              </w:rPr>
              <w:t>（</w:t>
            </w:r>
            <w:r>
              <w:rPr>
                <w:rFonts w:ascii="仿宋_GB2312" w:hAnsi="仿宋_GB2312" w:cs="仿宋_GB2312" w:eastAsia="仿宋_GB2312"/>
                <w:sz w:val="21"/>
              </w:rPr>
              <w:t>2）承担餐厅、厨房500元以下日常零星物品采购费用，保证足额、及时配置所需物品。</w:t>
            </w:r>
          </w:p>
          <w:p>
            <w:pPr>
              <w:pStyle w:val="null3"/>
              <w:ind w:firstLine="240"/>
              <w:jc w:val="both"/>
            </w:pPr>
            <w:r>
              <w:rPr>
                <w:rFonts w:ascii="仿宋_GB2312" w:hAnsi="仿宋_GB2312" w:cs="仿宋_GB2312" w:eastAsia="仿宋_GB2312"/>
                <w:sz w:val="21"/>
              </w:rPr>
              <w:t>（</w:t>
            </w:r>
            <w:r>
              <w:rPr>
                <w:rFonts w:ascii="仿宋_GB2312" w:hAnsi="仿宋_GB2312" w:cs="仿宋_GB2312" w:eastAsia="仿宋_GB2312"/>
                <w:sz w:val="21"/>
              </w:rPr>
              <w:t>3）每年至少在“832平台”完成8万元的扶贫食材采购任务。</w:t>
            </w:r>
          </w:p>
          <w:p>
            <w:pPr>
              <w:pStyle w:val="null3"/>
              <w:ind w:firstLine="240"/>
              <w:jc w:val="both"/>
            </w:pPr>
            <w:r>
              <w:rPr>
                <w:rFonts w:ascii="仿宋_GB2312" w:hAnsi="仿宋_GB2312" w:cs="仿宋_GB2312" w:eastAsia="仿宋_GB2312"/>
                <w:sz w:val="21"/>
              </w:rPr>
              <w:t>（</w:t>
            </w:r>
            <w:r>
              <w:rPr>
                <w:rFonts w:ascii="仿宋_GB2312" w:hAnsi="仿宋_GB2312" w:cs="仿宋_GB2312" w:eastAsia="仿宋_GB2312"/>
                <w:sz w:val="21"/>
              </w:rPr>
              <w:t>4）负责食堂服务管理人员的招聘、培训、日常管理和社保等事务。</w:t>
            </w:r>
          </w:p>
          <w:p>
            <w:pPr>
              <w:pStyle w:val="null3"/>
              <w:ind w:firstLine="240"/>
              <w:jc w:val="both"/>
            </w:pPr>
            <w:r>
              <w:rPr>
                <w:rFonts w:ascii="仿宋_GB2312" w:hAnsi="仿宋_GB2312" w:cs="仿宋_GB2312" w:eastAsia="仿宋_GB2312"/>
                <w:sz w:val="21"/>
              </w:rPr>
              <w:t>（</w:t>
            </w:r>
            <w:r>
              <w:rPr>
                <w:rFonts w:ascii="仿宋_GB2312" w:hAnsi="仿宋_GB2312" w:cs="仿宋_GB2312" w:eastAsia="仿宋_GB2312"/>
                <w:sz w:val="21"/>
              </w:rPr>
              <w:t>5）保证按时完成用餐对象用餐服务, 高标准完成分餐（位餐）的接待餐服务保障工作，如遇重大接待任务时，要做好临时增加员工的准备。</w:t>
            </w:r>
          </w:p>
          <w:p>
            <w:pPr>
              <w:pStyle w:val="null3"/>
              <w:ind w:firstLine="240"/>
              <w:jc w:val="both"/>
            </w:pPr>
            <w:r>
              <w:rPr>
                <w:rFonts w:ascii="仿宋_GB2312" w:hAnsi="仿宋_GB2312" w:cs="仿宋_GB2312" w:eastAsia="仿宋_GB2312"/>
                <w:sz w:val="21"/>
              </w:rPr>
              <w:t>（</w:t>
            </w:r>
            <w:r>
              <w:rPr>
                <w:rFonts w:ascii="仿宋_GB2312" w:hAnsi="仿宋_GB2312" w:cs="仿宋_GB2312" w:eastAsia="仿宋_GB2312"/>
                <w:sz w:val="21"/>
              </w:rPr>
              <w:t>6）完成餐厅卫生清洁服务保障工作，保证食品质量，做好食品安全卫生工作，承担一切食品安全事故责任。</w:t>
            </w:r>
          </w:p>
          <w:p>
            <w:pPr>
              <w:pStyle w:val="null3"/>
              <w:ind w:firstLine="240"/>
              <w:jc w:val="both"/>
            </w:pPr>
            <w:r>
              <w:rPr>
                <w:rFonts w:ascii="仿宋_GB2312" w:hAnsi="仿宋_GB2312" w:cs="仿宋_GB2312" w:eastAsia="仿宋_GB2312"/>
                <w:sz w:val="21"/>
              </w:rPr>
              <w:t>（</w:t>
            </w:r>
            <w:r>
              <w:rPr>
                <w:rFonts w:ascii="仿宋_GB2312" w:hAnsi="仿宋_GB2312" w:cs="仿宋_GB2312" w:eastAsia="仿宋_GB2312"/>
                <w:sz w:val="21"/>
              </w:rPr>
              <w:t>7）工作餐采用自助餐方式，利润为“0”，不得将餐费截留或挪用。必须按28元/天的就餐标准进行成本核算、采购材料、制作菜品。</w:t>
            </w:r>
          </w:p>
          <w:p>
            <w:pPr>
              <w:pStyle w:val="null3"/>
              <w:ind w:firstLine="240"/>
              <w:jc w:val="both"/>
            </w:pPr>
            <w:r>
              <w:rPr>
                <w:rFonts w:ascii="仿宋_GB2312" w:hAnsi="仿宋_GB2312" w:cs="仿宋_GB2312" w:eastAsia="仿宋_GB2312"/>
                <w:sz w:val="21"/>
              </w:rPr>
              <w:t>（</w:t>
            </w:r>
            <w:r>
              <w:rPr>
                <w:rFonts w:ascii="仿宋_GB2312" w:hAnsi="仿宋_GB2312" w:cs="仿宋_GB2312" w:eastAsia="仿宋_GB2312"/>
                <w:sz w:val="21"/>
              </w:rPr>
              <w:t>8）接受院检务保障部的全程监督。</w:t>
            </w:r>
          </w:p>
          <w:p>
            <w:pPr>
              <w:pStyle w:val="null3"/>
              <w:ind w:firstLine="361"/>
              <w:jc w:val="both"/>
            </w:pPr>
            <w:r>
              <w:rPr>
                <w:rFonts w:ascii="仿宋_GB2312" w:hAnsi="仿宋_GB2312" w:cs="仿宋_GB2312" w:eastAsia="仿宋_GB2312"/>
                <w:sz w:val="21"/>
                <w:b/>
              </w:rPr>
              <w:t>（三）服务标准</w:t>
            </w:r>
          </w:p>
          <w:p>
            <w:pPr>
              <w:pStyle w:val="null3"/>
              <w:ind w:firstLine="480"/>
              <w:jc w:val="both"/>
            </w:pPr>
            <w:r>
              <w:rPr>
                <w:rFonts w:ascii="仿宋_GB2312" w:hAnsi="仿宋_GB2312" w:cs="仿宋_GB2312" w:eastAsia="仿宋_GB2312"/>
                <w:sz w:val="21"/>
              </w:rPr>
              <w:t>1、厨师和面点师应能互补共同协作。建立健全餐厅管理制度，营造一个温馨、卫生、整洁的就餐环境。制定标准食谱（每周食谱提前一周制定并经甲方审批），减少浪费，使现有伙食标准达到最大化。不断提高服务人员的烹调技术，在合理成本的前提下调整菜品结构，为干警提供质量优、味道好、营养全面的饭菜。</w:t>
            </w:r>
          </w:p>
          <w:p>
            <w:pPr>
              <w:pStyle w:val="null3"/>
              <w:ind w:firstLine="480"/>
              <w:jc w:val="both"/>
            </w:pPr>
            <w:r>
              <w:rPr>
                <w:rFonts w:ascii="仿宋_GB2312" w:hAnsi="仿宋_GB2312" w:cs="仿宋_GB2312" w:eastAsia="仿宋_GB2312"/>
                <w:sz w:val="21"/>
              </w:rPr>
              <w:t>2、坚持执行“一检二洗三切四浸泡五烫六烧”程序，保证食品卫生质量，坚持碗筷洗刷消毒工作，保持食堂干净卫生，达到有关卫生标准要求，防止食物中毒事故发生。人员试岗一周，不符合要求的物业经理负责立即更换，不得耽误正常用餐。</w:t>
            </w:r>
          </w:p>
          <w:p>
            <w:pPr>
              <w:pStyle w:val="null3"/>
              <w:ind w:firstLine="480"/>
              <w:jc w:val="both"/>
            </w:pPr>
            <w:r>
              <w:rPr>
                <w:rFonts w:ascii="仿宋_GB2312" w:hAnsi="仿宋_GB2312" w:cs="仿宋_GB2312" w:eastAsia="仿宋_GB2312"/>
                <w:sz w:val="21"/>
              </w:rPr>
              <w:t>3、为采购人及工作人员提供完善的餐厅管理服务。</w:t>
            </w:r>
          </w:p>
          <w:p>
            <w:pPr>
              <w:pStyle w:val="null3"/>
              <w:ind w:firstLine="480"/>
              <w:jc w:val="both"/>
            </w:pPr>
            <w:r>
              <w:rPr>
                <w:rFonts w:ascii="仿宋_GB2312" w:hAnsi="仿宋_GB2312" w:cs="仿宋_GB2312" w:eastAsia="仿宋_GB2312"/>
                <w:sz w:val="21"/>
              </w:rPr>
              <w:t>4、熟悉并能严格遵守《中华人民共和国食品卫生法》，不使用不洁、过期、变质食品原材料，做好食品卫生安全工作；如若发生食品安全问题，乙方应承担全部责任。</w:t>
            </w:r>
          </w:p>
          <w:p>
            <w:pPr>
              <w:pStyle w:val="null3"/>
              <w:ind w:firstLine="480"/>
              <w:jc w:val="both"/>
            </w:pPr>
            <w:r>
              <w:rPr>
                <w:rFonts w:ascii="仿宋_GB2312" w:hAnsi="仿宋_GB2312" w:cs="仿宋_GB2312" w:eastAsia="仿宋_GB2312"/>
                <w:sz w:val="21"/>
              </w:rPr>
              <w:t>5、遵守办公楼管理制度，不得干扰正常的办公秩序。</w:t>
            </w:r>
          </w:p>
          <w:p>
            <w:pPr>
              <w:pStyle w:val="null3"/>
              <w:ind w:firstLine="480"/>
              <w:jc w:val="both"/>
            </w:pPr>
            <w:r>
              <w:rPr>
                <w:rFonts w:ascii="仿宋_GB2312" w:hAnsi="仿宋_GB2312" w:cs="仿宋_GB2312" w:eastAsia="仿宋_GB2312"/>
                <w:sz w:val="21"/>
              </w:rPr>
              <w:t>6、接受并配合采购人及使用人对环境卫生、食品卫生、服务态度、饭莱质量及价格等进行的监督、检查。</w:t>
            </w:r>
          </w:p>
          <w:p>
            <w:pPr>
              <w:pStyle w:val="null3"/>
              <w:ind w:firstLine="480"/>
              <w:jc w:val="both"/>
            </w:pPr>
            <w:r>
              <w:rPr>
                <w:rFonts w:ascii="仿宋_GB2312" w:hAnsi="仿宋_GB2312" w:cs="仿宋_GB2312" w:eastAsia="仿宋_GB2312"/>
                <w:sz w:val="21"/>
              </w:rPr>
              <w:t>7、建立完善的餐厅管理制度和应急预案并严格实施。</w:t>
            </w:r>
          </w:p>
          <w:p>
            <w:pPr>
              <w:pStyle w:val="null3"/>
              <w:ind w:firstLine="480"/>
              <w:jc w:val="both"/>
            </w:pPr>
            <w:r>
              <w:rPr>
                <w:rFonts w:ascii="仿宋_GB2312" w:hAnsi="仿宋_GB2312" w:cs="仿宋_GB2312" w:eastAsia="仿宋_GB2312"/>
                <w:sz w:val="21"/>
              </w:rPr>
              <w:t>8、必须自主经营、自负盈亏，不得转租、转包、不得自行改造承包的餐厅。</w:t>
            </w:r>
          </w:p>
          <w:p>
            <w:pPr>
              <w:pStyle w:val="null3"/>
              <w:ind w:firstLine="480"/>
              <w:jc w:val="both"/>
            </w:pPr>
            <w:r>
              <w:rPr>
                <w:rFonts w:ascii="仿宋_GB2312" w:hAnsi="仿宋_GB2312" w:cs="仿宋_GB2312" w:eastAsia="仿宋_GB2312"/>
                <w:sz w:val="21"/>
              </w:rPr>
              <w:t>9、建立餐厅餐饮服务调度管理。</w:t>
            </w:r>
          </w:p>
          <w:p>
            <w:pPr>
              <w:pStyle w:val="null3"/>
              <w:ind w:firstLine="360"/>
              <w:jc w:val="both"/>
            </w:pPr>
            <w:r>
              <w:rPr>
                <w:rFonts w:ascii="仿宋_GB2312" w:hAnsi="仿宋_GB2312" w:cs="仿宋_GB2312" w:eastAsia="仿宋_GB2312"/>
                <w:sz w:val="21"/>
              </w:rPr>
              <w:t>10、餐厅保洁：餐厅卫生标准：地面无纸屑、烟头、烟灰、水迹、油污、食物残渣；呈现地砖本色；桌、椅、墙裙无污迹、油迹，无孔洞、裂缝；无划伤、灼伤；牢固平稳，摆放整齐，符合餐桌布局标准；柱子、墙面、顶部无孔洞、裂缝、蜘蛛网，无划伤、污迹、油迹，无脱落，无其它色彩污染；餐用具符合出堂标准，符合摆台标准；售餐柜、菜夹无油污、水迹，无裂缝、划伤,字迹，未脱色，无其它色彩污染，柜内无异味、臭味，柜内备餐用具、纸巾符合出品质量标准，摆放整齐。</w:t>
            </w:r>
          </w:p>
          <w:p>
            <w:pPr>
              <w:pStyle w:val="null3"/>
              <w:ind w:firstLine="600"/>
              <w:jc w:val="both"/>
            </w:pPr>
            <w:r>
              <w:rPr>
                <w:rFonts w:ascii="仿宋_GB2312" w:hAnsi="仿宋_GB2312" w:cs="仿宋_GB2312" w:eastAsia="仿宋_GB2312"/>
                <w:sz w:val="21"/>
              </w:rPr>
              <w:t>11、后厨卫生标准：地面无积水、污水、菜叶、菜皮、纸屑饭粒、肉粒等垃圾；地面无残缺地砖，地沟无堵塞，无大量的饭粒、菜叶，无臭味，地沟盖无残缺；冰柜、工作台、炉台、碗柜等设备及墙用无卫生死角；垃圾桶四周及地面、墙面无油污、垃圾，并加盖盖子，垃圾不得堆放在地上；墙面、顶棚无灰尘、油污、孔洞，无脱落瓷砖，制度、标识等张贴符合标准；设备（冰箱、冰柜、工作台、炉灶、洗涤池等）表面无油污、灰尘，符合使用标准维护标准；灯泡、灯管、灭蝇灯、管道、电线表面无油污、灰尘，无脱落掉线；菜品、设备、工具、用具摆放标准、卫生要求，抽油烟机、换气装置无较重油污；门、窗、纱窗无破损油污、灰尘，气罐、灭火器本身洁净无油污。整体符合食品及卫生监督管理部门的要求。</w:t>
            </w:r>
          </w:p>
          <w:p>
            <w:pPr>
              <w:pStyle w:val="null3"/>
              <w:ind w:firstLine="480"/>
              <w:jc w:val="both"/>
            </w:pPr>
            <w:r>
              <w:rPr>
                <w:rFonts w:ascii="仿宋_GB2312" w:hAnsi="仿宋_GB2312" w:cs="仿宋_GB2312" w:eastAsia="仿宋_GB2312"/>
                <w:sz w:val="21"/>
              </w:rPr>
              <w:t>12、食品留样操作卫生规范</w:t>
            </w:r>
          </w:p>
          <w:p>
            <w:pPr>
              <w:pStyle w:val="null3"/>
              <w:ind w:firstLine="240"/>
              <w:jc w:val="both"/>
            </w:pPr>
            <w:r>
              <w:rPr>
                <w:rFonts w:ascii="仿宋_GB2312" w:hAnsi="仿宋_GB2312" w:cs="仿宋_GB2312" w:eastAsia="仿宋_GB2312"/>
                <w:sz w:val="21"/>
              </w:rPr>
              <w:t>（</w:t>
            </w:r>
            <w:r>
              <w:rPr>
                <w:rFonts w:ascii="仿宋_GB2312" w:hAnsi="仿宋_GB2312" w:cs="仿宋_GB2312" w:eastAsia="仿宋_GB2312"/>
                <w:sz w:val="21"/>
              </w:rPr>
              <w:t>1）留样品种：每日每餐所有供应品种。</w:t>
            </w:r>
          </w:p>
          <w:p>
            <w:pPr>
              <w:pStyle w:val="null3"/>
              <w:ind w:firstLine="240"/>
              <w:jc w:val="both"/>
            </w:pPr>
            <w:r>
              <w:rPr>
                <w:rFonts w:ascii="仿宋_GB2312" w:hAnsi="仿宋_GB2312" w:cs="仿宋_GB2312" w:eastAsia="仿宋_GB2312"/>
                <w:sz w:val="21"/>
              </w:rPr>
              <w:t>（</w:t>
            </w:r>
            <w:r>
              <w:rPr>
                <w:rFonts w:ascii="仿宋_GB2312" w:hAnsi="仿宋_GB2312" w:cs="仿宋_GB2312" w:eastAsia="仿宋_GB2312"/>
                <w:sz w:val="21"/>
              </w:rPr>
              <w:t>2）留样时限：48小时。</w:t>
            </w:r>
          </w:p>
          <w:p>
            <w:pPr>
              <w:pStyle w:val="null3"/>
              <w:ind w:firstLine="240"/>
              <w:jc w:val="both"/>
            </w:pPr>
            <w:r>
              <w:rPr>
                <w:rFonts w:ascii="仿宋_GB2312" w:hAnsi="仿宋_GB2312" w:cs="仿宋_GB2312" w:eastAsia="仿宋_GB2312"/>
                <w:sz w:val="21"/>
              </w:rPr>
              <w:t>（</w:t>
            </w:r>
            <w:r>
              <w:rPr>
                <w:rFonts w:ascii="仿宋_GB2312" w:hAnsi="仿宋_GB2312" w:cs="仿宋_GB2312" w:eastAsia="仿宋_GB2312"/>
                <w:sz w:val="21"/>
              </w:rPr>
              <w:t>3）留样设备：碗、碟杯。</w:t>
            </w:r>
          </w:p>
          <w:p>
            <w:pPr>
              <w:pStyle w:val="null3"/>
              <w:ind w:firstLine="360"/>
              <w:jc w:val="both"/>
            </w:pPr>
            <w:r>
              <w:rPr>
                <w:rFonts w:ascii="仿宋_GB2312" w:hAnsi="仿宋_GB2312" w:cs="仿宋_GB2312" w:eastAsia="仿宋_GB2312"/>
                <w:sz w:val="21"/>
              </w:rPr>
              <w:t>（</w:t>
            </w:r>
            <w:r>
              <w:rPr>
                <w:rFonts w:ascii="仿宋_GB2312" w:hAnsi="仿宋_GB2312" w:cs="仿宋_GB2312" w:eastAsia="仿宋_GB2312"/>
                <w:sz w:val="21"/>
              </w:rPr>
              <w:t>4）做好留样标识，标明留样日期及时间，并注明早、中、晚餐，注明品名及留样人，按规定填写《留样记录表》。</w:t>
            </w:r>
          </w:p>
          <w:p>
            <w:pPr>
              <w:pStyle w:val="null3"/>
              <w:ind w:firstLine="360"/>
              <w:jc w:val="both"/>
            </w:pPr>
            <w:r>
              <w:rPr>
                <w:rFonts w:ascii="仿宋_GB2312" w:hAnsi="仿宋_GB2312" w:cs="仿宋_GB2312" w:eastAsia="仿宋_GB2312"/>
                <w:sz w:val="21"/>
              </w:rPr>
              <w:t>（</w:t>
            </w:r>
            <w:r>
              <w:rPr>
                <w:rFonts w:ascii="仿宋_GB2312" w:hAnsi="仿宋_GB2312" w:cs="仿宋_GB2312" w:eastAsia="仿宋_GB2312"/>
                <w:sz w:val="21"/>
              </w:rPr>
              <w:t>5）按照相关规范做好留样工作，确保食品安全。</w:t>
            </w:r>
          </w:p>
          <w:p>
            <w:pPr>
              <w:pStyle w:val="null3"/>
              <w:spacing w:before="315"/>
              <w:ind w:left="420"/>
              <w:jc w:val="both"/>
            </w:pPr>
            <w:r>
              <w:rPr>
                <w:rFonts w:ascii="仿宋_GB2312" w:hAnsi="仿宋_GB2312" w:cs="仿宋_GB2312" w:eastAsia="仿宋_GB2312"/>
                <w:sz w:val="21"/>
                <w:b/>
              </w:rPr>
              <w:t>四、商务要求</w:t>
            </w:r>
          </w:p>
          <w:p>
            <w:pPr>
              <w:pStyle w:val="null3"/>
              <w:jc w:val="both"/>
            </w:pPr>
            <w:r>
              <w:rPr>
                <w:rFonts w:ascii="仿宋_GB2312" w:hAnsi="仿宋_GB2312" w:cs="仿宋_GB2312" w:eastAsia="仿宋_GB2312"/>
                <w:sz w:val="21"/>
              </w:rPr>
              <w:t>（一）服务期限</w:t>
            </w:r>
          </w:p>
          <w:p>
            <w:pPr>
              <w:pStyle w:val="null3"/>
              <w:jc w:val="both"/>
            </w:pPr>
            <w:r>
              <w:rPr>
                <w:rFonts w:ascii="仿宋_GB2312" w:hAnsi="仿宋_GB2312" w:cs="仿宋_GB2312" w:eastAsia="仿宋_GB2312"/>
                <w:sz w:val="21"/>
              </w:rPr>
              <w:t>服务期：一年，签订合同之日起一年时间。</w:t>
            </w:r>
          </w:p>
          <w:p>
            <w:pPr>
              <w:pStyle w:val="null3"/>
              <w:jc w:val="both"/>
            </w:pPr>
            <w:r>
              <w:rPr>
                <w:rFonts w:ascii="仿宋_GB2312" w:hAnsi="仿宋_GB2312" w:cs="仿宋_GB2312" w:eastAsia="仿宋_GB2312"/>
                <w:sz w:val="21"/>
              </w:rPr>
              <w:t>（二）款项结算</w:t>
            </w:r>
          </w:p>
          <w:p>
            <w:pPr>
              <w:pStyle w:val="null3"/>
              <w:ind w:firstLine="480"/>
              <w:jc w:val="both"/>
            </w:pPr>
            <w:r>
              <w:rPr>
                <w:rFonts w:ascii="仿宋_GB2312" w:hAnsi="仿宋_GB2312" w:cs="仿宋_GB2312" w:eastAsia="仿宋_GB2312"/>
                <w:sz w:val="21"/>
              </w:rPr>
              <w:t>1、合同签订后 ，达到付款条件起 41 日内，支付合同总金额的50.00%。</w:t>
            </w:r>
            <w:r>
              <w:rPr>
                <w:rFonts w:ascii="仿宋_GB2312" w:hAnsi="仿宋_GB2312" w:cs="仿宋_GB2312" w:eastAsia="仿宋_GB2312"/>
                <w:sz w:val="21"/>
              </w:rPr>
              <w:t>2、付款条件说明：服务验收合格后按总价款 ，达到付款条件起 27 日内， 支付合同总金额的50.00%。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餐厅人员配置要求：总配备人员不少于17人，所有在岗人员年龄均需在50周岁以下；厨师8名（厨师长1名兼职管理人员、管理人员须具备大专及以上学历、热菜2人（等级厨师）；凉菜2人（等级厨师）、面点师3人）；洗碗工2人；餐厅服务员中需专职配置7名（含4名接待餐服务员）餐食接待人员要求年龄30周岁以下、身高160cm及以上，且具备餐厅相关服务工作经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具体详见磋商文件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具体详见磋商文件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一年，签订合同之日起一年时间。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服务期满后，甲方根据招标文件、投标文件、合同、承诺函等相关文件进 行验收，确认服务标准和服务方式是否达到采购要求。 2. 甲方组织乙方(必要时请有关专家)等相关人员进行最终验收，共同对验收结果进行确认。验收合格后，填写政府采购项目履约验收单(一式伍份)作为对服务的最终认可。 3. 乙方向甲方提交服务实施过程中的所有资料，以便甲方日后管理和维护。 4.国家相应的标准、规范，具体以合同签订为准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41</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服务验收合格后按总价款</w:t>
      </w:r>
      <w:r>
        <w:rPr>
          <w:rFonts w:ascii="仿宋_GB2312" w:hAnsi="仿宋_GB2312" w:cs="仿宋_GB2312" w:eastAsia="仿宋_GB2312"/>
        </w:rPr>
        <w:t xml:space="preserve"> ，达到付款条件起 </w:t>
      </w:r>
      <w:r>
        <w:rPr>
          <w:rFonts w:ascii="仿宋_GB2312" w:hAnsi="仿宋_GB2312" w:cs="仿宋_GB2312" w:eastAsia="仿宋_GB2312"/>
        </w:rPr>
        <w:t>27</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1.按《中华人民共和国民法典第三编合同》、《中华人民共和国政府采购法》中的相关条款执行。 2.未按合同或磋商文件要求提供服务或供应的产品质量不能满足采购人技术要求，采购单位有权终止合同，甚至对供应商违约行为进行追究。 3.供应商的磋商响应文件为签订正式书面合同书不可分割的部分，供货方应履行相应的责任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 提供有效合格的统一社会信用代码的营业执照，其他组织经营的须提供合法凭证，自然人的提供身份证明文件; 2.税收缴纳证明：提供2025年7月1日至今已缴纳的任意一个月的纳税证明或完税证明，依法免税的单位应提供相关证明材料； 3.社会保障资金缴纳证明：提供2025年7月1日至今已缴纳的任意一个月的社会保障资金缴存单据或社保机构开具的社会保险参保缴费情况证明。（依法不需要缴纳社会保障资金的单位应提供相关证明材料）； 4.法定代表人授权委托书、被授权人身份证（法定代表人参加投标时,只需提供法定代表人身份证）； 5.参加政府采购活动前三年内，在经营活动中没有重大违法记录的书面声明； 6.投标人未被列入信用中国网站(www.creditchina.gov.cn)“失信被执行人、重大税收违法案件当事人名单、政府采购严重违法失信名单”；不处于中国政府采购网(www.ccgp.gov.cn)“政府采购严重违法失信行为信息记录”中的禁止参加政府采购活动期间； 7.具备履行合同所必需的设备和专业技术能力的书面声明。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业绩.docx 服务内容及服务邀请应答表 中小企业声明函 商务应答表 报价表 资格证明文件.docx 响应文件封面 分项报价表.docx 残疾人福利性单位声明函 标的清单 响应函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年度或2025年度经会计师事务所或审计机构审计并通过注册会计师行业统一监管平台（http://acc.mof.gov.cn/）备案赋码的财务审计报告（成立时间至提交磋商响应文件截止时间不足一年的可提供成立后任意时段的资产负债表、利润表、现金流量表），或磋商截止时间前六个月内基本账户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w:t>
            </w:r>
          </w:p>
        </w:tc>
        <w:tc>
          <w:tcPr>
            <w:tcW w:type="dxa" w:w="3322"/>
          </w:tcPr>
          <w:p>
            <w:pPr>
              <w:pStyle w:val="null3"/>
            </w:pPr>
            <w:r>
              <w:rPr>
                <w:rFonts w:ascii="仿宋_GB2312" w:hAnsi="仿宋_GB2312" w:cs="仿宋_GB2312" w:eastAsia="仿宋_GB2312"/>
              </w:rPr>
              <w:t>（1）《国务院办公厅关于建立政府强制采购节能产品制度的通知》（国办发〔2007〕51号）； （2）《关于印发环境标志产品政府采购品目清单的通知》（财库〔2019〕18号）； （3）《关于印发节能产品政府采购品目清单的通知》（财库〔2019〕19号）； （4）《财政部 司法部关于政府采购支持监狱企业发展有关问题的通知》（财库〔2014〕68号）； （5）《关于促进残疾人就业政府采购政策的通知》（财库〔2017〕141号）； （6）《关于调整优化节能产品、环境标志产品政府采购执行机制的通知》（财库〔2019〕9号）； （7）《关于运用政府采购政策支持乡村产业振兴的通知》（财库〔2021〕19号）； （8）《政府采购促进中小企业发展管理办法》（财库〔2020〕46号）； （9）《陕西省财政厅关于印发&lt;陕西省中小企业政府采购信用融资办法&gt;的通知》（陕财办采〔2018〕23 号）； （10）陕西省财政厅《关于进一步加强政府绿色采购有关问题的通知》（陕财办采〔2021〕29号）； （11）《关于进一步加大政府采购支持中小企业力度的通知》（财库〔2022〕19号）； （12）《关于扩大政府采购支持绿色建材促进建筑品质提升政策实施范围的通知》（财库〔2022〕35号）； （13）《陕西省财政厅 中国人民银行西安分行关于深入推进政府采购信用融资业务通知》(陕财办20235号)； （14）《国务院办公厅关于在政府采购中实施本国产品标准及相关政策的通知》国办发〔2025〕34号； （15）如有最新颁布的政府采购政策，按最新的文件执行。 若享受以上政策优惠的企业，须提供相应声明函。</w:t>
            </w:r>
          </w:p>
        </w:tc>
        <w:tc>
          <w:tcPr>
            <w:tcW w:type="dxa" w:w="1661"/>
          </w:tcPr>
          <w:p>
            <w:pPr>
              <w:pStyle w:val="null3"/>
            </w:pPr>
            <w:r>
              <w:rPr>
                <w:rFonts w:ascii="仿宋_GB2312" w:hAnsi="仿宋_GB2312" w:cs="仿宋_GB2312" w:eastAsia="仿宋_GB2312"/>
              </w:rPr>
              <w:t>业绩.docx 服务内容及服务邀请应答表 中小企业声明函 商务应答表 报价表 资格证明文件.docx 响应文件封面 分项报价表.docx 残疾人福利性单位声明函 标的清单 响应函 服务方案.docx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供应商需具有有效的国家市场监督管理行政部门颁发的食品经营许可证。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磋商响应文件的完整性</w:t>
            </w:r>
          </w:p>
        </w:tc>
        <w:tc>
          <w:tcPr>
            <w:tcW w:type="dxa" w:w="3322"/>
          </w:tcPr>
          <w:p>
            <w:pPr>
              <w:pStyle w:val="null3"/>
            </w:pPr>
            <w:r>
              <w:rPr>
                <w:rFonts w:ascii="仿宋_GB2312" w:hAnsi="仿宋_GB2312" w:cs="仿宋_GB2312" w:eastAsia="仿宋_GB2312"/>
              </w:rPr>
              <w:t>磋商响应文件构成是否有重大缺项，是否按照磋商文件要求的格式编写磋商响应文件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2.异常低价审查：政府采购评审中出现下列情形之一的，评审委员会应当启动异常低价投标（响应）审查程序：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3.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3.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磋商响应文件的有效性</w:t>
            </w:r>
          </w:p>
        </w:tc>
        <w:tc>
          <w:tcPr>
            <w:tcW w:type="dxa" w:w="3322"/>
          </w:tcPr>
          <w:p>
            <w:pPr>
              <w:pStyle w:val="null3"/>
            </w:pPr>
            <w:r>
              <w:rPr>
                <w:rFonts w:ascii="仿宋_GB2312" w:hAnsi="仿宋_GB2312" w:cs="仿宋_GB2312" w:eastAsia="仿宋_GB2312"/>
              </w:rPr>
              <w:t>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磋商响应报价</w:t>
            </w:r>
          </w:p>
        </w:tc>
        <w:tc>
          <w:tcPr>
            <w:tcW w:type="dxa" w:w="3322"/>
          </w:tcPr>
          <w:p>
            <w:pPr>
              <w:pStyle w:val="null3"/>
            </w:pPr>
            <w:r>
              <w:rPr>
                <w:rFonts w:ascii="仿宋_GB2312" w:hAnsi="仿宋_GB2312" w:cs="仿宋_GB2312" w:eastAsia="仿宋_GB2312"/>
              </w:rPr>
              <w:t>磋商响应报价是否超过项目采购预算。</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本项目为专门面向中小企业项目</w:t>
            </w:r>
          </w:p>
        </w:tc>
        <w:tc>
          <w:tcPr>
            <w:tcW w:type="dxa" w:w="3322"/>
          </w:tcPr>
          <w:p>
            <w:pPr>
              <w:pStyle w:val="null3"/>
            </w:pPr>
            <w:r>
              <w:rPr>
                <w:rFonts w:ascii="仿宋_GB2312" w:hAnsi="仿宋_GB2312" w:cs="仿宋_GB2312" w:eastAsia="仿宋_GB2312"/>
              </w:rPr>
              <w:t>本项目为专门面向中小企业采购，供应商应为中型企业、小型企业、微型企业或监狱企业或残疾人福利性单位。供应商应为中型企业、小型企业、微型企业的，提供《中小企业声明函》；本项目采购标的对应的中小企业划分标准所属行业为：餐饮业；供应商为监狱企业的，应提供监狱企业的证明文件；供应商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磋商响应文件的响应性</w:t>
            </w:r>
          </w:p>
        </w:tc>
        <w:tc>
          <w:tcPr>
            <w:tcW w:type="dxa" w:w="3322"/>
          </w:tcPr>
          <w:p>
            <w:pPr>
              <w:pStyle w:val="null3"/>
            </w:pPr>
            <w:r>
              <w:rPr>
                <w:rFonts w:ascii="仿宋_GB2312" w:hAnsi="仿宋_GB2312" w:cs="仿宋_GB2312" w:eastAsia="仿宋_GB2312"/>
              </w:rPr>
              <w:t>磋商有效期是否符合磋商文件要求；磋商响应服务方案是否有重大缺漏项、偏离；磋商响应商务条款是否有重大偏离；技术指标是否出现虚假响应；对合同中规定的双方的权利和义务是否做出了实质性修改。</w:t>
            </w:r>
          </w:p>
        </w:tc>
        <w:tc>
          <w:tcPr>
            <w:tcW w:type="dxa" w:w="1661"/>
          </w:tcPr>
          <w:p>
            <w:pPr>
              <w:pStyle w:val="null3"/>
            </w:pPr>
            <w:r>
              <w:rPr>
                <w:rFonts w:ascii="仿宋_GB2312" w:hAnsi="仿宋_GB2312" w:cs="仿宋_GB2312" w:eastAsia="仿宋_GB2312"/>
              </w:rPr>
              <w:t>业绩.docx 服务内容及服务邀请应答表 中小企业声明函 商务应答表 报价表 资格证明文件.docx 响应文件封面 分项报价表.docx 残疾人福利性单位声明函 标的清单 响应函 服务方案.docx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餐饮服务方案</w:t>
            </w:r>
          </w:p>
        </w:tc>
        <w:tc>
          <w:tcPr>
            <w:tcW w:type="dxa" w:w="2492"/>
          </w:tcPr>
          <w:p>
            <w:pPr>
              <w:pStyle w:val="null3"/>
            </w:pPr>
            <w:r>
              <w:rPr>
                <w:rFonts w:ascii="仿宋_GB2312" w:hAnsi="仿宋_GB2312" w:cs="仿宋_GB2312" w:eastAsia="仿宋_GB2312"/>
              </w:rPr>
              <w:t>一、评审内容 提供针对于本项目的餐饮服务方案，方案内容包含：①菜单设计方案；②食材验收管理；③食材存储管理；④烹饪与供餐管理；⑤营养与健康管理。 二、评审标准 1、完整性：方案须全面，对评审内容中的各项要求有详细描述及说明； 2、可实施性：切合本项目实际情况，内容条理清晰、合理，具有可实施性； 3、针对性：方案能够紧扣项目实际情况，内容科学合理。 三、赋分标准（满分15分） ①菜单设计方案：每完全满足一项评审标准得1分，满分3分； ②食材验收管理：每完全满足一项评审标准得1分，满分3分； ③食材存储管理：每完全满足一项评审标准得1分，满分3分； ④烹饪与供餐管理：每完全满足一项评审标准得1分，满分3分； ⑤营养与健康管理：每完全满足一项评审标准得1分，满分3分。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厨房设备使用管理、餐具消毒等方案</w:t>
            </w:r>
          </w:p>
        </w:tc>
        <w:tc>
          <w:tcPr>
            <w:tcW w:type="dxa" w:w="2492"/>
          </w:tcPr>
          <w:p>
            <w:pPr>
              <w:pStyle w:val="null3"/>
            </w:pPr>
            <w:r>
              <w:rPr>
                <w:rFonts w:ascii="仿宋_GB2312" w:hAnsi="仿宋_GB2312" w:cs="仿宋_GB2312" w:eastAsia="仿宋_GB2312"/>
              </w:rPr>
              <w:t>针对本项目特点有具体的厨房设备使用管理、餐具消毒等方案，包含但不限于①厨房设备使用管理制度、②厨房设备安全使用方案、③餐具消毒管理方案。 每个方案满分4分，共计12分，每个方案按以下标准评审：方案内容全面细致，与本项目实际情况结合紧密易于实施，得4分； 方案基本合理，管理标准尚且规范有一定针对性和可操作性, 得2分； 方案笼统、无针对性，可操作性差得1分。未提供不得分。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食品安全与卫生管理</w:t>
            </w:r>
          </w:p>
        </w:tc>
        <w:tc>
          <w:tcPr>
            <w:tcW w:type="dxa" w:w="2492"/>
          </w:tcPr>
          <w:p>
            <w:pPr>
              <w:pStyle w:val="null3"/>
            </w:pPr>
            <w:r>
              <w:rPr>
                <w:rFonts w:ascii="仿宋_GB2312" w:hAnsi="仿宋_GB2312" w:cs="仿宋_GB2312" w:eastAsia="仿宋_GB2312"/>
              </w:rPr>
              <w:t>一、评审内容 提供针对于本项目的食品安全与卫生管理方案，方案内容包含：①食品安全体系；②安全卫生管理措施；③食品安全培训与监督。 二、评审标准 1、完整性：方案须全面，对评审内容中的各项要求有详细描述及说明； 2、可实施性：切合本项目实际情况，内容条理清晰、合理，具有可实施性； 3、针对性：方案能够紧扣项目实际情况，内容科学合理。 三、赋分标准（满分9分） ①食品安全体系：每完全满足一项评审标准得1分，满分3分； ②安全卫生管理措施：每完全满足一项评审标准得1分，满分3分； ③食品安全培训与监督：每完全满足一项评审标准得1分，满分3分。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根据供应商提供的质量保证措施进行评分，包含但不限于：①食品选材标准、②营养搭配方案、③出餐时间保证方案； 每个方案满分3分，共计9分，每个方案按以下标准评审：方案完善、各项流程详细、清晰、合理且操作性和针对性强，得9分；方案较完善、各项流程合理且有操作性和针对性，得3分；方案不完善，各项流程缺乏合理性 , 操作性和针对性不强，得1分。未提供不得分。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公共区域卫生、保洁服务方案</w:t>
            </w:r>
          </w:p>
        </w:tc>
        <w:tc>
          <w:tcPr>
            <w:tcW w:type="dxa" w:w="2492"/>
          </w:tcPr>
          <w:p>
            <w:pPr>
              <w:pStyle w:val="null3"/>
            </w:pPr>
            <w:r>
              <w:rPr>
                <w:rFonts w:ascii="仿宋_GB2312" w:hAnsi="仿宋_GB2312" w:cs="仿宋_GB2312" w:eastAsia="仿宋_GB2312"/>
              </w:rPr>
              <w:t>针对本项目所在区域制订详细的卫生、保洁服务方案，包括但不限于：①卫生清洁管理制度；②各区域（包括餐厅、厨房、库房等）卫生清洁服务内容；③卫生清洁检查登记；每个方面满分2分，共计6分；每个方案按以下标准评审：方案完善、各项流程详细、清晰、合理且操作性和针对性强，得2分；方案较完善、各项流程合理且有操作性和针对性，得1.5分；方案不完善，各项流程缺乏合理性 , 操作性和针对性不强，得1分。未提供不得分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根据供应商针对本项目的突发情况应急预案，包括①停水停电停气、②食物中毒、③防火防盗、④临时用餐等应急预案进行赋分。每个方案满分3分，共计12分，每个方案（预案）按以下标准评审： 方案完善全面、应急资源储备充足、调配能力强，具有详尽的突发事件处理预案，计3分； 方案不够全面，能基本满足项目正常进行，计2分；方案简单，内容空泛，不具备可操作性，计1分。未提供说明不得分。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提供针对于本项目的管理制度，制度包含：生产安全、消防安全、成本核算、环境卫生、库房管理、设施设备管理、资料管理、服务管理、厉行节约反对浪费管理、垃圾分类管理、人员管理、投诉管理传染病防控管理制度。 二、评审标准 1、完整性：方案须全面，对评审内容中的各项要求有详细描述及说明； 2、可实施性：切合本项目实际情况，内容条理清晰、合理，具有可实施性； 3、针对性：方案能够紧扣项目实际情况，内容科学合理。 三、赋分标准（满分12分） 每项管理制度评审内容完全满足评审标准得1分，不能完全满足评审标准不得分，满12分。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针对本项目的服务制定具体的服务承诺，包括但不限于①服务的响应时间、②所提供服务的重点及难点解决措施、③安全质量承诺等； 每个方案满分2分，共计6分，每个方案按以下标准评审：服务承诺针对性强、可行性高得2分，服务承诺针对性一般，可行性一般得1分，不符合上述情形的得0分。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1.提供1名厨师长具有一级中式烹调师职业技能等级证书，提供包含不限于劳动合同或社保证明得2分，最高计2分; 2.提供1名面点师具有二级以上（含二级）中式面点师职业技能等级证书得2分； 3.提供4名具有二级中式烹调师职业技能等级证书，计2分，不足4名，不计分；具有三级中式烹调师职业技能等级证书，计1分，不足4名，不计分（提供厨师证以相关资格证书扫描件加盖公章为准）清晰可辨。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 2022年1月1日以来类似项目的业绩证明文件(（以签订时间为准)评审时以合同扫描件、验收单和付款证明为计分依据），每出具一份业绩证明文件得1分，满分3分。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经资格审查、符合性审查合格的磋商响应文件，其磋商报价为有效磋商报价，以最后磋商报价最低的报价为评审基准价，其价格分为满分 。其他供应商的价格分统一按照下列公式计算：磋商报价得分=（磋商基准价/最终磋商报价） ×10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