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7C62">
      <w:pPr>
        <w:spacing w:line="360" w:lineRule="auto"/>
        <w:jc w:val="center"/>
        <w:rPr>
          <w:rFonts w:ascii="宋体" w:hAnsi="宋体" w:eastAsia="宋体" w:cs="宋体"/>
          <w:b/>
          <w:kern w:val="0"/>
          <w:sz w:val="40"/>
          <w:szCs w:val="40"/>
          <w:highlight w:val="none"/>
        </w:rPr>
      </w:pPr>
      <w:r>
        <w:rPr>
          <w:rFonts w:hint="eastAsia" w:ascii="宋体" w:hAnsi="宋体" w:eastAsia="宋体" w:cs="宋体"/>
          <w:b/>
          <w:kern w:val="0"/>
          <w:sz w:val="40"/>
          <w:szCs w:val="40"/>
          <w:highlight w:val="none"/>
        </w:rPr>
        <w:t xml:space="preserve">  </w:t>
      </w:r>
      <w:r>
        <w:rPr>
          <w:rFonts w:hint="eastAsia" w:ascii="宋体" w:hAnsi="宋体" w:eastAsia="宋体" w:cs="宋体"/>
          <w:b/>
          <w:kern w:val="0"/>
          <w:sz w:val="28"/>
          <w:szCs w:val="28"/>
          <w:highlight w:val="none"/>
        </w:rPr>
        <w:t>合同编号：</w:t>
      </w:r>
    </w:p>
    <w:p w14:paraId="015F9B8A">
      <w:pPr>
        <w:spacing w:line="360" w:lineRule="auto"/>
        <w:jc w:val="center"/>
        <w:rPr>
          <w:rFonts w:ascii="宋体" w:hAnsi="宋体" w:eastAsia="宋体" w:cs="宋体"/>
          <w:b/>
          <w:kern w:val="0"/>
          <w:sz w:val="40"/>
          <w:szCs w:val="40"/>
          <w:highlight w:val="none"/>
        </w:rPr>
      </w:pPr>
    </w:p>
    <w:p w14:paraId="11964233">
      <w:pPr>
        <w:pStyle w:val="5"/>
        <w:rPr>
          <w:rFonts w:hAnsi="宋体" w:cs="宋体"/>
          <w:b/>
          <w:color w:val="auto"/>
          <w:sz w:val="40"/>
          <w:szCs w:val="40"/>
          <w:highlight w:val="none"/>
        </w:rPr>
      </w:pPr>
    </w:p>
    <w:p w14:paraId="2D5EB99F">
      <w:pPr>
        <w:pStyle w:val="5"/>
        <w:rPr>
          <w:rFonts w:hAnsi="宋体" w:cs="宋体"/>
          <w:b/>
          <w:color w:val="auto"/>
          <w:sz w:val="40"/>
          <w:szCs w:val="40"/>
          <w:highlight w:val="none"/>
        </w:rPr>
      </w:pPr>
    </w:p>
    <w:p w14:paraId="0B4A9D38">
      <w:pPr>
        <w:pStyle w:val="5"/>
        <w:rPr>
          <w:rFonts w:hAnsi="宋体" w:cs="宋体"/>
          <w:b/>
          <w:color w:val="auto"/>
          <w:sz w:val="40"/>
          <w:szCs w:val="40"/>
          <w:highlight w:val="none"/>
        </w:rPr>
      </w:pPr>
    </w:p>
    <w:p w14:paraId="6399B539">
      <w:pPr>
        <w:spacing w:line="360" w:lineRule="auto"/>
        <w:jc w:val="center"/>
        <w:rPr>
          <w:rFonts w:ascii="宋体" w:hAnsi="宋体" w:eastAsia="宋体" w:cs="宋体"/>
          <w:highlight w:val="none"/>
          <w:u w:val="single"/>
        </w:rPr>
      </w:pPr>
      <w:r>
        <w:rPr>
          <w:rFonts w:hint="eastAsia" w:ascii="宋体" w:hAnsi="宋体" w:eastAsia="宋体" w:cs="宋体"/>
          <w:b/>
          <w:kern w:val="0"/>
          <w:sz w:val="40"/>
          <w:szCs w:val="40"/>
          <w:highlight w:val="none"/>
        </w:rPr>
        <w:t>蓝田县中医医院医疗设备维修保养服务采购项目</w:t>
      </w:r>
    </w:p>
    <w:p w14:paraId="6DFBD674">
      <w:pPr>
        <w:spacing w:line="360" w:lineRule="auto"/>
        <w:rPr>
          <w:rFonts w:ascii="宋体" w:hAnsi="宋体" w:eastAsia="宋体" w:cs="宋体"/>
          <w:highlight w:val="none"/>
          <w:u w:val="single"/>
        </w:rPr>
      </w:pPr>
    </w:p>
    <w:p w14:paraId="401BE145">
      <w:pPr>
        <w:pStyle w:val="6"/>
        <w:spacing w:line="360" w:lineRule="auto"/>
        <w:rPr>
          <w:rFonts w:ascii="宋体" w:hAnsi="宋体" w:cs="宋体"/>
          <w:highlight w:val="none"/>
        </w:rPr>
      </w:pPr>
    </w:p>
    <w:p w14:paraId="05F02956">
      <w:pPr>
        <w:adjustRightInd w:val="0"/>
        <w:snapToGrid w:val="0"/>
        <w:spacing w:line="360" w:lineRule="auto"/>
        <w:jc w:val="center"/>
        <w:rPr>
          <w:rFonts w:ascii="宋体" w:hAnsi="宋体" w:eastAsia="宋体" w:cs="宋体"/>
          <w:b/>
          <w:bCs/>
          <w:sz w:val="84"/>
          <w:szCs w:val="84"/>
          <w:highlight w:val="none"/>
        </w:rPr>
      </w:pPr>
      <w:r>
        <w:rPr>
          <w:rFonts w:hint="eastAsia" w:ascii="宋体" w:hAnsi="宋体" w:eastAsia="宋体" w:cs="宋体"/>
          <w:b/>
          <w:bCs/>
          <w:sz w:val="84"/>
          <w:szCs w:val="84"/>
          <w:highlight w:val="none"/>
        </w:rPr>
        <w:t>合 同 文 件</w:t>
      </w:r>
    </w:p>
    <w:p w14:paraId="54E9B3F4">
      <w:pPr>
        <w:adjustRightInd w:val="0"/>
        <w:snapToGrid w:val="0"/>
        <w:spacing w:line="360" w:lineRule="auto"/>
        <w:jc w:val="center"/>
        <w:rPr>
          <w:rFonts w:ascii="宋体" w:hAnsi="宋体" w:eastAsia="宋体" w:cs="宋体"/>
          <w:highlight w:val="none"/>
        </w:rPr>
      </w:pPr>
    </w:p>
    <w:p w14:paraId="5AD06F04">
      <w:pPr>
        <w:adjustRightInd w:val="0"/>
        <w:snapToGrid w:val="0"/>
        <w:spacing w:line="360" w:lineRule="auto"/>
        <w:rPr>
          <w:rFonts w:ascii="宋体" w:hAnsi="宋体" w:eastAsia="宋体" w:cs="宋体"/>
          <w:highlight w:val="none"/>
        </w:rPr>
      </w:pPr>
    </w:p>
    <w:p w14:paraId="76221366">
      <w:pPr>
        <w:adjustRightInd w:val="0"/>
        <w:snapToGrid w:val="0"/>
        <w:spacing w:line="360" w:lineRule="auto"/>
        <w:rPr>
          <w:rFonts w:ascii="宋体" w:hAnsi="宋体" w:eastAsia="宋体" w:cs="宋体"/>
          <w:highlight w:val="none"/>
        </w:rPr>
      </w:pPr>
    </w:p>
    <w:p w14:paraId="08B6DEA7">
      <w:pPr>
        <w:adjustRightInd w:val="0"/>
        <w:snapToGrid w:val="0"/>
        <w:spacing w:line="360" w:lineRule="auto"/>
        <w:rPr>
          <w:rFonts w:ascii="宋体" w:hAnsi="宋体" w:eastAsia="宋体" w:cs="宋体"/>
          <w:highlight w:val="none"/>
        </w:rPr>
      </w:pPr>
    </w:p>
    <w:p w14:paraId="74FEDFB4">
      <w:pPr>
        <w:pStyle w:val="5"/>
        <w:rPr>
          <w:rFonts w:hAnsi="宋体" w:cs="宋体"/>
          <w:color w:val="auto"/>
          <w:highlight w:val="none"/>
        </w:rPr>
      </w:pPr>
    </w:p>
    <w:p w14:paraId="73E0405A">
      <w:pPr>
        <w:pStyle w:val="5"/>
        <w:rPr>
          <w:rFonts w:hAnsi="宋体" w:cs="宋体"/>
          <w:color w:val="auto"/>
          <w:highlight w:val="none"/>
        </w:rPr>
      </w:pPr>
    </w:p>
    <w:p w14:paraId="5FB0C2A1">
      <w:pPr>
        <w:pStyle w:val="5"/>
        <w:rPr>
          <w:rFonts w:hAnsi="宋体" w:cs="宋体"/>
          <w:color w:val="auto"/>
          <w:highlight w:val="none"/>
        </w:rPr>
      </w:pPr>
    </w:p>
    <w:p w14:paraId="69BF0385">
      <w:pPr>
        <w:pStyle w:val="5"/>
        <w:rPr>
          <w:rFonts w:hAnsi="宋体" w:cs="宋体"/>
          <w:color w:val="auto"/>
          <w:highlight w:val="none"/>
        </w:rPr>
      </w:pPr>
    </w:p>
    <w:p w14:paraId="51B6BD92">
      <w:pPr>
        <w:pStyle w:val="5"/>
        <w:rPr>
          <w:rFonts w:hAnsi="宋体" w:cs="宋体"/>
          <w:color w:val="auto"/>
          <w:highlight w:val="none"/>
        </w:rPr>
      </w:pPr>
    </w:p>
    <w:p w14:paraId="46D82241">
      <w:pPr>
        <w:pStyle w:val="5"/>
        <w:rPr>
          <w:rFonts w:hAnsi="宋体" w:cs="宋体"/>
          <w:color w:val="auto"/>
          <w:highlight w:val="none"/>
        </w:rPr>
      </w:pPr>
    </w:p>
    <w:p w14:paraId="47365F0C">
      <w:pPr>
        <w:pStyle w:val="5"/>
        <w:rPr>
          <w:rFonts w:hAnsi="宋体" w:cs="宋体"/>
          <w:color w:val="auto"/>
          <w:highlight w:val="none"/>
        </w:rPr>
      </w:pPr>
    </w:p>
    <w:p w14:paraId="28898143">
      <w:pPr>
        <w:adjustRightInd w:val="0"/>
        <w:snapToGrid w:val="0"/>
        <w:spacing w:line="480" w:lineRule="auto"/>
        <w:ind w:firstLine="1915" w:firstLineChars="596"/>
        <w:rPr>
          <w:rFonts w:ascii="宋体" w:hAnsi="宋体" w:eastAsia="宋体" w:cs="宋体"/>
          <w:b/>
          <w:sz w:val="32"/>
          <w:szCs w:val="32"/>
          <w:highlight w:val="none"/>
        </w:rPr>
      </w:pPr>
      <w:r>
        <w:rPr>
          <w:rFonts w:hint="eastAsia" w:ascii="宋体" w:hAnsi="宋体" w:eastAsia="宋体" w:cs="宋体"/>
          <w:b/>
          <w:sz w:val="32"/>
          <w:szCs w:val="32"/>
          <w:highlight w:val="none"/>
        </w:rPr>
        <w:t xml:space="preserve">委托方： </w:t>
      </w:r>
    </w:p>
    <w:p w14:paraId="23841198">
      <w:pPr>
        <w:adjustRightInd w:val="0"/>
        <w:snapToGrid w:val="0"/>
        <w:spacing w:line="480" w:lineRule="auto"/>
        <w:rPr>
          <w:rFonts w:ascii="宋体" w:hAnsi="宋体" w:eastAsia="宋体" w:cs="宋体"/>
          <w:b/>
          <w:sz w:val="32"/>
          <w:szCs w:val="32"/>
          <w:highlight w:val="none"/>
        </w:rPr>
      </w:pPr>
      <w:r>
        <w:rPr>
          <w:rFonts w:hint="eastAsia" w:ascii="宋体" w:hAnsi="宋体" w:eastAsia="宋体" w:cs="宋体"/>
          <w:b/>
          <w:sz w:val="32"/>
          <w:szCs w:val="32"/>
          <w:highlight w:val="none"/>
        </w:rPr>
        <w:t xml:space="preserve">            受托方： </w:t>
      </w:r>
    </w:p>
    <w:p w14:paraId="5436ABEE">
      <w:pPr>
        <w:pStyle w:val="5"/>
        <w:rPr>
          <w:rFonts w:hAnsi="宋体" w:cs="宋体"/>
          <w:highlight w:val="none"/>
        </w:rPr>
      </w:pPr>
    </w:p>
    <w:p w14:paraId="794E2039">
      <w:pPr>
        <w:adjustRightInd w:val="0"/>
        <w:snapToGrid w:val="0"/>
        <w:spacing w:line="480" w:lineRule="auto"/>
        <w:jc w:val="center"/>
        <w:rPr>
          <w:rFonts w:ascii="宋体" w:hAnsi="宋体" w:eastAsia="宋体" w:cs="宋体"/>
          <w:b/>
          <w:sz w:val="32"/>
          <w:szCs w:val="32"/>
          <w:highlight w:val="none"/>
        </w:rPr>
      </w:pPr>
      <w:r>
        <w:rPr>
          <w:rFonts w:hint="eastAsia" w:ascii="宋体" w:hAnsi="宋体" w:eastAsia="宋体" w:cs="宋体"/>
          <w:b/>
          <w:sz w:val="32"/>
          <w:szCs w:val="32"/>
          <w:highlight w:val="none"/>
        </w:rPr>
        <w:t>二〇二六年   月     日</w:t>
      </w:r>
    </w:p>
    <w:p w14:paraId="38D6791B">
      <w:pPr>
        <w:adjustRightInd w:val="0"/>
        <w:snapToGrid w:val="0"/>
        <w:spacing w:line="360" w:lineRule="auto"/>
        <w:ind w:firstLine="480" w:firstLineChars="200"/>
        <w:rPr>
          <w:rFonts w:ascii="宋体" w:hAnsi="宋体" w:eastAsia="宋体" w:cs="宋体"/>
          <w:b/>
          <w:sz w:val="22"/>
          <w:szCs w:val="22"/>
          <w:highlight w:val="none"/>
        </w:rPr>
      </w:pPr>
      <w:r>
        <w:rPr>
          <w:rFonts w:hint="eastAsia" w:ascii="宋体" w:hAnsi="宋体" w:eastAsia="宋体" w:cs="宋体"/>
          <w:sz w:val="24"/>
          <w:highlight w:val="none"/>
        </w:rPr>
        <w:br w:type="page"/>
      </w:r>
    </w:p>
    <w:p w14:paraId="079D3BFE">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 xml:space="preserve">签订地点： </w:t>
      </w:r>
    </w:p>
    <w:p w14:paraId="282B4D1F">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签订时间：</w:t>
      </w:r>
    </w:p>
    <w:p w14:paraId="4F517116">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采购人（甲方）：</w:t>
      </w:r>
    </w:p>
    <w:p w14:paraId="40EE3693">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供应商（乙方）：</w:t>
      </w:r>
    </w:p>
    <w:p w14:paraId="1C9F63DF">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根据《中华人民共和国政府采购法》及实施条例、《中华人民共和国民法典》第三篇和甲方</w:t>
      </w:r>
      <w:r>
        <w:rPr>
          <w:rFonts w:hint="eastAsia" w:ascii="宋体" w:hAnsi="宋体" w:eastAsia="宋体"/>
          <w:highlight w:val="none"/>
          <w:u w:val="single"/>
        </w:rPr>
        <w:t xml:space="preserve"> 项目名称（项目编号：   ）</w:t>
      </w:r>
      <w:r>
        <w:rPr>
          <w:rFonts w:hint="eastAsia" w:ascii="宋体" w:hAnsi="宋体" w:eastAsia="宋体"/>
          <w:highlight w:val="none"/>
        </w:rPr>
        <w:t>采购项目第</w:t>
      </w:r>
      <w:r>
        <w:rPr>
          <w:rFonts w:hint="eastAsia" w:ascii="宋体" w:hAnsi="宋体" w:eastAsia="宋体"/>
          <w:highlight w:val="none"/>
          <w:u w:val="single"/>
        </w:rPr>
        <w:t xml:space="preserve">     </w:t>
      </w:r>
      <w:r>
        <w:rPr>
          <w:rFonts w:hint="eastAsia" w:ascii="宋体" w:hAnsi="宋体" w:eastAsia="宋体"/>
          <w:highlight w:val="none"/>
        </w:rPr>
        <w:t>包的磋商文件、磋商响应文件等有关规定，为确保甲方采购项目的顺利实施，甲、乙双方在平等自愿原则下签订本合同，并共同遵守如下条款：</w:t>
      </w:r>
    </w:p>
    <w:p w14:paraId="7C9C44C6">
      <w:pPr>
        <w:adjustRightInd w:val="0"/>
        <w:snapToGrid w:val="0"/>
        <w:spacing w:line="360" w:lineRule="auto"/>
        <w:rPr>
          <w:rFonts w:ascii="宋体" w:hAnsi="宋体" w:eastAsia="宋体" w:cs="宋体"/>
          <w:b/>
          <w:bCs/>
          <w:sz w:val="24"/>
          <w:highlight w:val="none"/>
        </w:rPr>
      </w:pPr>
      <w:r>
        <w:rPr>
          <w:rFonts w:hint="eastAsia" w:ascii="宋体" w:hAnsi="宋体" w:eastAsia="宋体" w:cs="宋体"/>
          <w:b/>
          <w:bCs/>
          <w:sz w:val="24"/>
          <w:highlight w:val="none"/>
        </w:rPr>
        <w:t>一、项目概况</w:t>
      </w:r>
    </w:p>
    <w:p w14:paraId="52BA6419">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蓝田县中医医院是一家集医疗、预防、保健、康复、急救为一体的二级甲等综合医院。为提高设备维保质量，加快医疗设备故障修复速率、提高医疗设备正常开机率、延长医疗设备使用寿命，并且通过专业医疗设备管理系统提升我院医疗设备管理水平，现通过</w:t>
      </w:r>
      <w:r>
        <w:rPr>
          <w:rFonts w:hint="eastAsia" w:ascii="宋体" w:hAnsi="宋体" w:eastAsia="宋体" w:cs="宋体"/>
          <w:sz w:val="24"/>
          <w:highlight w:val="none"/>
          <w:lang w:val="en-US" w:eastAsia="zh-CN"/>
        </w:rPr>
        <w:t>竞争性磋商</w:t>
      </w:r>
      <w:r>
        <w:rPr>
          <w:rFonts w:hint="eastAsia" w:ascii="宋体" w:hAnsi="宋体" w:eastAsia="宋体" w:cs="宋体"/>
          <w:sz w:val="24"/>
          <w:highlight w:val="none"/>
        </w:rPr>
        <w:t>方式，采购一家拥有相关服务能力的医疗设备整体维保服务机构，为医院提供医疗设备整体维修保养服务。从技术服务到设备管理，包括设备验收、检测、保养、巡检、维修、配件免费更换、淘汰、置换、质量监控、使用评价等整个设备生命周期管理。并免费为医院提供一套设备管理软件供医院使用，为医院建立医疗设备管理数字化平台。</w:t>
      </w:r>
    </w:p>
    <w:p w14:paraId="72AF818C">
      <w:pPr>
        <w:adjustRightInd w:val="0"/>
        <w:snapToGrid w:val="0"/>
        <w:spacing w:line="360" w:lineRule="auto"/>
        <w:rPr>
          <w:rFonts w:ascii="宋体" w:hAnsi="宋体" w:eastAsia="宋体" w:cs="宋体"/>
          <w:b/>
          <w:bCs/>
          <w:sz w:val="24"/>
          <w:highlight w:val="none"/>
        </w:rPr>
      </w:pPr>
      <w:r>
        <w:rPr>
          <w:rFonts w:hint="eastAsia" w:ascii="宋体" w:hAnsi="宋体" w:eastAsia="宋体" w:cs="宋体"/>
          <w:b/>
          <w:bCs/>
          <w:sz w:val="24"/>
          <w:highlight w:val="none"/>
        </w:rPr>
        <w:t>二、服务内容</w:t>
      </w:r>
    </w:p>
    <w:p w14:paraId="5DB9C7B5">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本项目不分包。服务范围包括维保设备清单内所有设备，及清单外一些未纳入的设备及手术室空调机组等，从技术服务到设备管理，包括全生命周期管理、故障设备维修的配件和人工、定期保养、定期巡检、负责新设备验收、设备报废、负责设备计量检定、档案管理、新院区搬迁设备移机等任务。</w:t>
      </w:r>
    </w:p>
    <w:p w14:paraId="67544C1B">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本项目服务范围</w:t>
      </w:r>
      <w:r>
        <w:rPr>
          <w:rFonts w:hint="eastAsia" w:ascii="宋体" w:hAnsi="宋体" w:eastAsia="宋体" w:cs="宋体"/>
          <w:sz w:val="24"/>
          <w:szCs w:val="24"/>
          <w:highlight w:val="none"/>
          <w:lang w:val="en-US" w:eastAsia="zh-CN"/>
        </w:rPr>
        <w:t>为</w:t>
      </w:r>
      <w:r>
        <w:rPr>
          <w:rFonts w:hint="eastAsia" w:ascii="宋体" w:hAnsi="宋体" w:eastAsia="宋体" w:cs="宋体"/>
          <w:sz w:val="24"/>
          <w:szCs w:val="24"/>
          <w:highlight w:val="none"/>
        </w:rPr>
        <w:t>医院</w:t>
      </w:r>
      <w:r>
        <w:rPr>
          <w:rFonts w:hint="eastAsia" w:ascii="宋体" w:hAnsi="宋体" w:eastAsia="宋体" w:cs="宋体"/>
          <w:sz w:val="24"/>
          <w:szCs w:val="24"/>
          <w:highlight w:val="none"/>
          <w:lang w:val="en-US" w:eastAsia="zh-CN"/>
        </w:rPr>
        <w:t>清单内</w:t>
      </w:r>
      <w:r>
        <w:rPr>
          <w:rFonts w:hint="eastAsia" w:ascii="宋体" w:hAnsi="宋体" w:eastAsia="宋体" w:cs="宋体"/>
          <w:sz w:val="24"/>
          <w:szCs w:val="24"/>
          <w:highlight w:val="none"/>
        </w:rPr>
        <w:t>现所</w:t>
      </w:r>
      <w:r>
        <w:rPr>
          <w:rFonts w:hint="eastAsia" w:ascii="宋体" w:hAnsi="宋体" w:eastAsia="宋体" w:cs="宋体"/>
          <w:sz w:val="24"/>
          <w:szCs w:val="24"/>
          <w:highlight w:val="none"/>
          <w:lang w:val="en-US" w:eastAsia="zh-CN"/>
        </w:rPr>
        <w:t>保医疗设备</w:t>
      </w:r>
      <w:r>
        <w:rPr>
          <w:rFonts w:hint="eastAsia" w:ascii="宋体" w:hAnsi="宋体" w:eastAsia="宋体" w:cs="宋体"/>
          <w:sz w:val="24"/>
          <w:szCs w:val="24"/>
          <w:highlight w:val="none"/>
        </w:rPr>
        <w:t>，包含</w:t>
      </w:r>
      <w:r>
        <w:rPr>
          <w:rFonts w:hint="eastAsia" w:ascii="宋体" w:hAnsi="宋体" w:eastAsia="宋体" w:cs="宋体"/>
          <w:sz w:val="24"/>
          <w:szCs w:val="24"/>
          <w:highlight w:val="none"/>
          <w:lang w:val="en-US" w:eastAsia="zh-CN"/>
        </w:rPr>
        <w:t>但不限于</w:t>
      </w:r>
      <w:r>
        <w:rPr>
          <w:rFonts w:hint="eastAsia" w:ascii="宋体" w:hAnsi="宋体" w:eastAsia="宋体" w:cs="宋体"/>
          <w:sz w:val="24"/>
          <w:szCs w:val="24"/>
          <w:highlight w:val="none"/>
        </w:rPr>
        <w:t>影像类DR、中C臂、小C臂、彩超、高压灭菌器等设备的维修及更换服务；</w:t>
      </w:r>
      <w:r>
        <w:rPr>
          <w:rFonts w:hint="eastAsia" w:ascii="宋体" w:hAnsi="宋体" w:eastAsia="宋体" w:cs="宋体"/>
          <w:sz w:val="24"/>
          <w:szCs w:val="24"/>
          <w:highlight w:val="none"/>
        </w:rPr>
        <w:t>服务覆盖上述设备全部维修配件：影像类设备球管、探测器、高压发生器等主要配件；彩超探头、主板、显示器的更换及系统升级等维修服务；高压灭菌器蒸汽发生器等主要维修配件。本项目项下所有更换配件均须为原装标准配置。</w:t>
      </w:r>
    </w:p>
    <w:p w14:paraId="0B4A444B">
      <w:pPr>
        <w:pStyle w:val="8"/>
        <w:adjustRightInd w:val="0"/>
        <w:snapToGrid w:val="0"/>
        <w:spacing w:line="360" w:lineRule="auto"/>
        <w:ind w:firstLine="480" w:firstLineChars="200"/>
        <w:rPr>
          <w:rFonts w:ascii="宋体" w:hAnsi="宋体" w:eastAsia="宋体" w:cs="宋体"/>
          <w:sz w:val="28"/>
          <w:szCs w:val="28"/>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为医院免费提供设备管理软件，该设备管理软件需满足医院设备管理及国家法规的要求</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内容包含但不限于：资产管理、检测管理、培训管理、保养管理、维修管理、证照管理等功能。同时该设备管理软件应满足医院信息管理部门的安全保密要求，根据医院要求将权限分配给医院相关设备负责人及分管领导，以方便医院监督了解在医院的工作。合作期间软件免费升级。该软件服务期满后归属权归医院所有并保证该管理软件仍能供医院正常使用。</w:t>
      </w:r>
    </w:p>
    <w:p w14:paraId="29606BC7">
      <w:pPr>
        <w:adjustRightInd w:val="0"/>
        <w:snapToGrid w:val="0"/>
        <w:spacing w:line="360" w:lineRule="auto"/>
        <w:rPr>
          <w:rFonts w:ascii="宋体" w:hAnsi="宋体" w:eastAsia="宋体" w:cs="宋体"/>
          <w:b/>
          <w:sz w:val="24"/>
          <w:highlight w:val="none"/>
        </w:rPr>
      </w:pPr>
      <w:r>
        <w:rPr>
          <w:rFonts w:hint="eastAsia" w:ascii="宋体" w:hAnsi="宋体" w:eastAsia="宋体" w:cs="宋体"/>
          <w:b/>
          <w:sz w:val="24"/>
          <w:highlight w:val="none"/>
        </w:rPr>
        <w:t>三、维保设备及年限</w:t>
      </w:r>
    </w:p>
    <w:tbl>
      <w:tblPr>
        <w:tblStyle w:val="3"/>
        <w:tblW w:w="9036" w:type="dxa"/>
        <w:jc w:val="center"/>
        <w:tblLayout w:type="fixed"/>
        <w:tblCellMar>
          <w:top w:w="0" w:type="dxa"/>
          <w:left w:w="10" w:type="dxa"/>
          <w:bottom w:w="0" w:type="dxa"/>
          <w:right w:w="10" w:type="dxa"/>
        </w:tblCellMar>
      </w:tblPr>
      <w:tblGrid>
        <w:gridCol w:w="1678"/>
        <w:gridCol w:w="1380"/>
        <w:gridCol w:w="948"/>
        <w:gridCol w:w="819"/>
        <w:gridCol w:w="776"/>
        <w:gridCol w:w="1155"/>
        <w:gridCol w:w="1200"/>
        <w:gridCol w:w="1080"/>
      </w:tblGrid>
      <w:tr w14:paraId="2F75DE44">
        <w:tblPrEx>
          <w:tblCellMar>
            <w:top w:w="0" w:type="dxa"/>
            <w:left w:w="10" w:type="dxa"/>
            <w:bottom w:w="0" w:type="dxa"/>
            <w:right w:w="10" w:type="dxa"/>
          </w:tblCellMar>
        </w:tblPrEx>
        <w:trPr>
          <w:trHeight w:val="583" w:hRule="atLeast"/>
          <w:jc w:val="center"/>
        </w:trPr>
        <w:tc>
          <w:tcPr>
            <w:tcW w:w="167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5A67688">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货物品名</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EE3D250">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规格型号</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FC3EFF4">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单位</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F0D8214">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数量</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AC11FAD">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维保年限</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B7736B">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单价</w:t>
            </w:r>
          </w:p>
          <w:p w14:paraId="2EC758D3">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（万元）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ED7A8AC">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总价</w:t>
            </w:r>
          </w:p>
          <w:p w14:paraId="7BB9D5FE">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4B31974">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备注</w:t>
            </w:r>
          </w:p>
        </w:tc>
      </w:tr>
      <w:tr w14:paraId="5DE49D67">
        <w:tblPrEx>
          <w:tblCellMar>
            <w:top w:w="0" w:type="dxa"/>
            <w:left w:w="10" w:type="dxa"/>
            <w:bottom w:w="0" w:type="dxa"/>
            <w:right w:w="10" w:type="dxa"/>
          </w:tblCellMar>
        </w:tblPrEx>
        <w:trPr>
          <w:trHeight w:val="932" w:hRule="atLeast"/>
          <w:jc w:val="center"/>
        </w:trPr>
        <w:tc>
          <w:tcPr>
            <w:tcW w:w="167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58559FB">
            <w:pPr>
              <w:adjustRightInd w:val="0"/>
              <w:snapToGrid w:val="0"/>
              <w:spacing w:line="360" w:lineRule="auto"/>
              <w:jc w:val="center"/>
              <w:rPr>
                <w:rFonts w:ascii="宋体" w:hAnsi="宋体" w:eastAsia="宋体" w:cs="宋体"/>
                <w:sz w:val="24"/>
                <w:highlight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A7E43FB">
            <w:pPr>
              <w:adjustRightInd w:val="0"/>
              <w:snapToGrid w:val="0"/>
              <w:spacing w:line="360" w:lineRule="auto"/>
              <w:jc w:val="center"/>
              <w:rPr>
                <w:rFonts w:ascii="宋体" w:hAnsi="宋体" w:eastAsia="宋体" w:cs="宋体"/>
                <w:sz w:val="24"/>
                <w:highlight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5104DFA">
            <w:pPr>
              <w:adjustRightInd w:val="0"/>
              <w:snapToGrid w:val="0"/>
              <w:spacing w:line="360" w:lineRule="auto"/>
              <w:jc w:val="center"/>
              <w:rPr>
                <w:rFonts w:ascii="宋体" w:hAnsi="宋体" w:eastAsia="宋体" w:cs="宋体"/>
                <w:sz w:val="24"/>
                <w:highlight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3C833F">
            <w:pPr>
              <w:adjustRightInd w:val="0"/>
              <w:snapToGrid w:val="0"/>
              <w:spacing w:line="360" w:lineRule="auto"/>
              <w:jc w:val="center"/>
              <w:rPr>
                <w:rFonts w:ascii="宋体" w:hAnsi="宋体" w:eastAsia="宋体" w:cs="宋体"/>
                <w:sz w:val="24"/>
                <w:highlight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9516AC8">
            <w:pPr>
              <w:adjustRightInd w:val="0"/>
              <w:snapToGrid w:val="0"/>
              <w:spacing w:line="360" w:lineRule="auto"/>
              <w:jc w:val="center"/>
              <w:rPr>
                <w:rFonts w:ascii="宋体" w:hAnsi="宋体" w:eastAsia="宋体" w:cs="宋体"/>
                <w:sz w:val="24"/>
                <w:highlight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E17C5F7">
            <w:pPr>
              <w:adjustRightInd w:val="0"/>
              <w:snapToGrid w:val="0"/>
              <w:spacing w:line="360" w:lineRule="auto"/>
              <w:jc w:val="center"/>
              <w:rPr>
                <w:rFonts w:ascii="宋体" w:hAnsi="宋体" w:eastAsia="宋体" w:cs="宋体"/>
                <w:sz w:val="24"/>
                <w:highlight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6224A5">
            <w:pPr>
              <w:adjustRightInd w:val="0"/>
              <w:snapToGrid w:val="0"/>
              <w:spacing w:line="360" w:lineRule="auto"/>
              <w:jc w:val="center"/>
              <w:rPr>
                <w:rFonts w:ascii="宋体" w:hAnsi="宋体" w:eastAsia="宋体" w:cs="宋体"/>
                <w:sz w:val="24"/>
                <w:highlight w:val="none"/>
              </w:rPr>
            </w:pPr>
          </w:p>
        </w:tc>
        <w:tc>
          <w:tcPr>
            <w:tcW w:w="1080" w:type="dxa"/>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2B038CD5">
            <w:pPr>
              <w:adjustRightInd w:val="0"/>
              <w:snapToGrid w:val="0"/>
              <w:spacing w:line="360" w:lineRule="auto"/>
              <w:jc w:val="center"/>
              <w:rPr>
                <w:rFonts w:ascii="宋体" w:hAnsi="宋体" w:eastAsia="宋体" w:cs="宋体"/>
                <w:sz w:val="24"/>
                <w:highlight w:val="none"/>
              </w:rPr>
            </w:pPr>
          </w:p>
        </w:tc>
      </w:tr>
      <w:tr w14:paraId="0684F8FE">
        <w:tblPrEx>
          <w:tblCellMar>
            <w:top w:w="0" w:type="dxa"/>
            <w:left w:w="10" w:type="dxa"/>
            <w:bottom w:w="0" w:type="dxa"/>
            <w:right w:w="10" w:type="dxa"/>
          </w:tblCellMar>
        </w:tblPrEx>
        <w:trPr>
          <w:trHeight w:val="647" w:hRule="atLeast"/>
          <w:jc w:val="center"/>
        </w:trPr>
        <w:tc>
          <w:tcPr>
            <w:tcW w:w="167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7E0616C">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合计</w:t>
            </w:r>
          </w:p>
        </w:tc>
        <w:tc>
          <w:tcPr>
            <w:tcW w:w="735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33B783">
            <w:pPr>
              <w:adjustRightInd w:val="0"/>
              <w:snapToGrid w:val="0"/>
              <w:spacing w:line="360" w:lineRule="auto"/>
              <w:jc w:val="center"/>
              <w:rPr>
                <w:rFonts w:ascii="宋体" w:hAnsi="宋体" w:eastAsia="宋体" w:cs="宋体"/>
                <w:sz w:val="24"/>
                <w:highlight w:val="none"/>
              </w:rPr>
            </w:pPr>
            <w:r>
              <w:rPr>
                <w:rFonts w:hint="eastAsia" w:ascii="宋体" w:hAnsi="宋体" w:eastAsia="宋体" w:cs="宋体"/>
                <w:sz w:val="24"/>
                <w:highlight w:val="none"/>
              </w:rPr>
              <w:t>人民币：      元整</w:t>
            </w:r>
          </w:p>
        </w:tc>
      </w:tr>
    </w:tbl>
    <w:p w14:paraId="03941F02">
      <w:pPr>
        <w:adjustRightInd w:val="0"/>
        <w:snapToGrid w:val="0"/>
        <w:spacing w:line="360" w:lineRule="auto"/>
        <w:rPr>
          <w:rFonts w:ascii="宋体" w:hAnsi="宋体" w:eastAsia="宋体" w:cs="宋体"/>
          <w:b/>
          <w:sz w:val="24"/>
          <w:highlight w:val="none"/>
        </w:rPr>
      </w:pPr>
      <w:r>
        <w:rPr>
          <w:rFonts w:hint="eastAsia" w:ascii="宋体" w:hAnsi="宋体" w:eastAsia="宋体" w:cs="宋体"/>
          <w:b/>
          <w:sz w:val="24"/>
          <w:highlight w:val="none"/>
        </w:rPr>
        <w:t>四、合同总价</w:t>
      </w:r>
    </w:p>
    <w:p w14:paraId="31DF476A">
      <w:pPr>
        <w:adjustRightInd w:val="0"/>
        <w:snapToGrid w:val="0"/>
        <w:spacing w:line="360" w:lineRule="auto"/>
        <w:ind w:firstLine="504" w:firstLineChars="200"/>
        <w:rPr>
          <w:rFonts w:ascii="宋体" w:hAnsi="宋体" w:eastAsia="宋体" w:cs="宋体"/>
          <w:spacing w:val="6"/>
          <w:sz w:val="24"/>
          <w:highlight w:val="none"/>
        </w:rPr>
      </w:pPr>
      <w:r>
        <w:rPr>
          <w:rFonts w:hint="eastAsia" w:ascii="宋体" w:hAnsi="宋体" w:eastAsia="宋体" w:cs="宋体"/>
          <w:spacing w:val="6"/>
          <w:sz w:val="24"/>
          <w:highlight w:val="none"/>
        </w:rPr>
        <w:t>合同总价为人民币大写：</w:t>
      </w:r>
      <w:r>
        <w:rPr>
          <w:rFonts w:hint="eastAsia" w:ascii="宋体" w:hAnsi="宋体" w:eastAsia="宋体" w:cs="宋体"/>
          <w:spacing w:val="6"/>
          <w:sz w:val="24"/>
          <w:highlight w:val="none"/>
          <w:u w:val="single"/>
        </w:rPr>
        <w:t xml:space="preserve">      </w:t>
      </w:r>
      <w:r>
        <w:rPr>
          <w:rFonts w:hint="eastAsia" w:ascii="宋体" w:hAnsi="宋体" w:eastAsia="宋体" w:cs="宋体"/>
          <w:spacing w:val="6"/>
          <w:sz w:val="24"/>
          <w:highlight w:val="none"/>
        </w:rPr>
        <w:t>，即RMB￥</w:t>
      </w:r>
      <w:r>
        <w:rPr>
          <w:rFonts w:hint="eastAsia" w:ascii="宋体" w:hAnsi="宋体" w:eastAsia="宋体" w:cs="宋体"/>
          <w:spacing w:val="6"/>
          <w:sz w:val="24"/>
          <w:highlight w:val="none"/>
          <w:u w:val="single"/>
        </w:rPr>
        <w:t xml:space="preserve">     </w:t>
      </w:r>
      <w:r>
        <w:rPr>
          <w:rFonts w:hint="eastAsia" w:ascii="宋体" w:hAnsi="宋体" w:eastAsia="宋体" w:cs="宋体"/>
          <w:spacing w:val="6"/>
          <w:sz w:val="24"/>
          <w:highlight w:val="none"/>
        </w:rPr>
        <w:t>元；该合同总价涉及的保修范围：设备整体保修，包含设备内故障备件的更换等。</w:t>
      </w:r>
    </w:p>
    <w:p w14:paraId="082E201C">
      <w:pPr>
        <w:pStyle w:val="8"/>
        <w:adjustRightInd w:val="0"/>
        <w:snapToGrid w:val="0"/>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lang w:eastAsia="zh-CN"/>
        </w:rPr>
        <w:t>五、</w:t>
      </w:r>
      <w:r>
        <w:rPr>
          <w:rFonts w:ascii="宋体" w:hAnsi="宋体" w:eastAsia="宋体" w:cs="宋体"/>
          <w:b/>
          <w:sz w:val="24"/>
          <w:szCs w:val="24"/>
          <w:highlight w:val="none"/>
        </w:rPr>
        <w:t>支付约定</w:t>
      </w:r>
    </w:p>
    <w:p w14:paraId="01F167C8">
      <w:pPr>
        <w:pStyle w:val="8"/>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签订后项目实施至3个月</w:t>
      </w:r>
      <w:r>
        <w:rPr>
          <w:rFonts w:ascii="宋体" w:hAnsi="宋体" w:eastAsia="宋体" w:cs="宋体"/>
          <w:sz w:val="24"/>
          <w:szCs w:val="24"/>
          <w:highlight w:val="none"/>
        </w:rPr>
        <w:t xml:space="preserve"> ，达到付款条件起 10</w:t>
      </w:r>
      <w:r>
        <w:rPr>
          <w:rFonts w:hint="eastAsia" w:ascii="宋体" w:hAnsi="宋体" w:eastAsia="宋体" w:cs="宋体"/>
          <w:sz w:val="24"/>
          <w:szCs w:val="24"/>
          <w:highlight w:val="none"/>
          <w:lang w:val="en-US" w:eastAsia="zh-CN"/>
        </w:rPr>
        <w:t>工作</w:t>
      </w:r>
      <w:r>
        <w:rPr>
          <w:rFonts w:ascii="宋体" w:hAnsi="宋体" w:eastAsia="宋体" w:cs="宋体"/>
          <w:sz w:val="24"/>
          <w:szCs w:val="24"/>
          <w:highlight w:val="none"/>
        </w:rPr>
        <w:t>日内，支付合同总金额的 40.00%</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项目实施至9个月</w:t>
      </w:r>
      <w:r>
        <w:rPr>
          <w:rFonts w:ascii="宋体" w:hAnsi="宋体" w:eastAsia="宋体" w:cs="宋体"/>
          <w:sz w:val="24"/>
          <w:szCs w:val="24"/>
          <w:highlight w:val="none"/>
        </w:rPr>
        <w:t xml:space="preserve"> ，达到付款条件起10</w:t>
      </w:r>
      <w:r>
        <w:rPr>
          <w:rFonts w:hint="eastAsia" w:ascii="宋体" w:hAnsi="宋体" w:eastAsia="宋体" w:cs="宋体"/>
          <w:sz w:val="24"/>
          <w:szCs w:val="24"/>
          <w:highlight w:val="none"/>
          <w:lang w:val="en-US" w:eastAsia="zh-CN"/>
        </w:rPr>
        <w:t>工作</w:t>
      </w:r>
      <w:r>
        <w:rPr>
          <w:rFonts w:ascii="宋体" w:hAnsi="宋体" w:eastAsia="宋体" w:cs="宋体"/>
          <w:sz w:val="24"/>
          <w:szCs w:val="24"/>
          <w:highlight w:val="none"/>
        </w:rPr>
        <w:t xml:space="preserve">日内，支付合同总金额的 </w:t>
      </w:r>
      <w:r>
        <w:rPr>
          <w:rFonts w:hint="eastAsia" w:ascii="宋体" w:hAnsi="宋体" w:eastAsia="宋体" w:cs="宋体"/>
          <w:sz w:val="24"/>
          <w:szCs w:val="24"/>
          <w:highlight w:val="none"/>
          <w:lang w:val="en-US" w:eastAsia="zh-CN"/>
        </w:rPr>
        <w:t>30</w:t>
      </w:r>
      <w:r>
        <w:rPr>
          <w:rFonts w:ascii="宋体" w:hAnsi="宋体" w:eastAsia="宋体" w:cs="宋体"/>
          <w:sz w:val="24"/>
          <w:szCs w:val="24"/>
          <w:highlight w:val="none"/>
        </w:rPr>
        <w:t>.00%</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服务期结束后，</w:t>
      </w:r>
      <w:r>
        <w:rPr>
          <w:rFonts w:ascii="宋体" w:hAnsi="宋体" w:eastAsia="宋体" w:cs="宋体"/>
          <w:sz w:val="24"/>
          <w:szCs w:val="24"/>
          <w:highlight w:val="none"/>
        </w:rPr>
        <w:t>达到付款条件起 10</w:t>
      </w:r>
      <w:r>
        <w:rPr>
          <w:rFonts w:hint="eastAsia" w:ascii="宋体" w:hAnsi="宋体" w:eastAsia="宋体" w:cs="宋体"/>
          <w:sz w:val="24"/>
          <w:szCs w:val="24"/>
          <w:highlight w:val="none"/>
          <w:lang w:val="en-US" w:eastAsia="zh-CN"/>
        </w:rPr>
        <w:t>工作</w:t>
      </w:r>
      <w:r>
        <w:rPr>
          <w:rFonts w:ascii="宋体" w:hAnsi="宋体" w:eastAsia="宋体" w:cs="宋体"/>
          <w:sz w:val="24"/>
          <w:szCs w:val="24"/>
          <w:highlight w:val="none"/>
        </w:rPr>
        <w:t xml:space="preserve">日内，支付合同总金额的 </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0.00%</w:t>
      </w:r>
      <w:r>
        <w:rPr>
          <w:rFonts w:hint="eastAsia" w:ascii="宋体" w:hAnsi="宋体" w:eastAsia="宋体" w:cs="宋体"/>
          <w:sz w:val="24"/>
          <w:szCs w:val="24"/>
          <w:highlight w:val="none"/>
          <w:lang w:eastAsia="zh-CN"/>
        </w:rPr>
        <w:t>。</w:t>
      </w:r>
    </w:p>
    <w:p w14:paraId="18C93FEE">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付款前乙方向甲方出具正式增值税普通发票。</w:t>
      </w:r>
      <w:bookmarkStart w:id="0" w:name="_GoBack"/>
      <w:bookmarkEnd w:id="0"/>
      <w:r>
        <w:rPr>
          <w:rFonts w:hint="eastAsia" w:ascii="宋体" w:hAnsi="宋体" w:eastAsia="宋体" w:cs="宋体"/>
          <w:sz w:val="24"/>
          <w:highlight w:val="none"/>
        </w:rPr>
        <w:t>乙方未按照约定提供发票的，甲方有权拒付相关款项，由此造成的损失由乙方负责。</w:t>
      </w:r>
    </w:p>
    <w:p w14:paraId="6C6BCC8E">
      <w:pPr>
        <w:adjustRightInd w:val="0"/>
        <w:snapToGrid w:val="0"/>
        <w:spacing w:line="360" w:lineRule="auto"/>
        <w:ind w:firstLine="480" w:firstLineChars="200"/>
        <w:rPr>
          <w:rFonts w:ascii="宋体" w:hAnsi="宋体" w:eastAsia="宋体" w:cs="宋体"/>
          <w:spacing w:val="6"/>
          <w:sz w:val="24"/>
          <w:highlight w:val="none"/>
        </w:rPr>
      </w:pPr>
      <w:r>
        <w:rPr>
          <w:rFonts w:hint="eastAsia" w:ascii="宋体" w:hAnsi="宋体" w:eastAsia="宋体" w:cs="宋体"/>
          <w:sz w:val="24"/>
          <w:highlight w:val="none"/>
        </w:rPr>
        <w:t>如甲方设备达到使用年限或设备所有权发生变更，甲方需提前通知乙方，合同终止，并按照乙方当年度已服务的天数折价支付乙方服务费。</w:t>
      </w:r>
    </w:p>
    <w:p w14:paraId="0B71A54C">
      <w:pPr>
        <w:adjustRightInd w:val="0"/>
        <w:snapToGrid w:val="0"/>
        <w:spacing w:line="360" w:lineRule="auto"/>
        <w:ind w:firstLine="504" w:firstLineChars="200"/>
        <w:rPr>
          <w:rFonts w:ascii="宋体" w:hAnsi="宋体" w:eastAsia="宋体" w:cs="宋体"/>
          <w:color w:val="auto"/>
          <w:spacing w:val="6"/>
          <w:sz w:val="24"/>
          <w:highlight w:val="none"/>
        </w:rPr>
      </w:pPr>
      <w:r>
        <w:rPr>
          <w:rFonts w:hint="eastAsia" w:ascii="宋体" w:hAnsi="宋体" w:eastAsia="宋体" w:cs="宋体"/>
          <w:spacing w:val="6"/>
          <w:sz w:val="24"/>
          <w:highlight w:val="none"/>
        </w:rPr>
        <w:t>本合同执行期间合同总价不变</w:t>
      </w:r>
      <w:r>
        <w:rPr>
          <w:rFonts w:hint="eastAsia" w:ascii="宋体" w:hAnsi="宋体" w:eastAsia="宋体" w:cs="宋体"/>
          <w:color w:val="auto"/>
          <w:spacing w:val="6"/>
          <w:sz w:val="24"/>
          <w:highlight w:val="none"/>
        </w:rPr>
        <w:t>，本合同规定项目及范围内的服务无需再支付任何费用</w:t>
      </w:r>
      <w:r>
        <w:rPr>
          <w:rFonts w:hint="eastAsia" w:ascii="宋体" w:hAnsi="宋体" w:eastAsia="宋体" w:cs="宋体"/>
          <w:color w:val="auto"/>
          <w:spacing w:val="6"/>
          <w:sz w:val="24"/>
          <w:highlight w:val="none"/>
          <w:lang w:eastAsia="zh-CN"/>
        </w:rPr>
        <w:t>，</w:t>
      </w:r>
      <w:r>
        <w:rPr>
          <w:rFonts w:hint="eastAsia" w:ascii="宋体" w:hAnsi="宋体" w:eastAsia="宋体" w:cs="宋体"/>
          <w:color w:val="auto"/>
          <w:spacing w:val="6"/>
          <w:sz w:val="24"/>
          <w:highlight w:val="none"/>
        </w:rPr>
        <w:t>另有新增服务项目或设备时，双方协商解决。</w:t>
      </w:r>
    </w:p>
    <w:p w14:paraId="5A6B376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eastAsia="宋体" w:cs="宋体"/>
          <w:b/>
          <w:kern w:val="0"/>
          <w:sz w:val="24"/>
          <w:highlight w:val="none"/>
          <w:lang w:eastAsia="zh-Hans"/>
        </w:rPr>
      </w:pPr>
      <w:r>
        <w:rPr>
          <w:rFonts w:hint="eastAsia" w:ascii="宋体" w:hAnsi="宋体" w:eastAsia="宋体" w:cs="宋体"/>
          <w:b/>
          <w:kern w:val="0"/>
          <w:sz w:val="24"/>
          <w:highlight w:val="none"/>
        </w:rPr>
        <w:t>六、</w:t>
      </w:r>
      <w:r>
        <w:rPr>
          <w:rFonts w:hint="eastAsia" w:ascii="宋体" w:hAnsi="宋体" w:eastAsia="宋体" w:cs="宋体"/>
          <w:b/>
          <w:kern w:val="0"/>
          <w:sz w:val="24"/>
          <w:highlight w:val="none"/>
          <w:lang w:eastAsia="zh-Hans"/>
        </w:rPr>
        <w:t>双方的权利和义务</w:t>
      </w:r>
    </w:p>
    <w:p w14:paraId="5AEE422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eastAsia="宋体" w:cs="宋体"/>
          <w:sz w:val="24"/>
          <w:highlight w:val="none"/>
        </w:rPr>
      </w:pPr>
      <w:r>
        <w:rPr>
          <w:rFonts w:hint="eastAsia" w:ascii="宋体" w:hAnsi="宋体" w:eastAsia="宋体" w:cs="宋体"/>
          <w:sz w:val="24"/>
          <w:highlight w:val="none"/>
        </w:rPr>
        <w:t>（一）甲方的权利和义务</w:t>
      </w:r>
    </w:p>
    <w:p w14:paraId="0D862C7C">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甲方提供所需要的专人及场地配合乙方进行维修工作。</w:t>
      </w:r>
    </w:p>
    <w:p w14:paraId="6E2A607A">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甲方提供乙方维修过程中所必须的各项技术资料。</w:t>
      </w:r>
    </w:p>
    <w:p w14:paraId="0067BA94">
      <w:pPr>
        <w:adjustRightInd w:val="0"/>
        <w:snapToGrid w:val="0"/>
        <w:spacing w:line="360" w:lineRule="auto"/>
        <w:rPr>
          <w:rFonts w:ascii="宋体" w:hAnsi="宋体" w:eastAsia="宋体" w:cs="宋体"/>
          <w:sz w:val="24"/>
          <w:highlight w:val="none"/>
        </w:rPr>
      </w:pPr>
      <w:r>
        <w:rPr>
          <w:rFonts w:hint="eastAsia" w:ascii="宋体" w:hAnsi="宋体" w:eastAsia="宋体" w:cs="宋体"/>
          <w:sz w:val="24"/>
          <w:highlight w:val="none"/>
        </w:rPr>
        <w:t>（二）乙方的权利和义务</w:t>
      </w:r>
    </w:p>
    <w:p w14:paraId="0AB48C95">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1.乙方按照合同约定保证维修后设备完好、按照甲方要求进行验收。</w:t>
      </w:r>
    </w:p>
    <w:p w14:paraId="675C9F5C">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2.乙方应保证其具备与维修业务相适应的设施和技术力量，派遣到甲方的维修人员均为专业工程师，并严格遵守中国法律法规、相关技术安全规范与甲方的管理制度进行检查维修工作</w:t>
      </w:r>
    </w:p>
    <w:p w14:paraId="3412E610">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3.乙方在维修过程中负责维修工程师、设备及配件的安全，出现设备及人员安全意外由乙方自行承担后果，由此给甲方造成任何损失的，乙方承担全部</w:t>
      </w:r>
      <w:r>
        <w:rPr>
          <w:rFonts w:hint="eastAsia" w:ascii="宋体" w:hAnsi="宋体" w:eastAsia="宋体" w:cs="宋体"/>
          <w:sz w:val="24"/>
          <w:highlight w:val="none"/>
          <w:lang w:val="en-US" w:eastAsia="zh-CN"/>
        </w:rPr>
        <w:t>责任</w:t>
      </w:r>
      <w:r>
        <w:rPr>
          <w:rFonts w:hint="eastAsia" w:ascii="宋体" w:hAnsi="宋体" w:eastAsia="宋体" w:cs="宋体"/>
          <w:sz w:val="24"/>
          <w:highlight w:val="none"/>
        </w:rPr>
        <w:t>。</w:t>
      </w:r>
    </w:p>
    <w:p w14:paraId="5E107F3F">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未经甲方书面同意，乙方不能擅自将设备维修的全部或部分工作委托给他人（原本属于第三方厂家维修的除外），否则，甲方有权解除合同，合同自书面解除通知送达乙方之日起解除，乙方赔偿甲方解除合同的所有损失。</w:t>
      </w:r>
    </w:p>
    <w:p w14:paraId="1BD2D127">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5.乙方承诺提供的配件均符合法律法规和原厂质量标准。</w:t>
      </w:r>
    </w:p>
    <w:p w14:paraId="0EF99F95">
      <w:pPr>
        <w:rPr>
          <w:rFonts w:ascii="宋体" w:hAnsi="宋体" w:eastAsia="宋体" w:cs="宋体"/>
          <w:highlight w:val="none"/>
        </w:rPr>
      </w:pPr>
      <w:r>
        <w:rPr>
          <w:rFonts w:hint="eastAsia" w:ascii="宋体" w:hAnsi="宋体" w:eastAsia="宋体" w:cs="宋体"/>
          <w:b/>
          <w:sz w:val="24"/>
          <w:highlight w:val="none"/>
        </w:rPr>
        <w:t>七、运输</w:t>
      </w:r>
    </w:p>
    <w:p w14:paraId="333AD954">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1.乙方负责所有服务所需备品备件及耗材等的运输。确保备品备件及耗材等安全、完整到达服务地点，运杂费用包含在总价内，包括货物从供货地点到使用地点的运输费、保险费、搬运费等全部费用。</w:t>
      </w:r>
    </w:p>
    <w:p w14:paraId="0CAFA018">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2.所有备品备件及耗材等在运输、搬运、安装的过程中，造成甲方损失的，由乙方免费于3日内为甲方修复或更新,无法修复或更新的，由乙方承担此期间内甲方全部损失。</w:t>
      </w:r>
    </w:p>
    <w:p w14:paraId="01B86249">
      <w:pPr>
        <w:pStyle w:val="8"/>
        <w:adjustRightInd w:val="0"/>
        <w:snapToGrid w:val="0"/>
        <w:spacing w:line="360" w:lineRule="auto"/>
        <w:rPr>
          <w:rFonts w:hint="default" w:ascii="宋体" w:hAnsi="宋体" w:eastAsia="宋体" w:cs="宋体"/>
          <w:b/>
          <w:bCs/>
          <w:sz w:val="24"/>
          <w:szCs w:val="24"/>
          <w:highlight w:val="none"/>
        </w:rPr>
      </w:pPr>
      <w:r>
        <w:rPr>
          <w:rFonts w:ascii="宋体" w:hAnsi="宋体" w:eastAsia="宋体" w:cs="宋体"/>
          <w:b/>
          <w:bCs/>
          <w:sz w:val="24"/>
          <w:szCs w:val="24"/>
          <w:highlight w:val="none"/>
          <w:lang w:eastAsia="zh-CN"/>
        </w:rPr>
        <w:t>八</w:t>
      </w:r>
      <w:r>
        <w:rPr>
          <w:rFonts w:ascii="宋体" w:hAnsi="宋体" w:eastAsia="宋体" w:cs="宋体"/>
          <w:b/>
          <w:bCs/>
          <w:sz w:val="24"/>
          <w:szCs w:val="24"/>
          <w:highlight w:val="none"/>
        </w:rPr>
        <w:t>、服务要求</w:t>
      </w:r>
    </w:p>
    <w:p w14:paraId="0D4ECD32">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lang w:eastAsia="zh-CN"/>
        </w:rPr>
        <w:t>常驻</w:t>
      </w:r>
      <w:r>
        <w:rPr>
          <w:rFonts w:ascii="宋体" w:hAnsi="宋体" w:eastAsia="宋体" w:cs="宋体"/>
          <w:sz w:val="24"/>
          <w:szCs w:val="24"/>
          <w:highlight w:val="none"/>
        </w:rPr>
        <w:t>工程师两名。</w:t>
      </w:r>
    </w:p>
    <w:p w14:paraId="10E74863">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2、负责院内所保设备的定期巡检，保养，并出具工单。</w:t>
      </w:r>
    </w:p>
    <w:p w14:paraId="4FC29DFF">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3、按照国家要求，负责所保设备的检测工作。包含但不限于：设备的计量检测，常规定期检测，特种设备定期检验，放射设备的定期防护性能检测，手术室房屋洁净度检测等。</w:t>
      </w:r>
    </w:p>
    <w:p w14:paraId="15454243">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4、负责所保设备的故障维修，包含所有维修配件和人工费。配件包括如：</w:t>
      </w:r>
    </w:p>
    <w:p w14:paraId="6C40D26C">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放射类设备如DR球管，中C（移动式C形臂X射线机）球管，小C（移动式C形臂高频X射线机）球管，高压发生器，探测器（三大配件）等所有维修及更换。</w:t>
      </w:r>
    </w:p>
    <w:p w14:paraId="31E5B946">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（2）彩超的维修配件包括更换探头，主板、显示器及系统升级等。</w:t>
      </w:r>
    </w:p>
    <w:p w14:paraId="12A9A0F9">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（3）监护仪、除颤仪、心电图机维修配件和导联线、袖带等（不包含打印纸）。</w:t>
      </w:r>
    </w:p>
    <w:p w14:paraId="04A331B0">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（4）其他院内所保设备的所有维修配件如供应室水机耗材等和人工费。</w:t>
      </w:r>
    </w:p>
    <w:p w14:paraId="75078F30">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（5）提供主要设备维修过程中的备用机。</w:t>
      </w:r>
    </w:p>
    <w:p w14:paraId="1B13277C">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（6）设备管理的数据统计、分析报告。</w:t>
      </w:r>
    </w:p>
    <w:p w14:paraId="155C1740">
      <w:pPr>
        <w:pStyle w:val="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（7）负责所保设备新院区搬迁移机，以及移机后设备正常运转使用。</w:t>
      </w:r>
    </w:p>
    <w:p w14:paraId="77A3EA48">
      <w:pPr>
        <w:pStyle w:val="8"/>
        <w:adjustRightInd w:val="0"/>
        <w:snapToGrid w:val="0"/>
        <w:spacing w:line="360"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（8）负责院内其他未纳入等不在维保清单内的设备维修（含配件和人工等所有费用）、检测等任务。</w:t>
      </w:r>
    </w:p>
    <w:p w14:paraId="596DBAB0">
      <w:pPr>
        <w:pStyle w:val="8"/>
        <w:adjustRightInd w:val="0"/>
        <w:snapToGrid w:val="0"/>
        <w:spacing w:line="360" w:lineRule="auto"/>
        <w:ind w:firstLine="480" w:firstLineChars="200"/>
        <w:rPr>
          <w:rFonts w:hint="default"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lang w:eastAsia="zh-CN"/>
        </w:rPr>
        <w:t>）</w:t>
      </w:r>
      <w:r>
        <w:rPr>
          <w:rFonts w:hint="default" w:ascii="宋体" w:hAnsi="宋体" w:eastAsia="宋体" w:cs="宋体"/>
          <w:sz w:val="24"/>
          <w:szCs w:val="24"/>
          <w:highlight w:val="none"/>
        </w:rPr>
        <w:t>设备维保费用按照维保设备价值增减进行调整。</w:t>
      </w:r>
    </w:p>
    <w:p w14:paraId="59F07499">
      <w:pPr>
        <w:pStyle w:val="8"/>
        <w:adjustRightInd w:val="0"/>
        <w:snapToGrid w:val="0"/>
        <w:spacing w:line="360" w:lineRule="auto"/>
        <w:ind w:firstLine="480" w:firstLineChars="200"/>
        <w:rPr>
          <w:rFonts w:hint="default"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eastAsia="zh-CN"/>
        </w:rPr>
        <w:t>）</w:t>
      </w:r>
      <w:r>
        <w:rPr>
          <w:rFonts w:hint="default" w:ascii="宋体" w:hAnsi="宋体" w:eastAsia="宋体" w:cs="宋体"/>
          <w:sz w:val="24"/>
          <w:szCs w:val="24"/>
          <w:highlight w:val="none"/>
        </w:rPr>
        <w:t>设备维保范围包含部分设备配置的电脑，软件系统等。</w:t>
      </w:r>
    </w:p>
    <w:p w14:paraId="778D25A5">
      <w:pPr>
        <w:adjustRightInd w:val="0"/>
        <w:snapToGrid w:val="0"/>
        <w:spacing w:line="360" w:lineRule="auto"/>
        <w:rPr>
          <w:rFonts w:ascii="宋体" w:hAnsi="宋体" w:eastAsia="宋体" w:cs="宋体"/>
          <w:b/>
          <w:bCs/>
          <w:kern w:val="0"/>
          <w:sz w:val="24"/>
          <w:highlight w:val="none"/>
        </w:rPr>
      </w:pPr>
      <w:r>
        <w:rPr>
          <w:rFonts w:hint="eastAsia" w:ascii="宋体" w:hAnsi="宋体" w:eastAsia="宋体" w:cs="宋体"/>
          <w:b/>
          <w:bCs/>
          <w:kern w:val="0"/>
          <w:sz w:val="24"/>
          <w:highlight w:val="none"/>
          <w:lang w:eastAsia="zh-Hans"/>
        </w:rPr>
        <w:t>九、验收</w:t>
      </w:r>
    </w:p>
    <w:p w14:paraId="021D0F9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(一)每次维修、维保完成后，乙方应先对设备进行自检和测试后方可交与甲方验收。乙方应向甲方提供书面《维修保养记录单》，包括维修保养项目及更换配件等内容。</w:t>
      </w:r>
    </w:p>
    <w:p w14:paraId="5646B66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(二)验收标准:本合同、</w:t>
      </w:r>
      <w:r>
        <w:rPr>
          <w:rFonts w:hint="eastAsia" w:ascii="宋体" w:hAnsi="宋体" w:eastAsia="宋体" w:cs="宋体"/>
          <w:sz w:val="24"/>
          <w:highlight w:val="none"/>
          <w:lang w:val="en-US" w:eastAsia="zh-CN"/>
        </w:rPr>
        <w:t>竞争性磋商</w:t>
      </w:r>
      <w:r>
        <w:rPr>
          <w:rFonts w:hint="eastAsia" w:ascii="宋体" w:hAnsi="宋体" w:eastAsia="宋体" w:cs="宋体"/>
          <w:sz w:val="24"/>
          <w:highlight w:val="none"/>
        </w:rPr>
        <w:t>文件、响应文件/投标文件、澄清表(函)。</w:t>
      </w:r>
    </w:p>
    <w:p w14:paraId="4CE7AC9A">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三)临床满意度标准:甲方按月对供应商进行考核，每次考核除设备科外不少于30个科室和部门，根据各分项进行考核得分，分项得分平均值作为整体考核。考核平均得分满分为100分，按设备科和科室各占50%的比例进行考核。考核分总分100分，≥85分为合格，&lt;85分为不合格，出现不合格的情形，乙方应作出书面改进计划，并得到甲方的认可，否则甲方有权拒绝付款。乙方连续两次考核不合格的，甲方有权解除合同并要求乙方支付合同总金额20%的违约金。</w:t>
      </w:r>
    </w:p>
    <w:p w14:paraId="1186550C">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(四)整机原厂维修服务标准:需提供乙方与设备原厂或原厂授权的维修机构签订整机原维修服务合同。</w:t>
      </w:r>
    </w:p>
    <w:p w14:paraId="6A3AB2B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(五)备品备件正品服务标准:要求乙方提供设备备品备件采购渠道相关资料。(如授权书、报关单、具有原厂授权资质的机构出库单和发票等)。</w:t>
      </w:r>
    </w:p>
    <w:p w14:paraId="27F3D100">
      <w:pPr>
        <w:adjustRightInd w:val="0"/>
        <w:snapToGrid w:val="0"/>
        <w:spacing w:line="360" w:lineRule="auto"/>
        <w:rPr>
          <w:rFonts w:ascii="宋体" w:hAnsi="宋体" w:eastAsia="宋体" w:cs="宋体"/>
          <w:b/>
          <w:bCs/>
          <w:kern w:val="0"/>
          <w:sz w:val="24"/>
          <w:highlight w:val="none"/>
          <w:lang w:eastAsia="zh-Hans"/>
        </w:rPr>
      </w:pPr>
      <w:r>
        <w:rPr>
          <w:rFonts w:hint="eastAsia" w:ascii="宋体" w:hAnsi="宋体" w:eastAsia="宋体" w:cs="宋体"/>
          <w:b/>
          <w:bCs/>
          <w:kern w:val="0"/>
          <w:sz w:val="24"/>
          <w:highlight w:val="none"/>
          <w:lang w:eastAsia="zh-Hans"/>
        </w:rPr>
        <w:t>十、违约责任</w:t>
      </w:r>
    </w:p>
    <w:p w14:paraId="7E5EF65F">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按《中华人民共和国民法典》中的相关条款执行。</w:t>
      </w:r>
    </w:p>
    <w:p w14:paraId="594CC2D5">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未按合同要求提供服务或服务质量不能满足服务要求和标准，采购人有权终止合同，并对供方违约行为进行追究，同时按《中华人民共和国政府采购法》的有关规定进行处罚。</w:t>
      </w:r>
    </w:p>
    <w:p w14:paraId="3DA70D2C">
      <w:pPr>
        <w:adjustRightInd w:val="0"/>
        <w:snapToGrid w:val="0"/>
        <w:spacing w:line="360" w:lineRule="auto"/>
        <w:rPr>
          <w:rFonts w:ascii="宋体" w:hAnsi="宋体" w:eastAsia="宋体" w:cs="宋体"/>
          <w:b/>
          <w:sz w:val="24"/>
          <w:highlight w:val="none"/>
        </w:rPr>
      </w:pPr>
      <w:r>
        <w:rPr>
          <w:rFonts w:hint="eastAsia" w:ascii="宋体" w:hAnsi="宋体" w:eastAsia="宋体" w:cs="宋体"/>
          <w:b/>
          <w:sz w:val="24"/>
          <w:highlight w:val="none"/>
        </w:rPr>
        <w:t>十</w:t>
      </w:r>
      <w:r>
        <w:rPr>
          <w:rFonts w:hint="eastAsia" w:ascii="宋体" w:hAnsi="宋体" w:eastAsia="宋体" w:cs="宋体"/>
          <w:b/>
          <w:sz w:val="24"/>
          <w:highlight w:val="none"/>
          <w:lang w:val="en-US" w:eastAsia="zh-CN"/>
        </w:rPr>
        <w:t>一</w:t>
      </w:r>
      <w:r>
        <w:rPr>
          <w:rFonts w:hint="eastAsia" w:ascii="宋体" w:hAnsi="宋体" w:eastAsia="宋体" w:cs="宋体"/>
          <w:b/>
          <w:sz w:val="24"/>
          <w:highlight w:val="none"/>
        </w:rPr>
        <w:t>、免责条款</w:t>
      </w:r>
    </w:p>
    <w:p w14:paraId="59631A0A">
      <w:pPr>
        <w:adjustRightInd w:val="0"/>
        <w:snapToGrid w:val="0"/>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1、乙方的合同内服务范围不包括</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因外来异常因素所造成的设备损坏，如地震、火灾、水灾或其它自然灾害。此类维修为有偿服务，可双方协商解决</w:t>
      </w:r>
    </w:p>
    <w:p w14:paraId="0A702F8F">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color w:val="auto"/>
          <w:sz w:val="24"/>
          <w:highlight w:val="none"/>
        </w:rPr>
        <w:t>2、因计算机病毒致设备不能操作，或机器内发现非乙方安装的非办公）软件（如游戏软件）等造成的损害，不在此合同保修范围之内。</w:t>
      </w:r>
      <w:r>
        <w:rPr>
          <w:rFonts w:hint="eastAsia" w:ascii="宋体" w:hAnsi="宋体" w:eastAsia="宋体" w:cs="宋体"/>
          <w:sz w:val="24"/>
          <w:highlight w:val="none"/>
        </w:rPr>
        <w:t> </w:t>
      </w:r>
    </w:p>
    <w:p w14:paraId="5D230EAE">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乙方法人及负责人联系电话：    法人：</w:t>
      </w:r>
    </w:p>
    <w:p w14:paraId="3C136B4C">
      <w:pPr>
        <w:pStyle w:val="7"/>
        <w:adjustRightInd w:val="0"/>
        <w:snapToGrid w:val="0"/>
        <w:spacing w:line="360" w:lineRule="auto"/>
        <w:ind w:firstLine="480"/>
        <w:rPr>
          <w:rFonts w:ascii="宋体" w:hAnsi="宋体" w:eastAsia="宋体"/>
          <w:highlight w:val="none"/>
        </w:rPr>
      </w:pPr>
      <w:r>
        <w:rPr>
          <w:rFonts w:hint="eastAsia" w:ascii="宋体" w:hAnsi="宋体" w:eastAsia="宋体"/>
          <w:highlight w:val="none"/>
        </w:rPr>
        <w:t xml:space="preserve">                              负责人：</w:t>
      </w:r>
    </w:p>
    <w:p w14:paraId="7E7E7CD9">
      <w:pPr>
        <w:adjustRightInd w:val="0"/>
        <w:snapToGrid w:val="0"/>
        <w:spacing w:line="360" w:lineRule="auto"/>
        <w:rPr>
          <w:rFonts w:ascii="宋体" w:hAnsi="宋体" w:eastAsia="宋体" w:cs="宋体"/>
          <w:b/>
          <w:sz w:val="24"/>
          <w:highlight w:val="none"/>
        </w:rPr>
      </w:pPr>
      <w:r>
        <w:rPr>
          <w:rFonts w:hint="eastAsia" w:ascii="宋体" w:hAnsi="宋体" w:eastAsia="宋体" w:cs="宋体"/>
          <w:b/>
          <w:sz w:val="24"/>
          <w:highlight w:val="none"/>
          <w:lang w:val="en-US" w:eastAsia="zh-CN"/>
        </w:rPr>
        <w:t>十二</w:t>
      </w:r>
      <w:r>
        <w:rPr>
          <w:rFonts w:hint="eastAsia" w:ascii="宋体" w:hAnsi="宋体" w:eastAsia="宋体" w:cs="宋体"/>
          <w:b/>
          <w:sz w:val="24"/>
          <w:highlight w:val="none"/>
        </w:rPr>
        <w:t>、争议解决办法</w:t>
      </w:r>
    </w:p>
    <w:p w14:paraId="5F3B6F5C">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合同履行期间,若双方发生争议，可协商或由有关部门调解解决，协商或调解不成的，提交甲方所在地人民法院诉讼解决。</w:t>
      </w:r>
    </w:p>
    <w:p w14:paraId="5C853C8E">
      <w:pPr>
        <w:adjustRightInd w:val="0"/>
        <w:snapToGrid w:val="0"/>
        <w:spacing w:line="360" w:lineRule="auto"/>
        <w:rPr>
          <w:rFonts w:ascii="宋体" w:hAnsi="宋体" w:eastAsia="宋体" w:cs="宋体"/>
          <w:b/>
          <w:sz w:val="24"/>
          <w:highlight w:val="none"/>
        </w:rPr>
      </w:pPr>
      <w:r>
        <w:rPr>
          <w:rFonts w:hint="eastAsia" w:ascii="宋体" w:hAnsi="宋体" w:eastAsia="宋体" w:cs="宋体"/>
          <w:b/>
          <w:sz w:val="24"/>
          <w:highlight w:val="none"/>
        </w:rPr>
        <w:t>十</w:t>
      </w:r>
      <w:r>
        <w:rPr>
          <w:rFonts w:hint="eastAsia" w:ascii="宋体" w:hAnsi="宋体" w:eastAsia="宋体" w:cs="宋体"/>
          <w:b/>
          <w:sz w:val="24"/>
          <w:highlight w:val="none"/>
          <w:lang w:val="en-US" w:eastAsia="zh-CN"/>
        </w:rPr>
        <w:t>三</w:t>
      </w:r>
      <w:r>
        <w:rPr>
          <w:rFonts w:hint="eastAsia" w:ascii="宋体" w:hAnsi="宋体" w:eastAsia="宋体" w:cs="宋体"/>
          <w:b/>
          <w:sz w:val="24"/>
          <w:highlight w:val="none"/>
        </w:rPr>
        <w:t>、其他</w:t>
      </w:r>
    </w:p>
    <w:p w14:paraId="6FAEF157">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如有未尽事宜，由双方依法订立补充合同，补充合同与本合同具有同等法律效力。</w:t>
      </w:r>
    </w:p>
    <w:p w14:paraId="7B78428A">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本合同一式五份，甲方四份，乙方一份，效力相同，自双方签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盖章之日起生效。</w:t>
      </w:r>
    </w:p>
    <w:p w14:paraId="22E144A5">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eastAsia="zh-CN"/>
        </w:rPr>
        <w:t>.</w:t>
      </w:r>
      <w:r>
        <w:rPr>
          <w:rFonts w:hint="eastAsia" w:ascii="宋体" w:hAnsi="宋体" w:eastAsia="宋体" w:cs="宋体"/>
          <w:sz w:val="24"/>
          <w:highlight w:val="none"/>
        </w:rPr>
        <w:t>本合同项下地址为有效的通讯地址，一方变更应当书面通知相对方，未通知视为未变更，一方所发的文件通知等寄出或在《华商报》、《西安晚报》上公示即视为送达。</w:t>
      </w:r>
    </w:p>
    <w:p w14:paraId="08F660F5">
      <w:pPr>
        <w:adjustRightInd w:val="0"/>
        <w:snapToGrid w:val="0"/>
        <w:spacing w:line="360" w:lineRule="auto"/>
        <w:ind w:firstLine="480" w:firstLineChars="200"/>
        <w:rPr>
          <w:rFonts w:ascii="宋体" w:hAnsi="宋体" w:eastAsia="宋体" w:cs="宋体"/>
          <w:sz w:val="24"/>
          <w:highlight w:val="none"/>
        </w:rPr>
      </w:pPr>
    </w:p>
    <w:p w14:paraId="7E266DB9">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bCs/>
          <w:sz w:val="24"/>
          <w:highlight w:val="none"/>
        </w:rPr>
        <w:t xml:space="preserve">甲方：                        </w:t>
      </w:r>
      <w:r>
        <w:rPr>
          <w:rFonts w:hint="eastAsia" w:ascii="宋体" w:hAnsi="宋体" w:eastAsia="宋体" w:cs="宋体"/>
          <w:sz w:val="24"/>
          <w:highlight w:val="none"/>
        </w:rPr>
        <w:t xml:space="preserve">              </w:t>
      </w:r>
      <w:r>
        <w:rPr>
          <w:rFonts w:hint="eastAsia" w:ascii="宋体" w:hAnsi="宋体" w:eastAsia="宋体" w:cs="宋体"/>
          <w:b/>
          <w:sz w:val="24"/>
          <w:highlight w:val="none"/>
        </w:rPr>
        <w:t xml:space="preserve">乙方： </w:t>
      </w:r>
    </w:p>
    <w:p w14:paraId="3A022F10">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法定代表人（授权代表）：                     法定代表人（授权代表）：</w:t>
      </w:r>
    </w:p>
    <w:p w14:paraId="13F0AB9D">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 xml:space="preserve">地址：                                      地址： </w:t>
      </w:r>
    </w:p>
    <w:p w14:paraId="778B9D84">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开户银行：                                  开户银行：</w:t>
      </w:r>
    </w:p>
    <w:p w14:paraId="13DF1E70">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账号：                                      账号：</w:t>
      </w:r>
    </w:p>
    <w:p w14:paraId="24734C3B">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电话：                                      电话：</w:t>
      </w:r>
    </w:p>
    <w:p w14:paraId="2F7333F7">
      <w:pPr>
        <w:adjustRightInd w:val="0"/>
        <w:snapToGrid w:val="0"/>
        <w:spacing w:line="360" w:lineRule="auto"/>
        <w:ind w:firstLine="482" w:firstLineChars="200"/>
        <w:rPr>
          <w:rFonts w:ascii="宋体" w:hAnsi="宋体" w:eastAsia="宋体" w:cs="宋体"/>
          <w:b/>
          <w:sz w:val="24"/>
          <w:highlight w:val="none"/>
        </w:rPr>
      </w:pPr>
      <w:r>
        <w:rPr>
          <w:rFonts w:hint="eastAsia" w:ascii="宋体" w:hAnsi="宋体" w:eastAsia="宋体" w:cs="宋体"/>
          <w:b/>
          <w:sz w:val="24"/>
          <w:highlight w:val="none"/>
        </w:rPr>
        <w:t>传真：                                      传真：</w:t>
      </w:r>
    </w:p>
    <w:p w14:paraId="20C62EE8">
      <w:pPr>
        <w:tabs>
          <w:tab w:val="left" w:pos="480"/>
        </w:tabs>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签约日期：  年  月  日                      签约日期：  年 月  日</w:t>
      </w:r>
    </w:p>
    <w:p w14:paraId="76532BAA">
      <w:pPr>
        <w:adjustRightInd w:val="0"/>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注：本合同模板仅为合同的参考文本，合同签订双方可根据项目的具体要求进行修改。</w:t>
      </w:r>
    </w:p>
    <w:p w14:paraId="1F766D65">
      <w:pPr>
        <w:snapToGrid w:val="0"/>
        <w:spacing w:line="360" w:lineRule="auto"/>
        <w:ind w:firstLine="440" w:firstLineChars="200"/>
        <w:rPr>
          <w:rFonts w:ascii="宋体" w:hAnsi="宋体" w:eastAsia="宋体" w:cs="宋体"/>
          <w:sz w:val="22"/>
          <w:szCs w:val="22"/>
          <w:highlight w:val="none"/>
        </w:rPr>
      </w:pPr>
    </w:p>
    <w:p w14:paraId="7379D4CE">
      <w:pPr>
        <w:snapToGrid w:val="0"/>
        <w:spacing w:line="360" w:lineRule="auto"/>
        <w:ind w:firstLine="440" w:firstLineChars="200"/>
        <w:rPr>
          <w:rFonts w:ascii="宋体" w:hAnsi="宋体" w:eastAsia="宋体" w:cs="宋体"/>
          <w:sz w:val="22"/>
          <w:szCs w:val="22"/>
          <w:highlight w:val="none"/>
        </w:rPr>
      </w:pPr>
    </w:p>
    <w:p w14:paraId="43F27481">
      <w:pPr>
        <w:snapToGrid w:val="0"/>
        <w:spacing w:line="360" w:lineRule="auto"/>
        <w:ind w:firstLine="440" w:firstLineChars="200"/>
        <w:rPr>
          <w:rFonts w:ascii="宋体" w:hAnsi="宋体" w:eastAsia="宋体" w:cs="宋体"/>
          <w:sz w:val="22"/>
          <w:szCs w:val="22"/>
          <w:highlight w:val="none"/>
        </w:rPr>
      </w:pPr>
    </w:p>
    <w:p w14:paraId="2A8AE967">
      <w:pPr>
        <w:snapToGrid w:val="0"/>
        <w:spacing w:line="360" w:lineRule="auto"/>
        <w:ind w:firstLine="440" w:firstLineChars="200"/>
        <w:rPr>
          <w:rFonts w:ascii="宋体" w:hAnsi="宋体" w:eastAsia="宋体" w:cs="宋体"/>
          <w:sz w:val="22"/>
          <w:szCs w:val="22"/>
          <w:highlight w:val="none"/>
        </w:rPr>
      </w:pPr>
    </w:p>
    <w:p w14:paraId="1F7B25D7">
      <w:pPr>
        <w:snapToGrid w:val="0"/>
        <w:spacing w:line="360" w:lineRule="auto"/>
        <w:ind w:firstLine="440" w:firstLineChars="200"/>
        <w:rPr>
          <w:rFonts w:ascii="宋体" w:hAnsi="宋体" w:eastAsia="宋体" w:cs="宋体"/>
          <w:sz w:val="22"/>
          <w:szCs w:val="22"/>
          <w:highlight w:val="none"/>
        </w:rPr>
      </w:pPr>
    </w:p>
    <w:p w14:paraId="3C228EB7">
      <w:pPr>
        <w:snapToGrid w:val="0"/>
        <w:spacing w:line="360" w:lineRule="auto"/>
        <w:ind w:firstLine="440" w:firstLineChars="200"/>
        <w:rPr>
          <w:rFonts w:ascii="宋体" w:hAnsi="宋体" w:eastAsia="宋体" w:cs="宋体"/>
          <w:sz w:val="22"/>
          <w:szCs w:val="22"/>
          <w:highlight w:val="none"/>
        </w:rPr>
      </w:pPr>
      <w:r>
        <w:rPr>
          <w:rFonts w:hint="eastAsia" w:ascii="宋体" w:hAnsi="宋体" w:eastAsia="宋体" w:cs="宋体"/>
          <w:sz w:val="22"/>
          <w:szCs w:val="22"/>
          <w:highlight w:val="none"/>
        </w:rPr>
        <w:t>附件一：公司营业执照、委托书、受托人身份证复印件</w:t>
      </w:r>
    </w:p>
    <w:p w14:paraId="2C9E8B1B">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300A72"/>
    <w:rsid w:val="01300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微软雅黑" w:hAnsi="微软雅黑" w:eastAsia="微软雅黑" w:cs="微软雅黑"/>
      <w:sz w:val="19"/>
      <w:szCs w:val="19"/>
      <w:lang w:eastAsia="en-US"/>
    </w:rPr>
  </w:style>
  <w:style w:type="paragraph" w:customStyle="1" w:styleId="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6">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7">
    <w:name w:val="样式 首行缩进:  2 字符"/>
    <w:basedOn w:val="1"/>
    <w:qFormat/>
    <w:uiPriority w:val="0"/>
    <w:pPr>
      <w:spacing w:line="400" w:lineRule="exact"/>
      <w:ind w:firstLine="200" w:firstLineChars="200"/>
    </w:pPr>
    <w:rPr>
      <w:rFonts w:cs="宋体"/>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2026-08-26T04:22:00Z</dcterms:created>
  <dc:creator>晓 </dc:creator>
  <cp:lastModifiedBy>晓 </cp:lastModifiedBy>
  <dcterms:modified xsi:type="dcterms:W3CDTF">2026-08-26T04:23:36Z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7E37509EB70E416AAFBAFE5791F1B7CB_11</vt:lpwstr>
  </property>
  <property fmtid="{D5CDD505-2E9C-101B-9397-08002B2CF9AE}" pid="4" name="KSOTemplateDocerSaveRecord">
    <vt:lpwstr>eyJoZGlkIjoiNTkwZTE4ZTM0YWY0NDVjNGI5ZTE3OWU1YWQ1MDgwNzAiLCJ1c2VySWQiOiI2NzQ5OTQ4MDEifQ==</vt:lpwstr>
  </property>
</Properties>
</file>