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版本号：SZ1262-GP-PC-085H（1）20260618001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医疗设备更新项目（第一批次十二指肠镜）</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SZ1262-GP-PC-085H（1）</w:t>
      </w:r>
      <w:r>
        <w:br/>
      </w:r>
      <w:r>
        <w:br/>
      </w:r>
      <w:r>
        <w:br/>
      </w:r>
      <w:r>
        <w:br/>
      </w:r>
      <w:r>
        <w:br/>
      </w:r>
    </w:p>
    <w:p>
      <w:pPr>
        <w:pStyle w:val="null3"/>
        <w:jc w:val="center"/>
        <w:outlineLvl w:val="5"/>
      </w:pPr>
      <w:r>
        <w:rPr>
          <w:rFonts w:ascii="仿宋_GB2312" w:hAnsi="仿宋_GB2312" w:cs="仿宋_GB2312" w:eastAsia="仿宋_GB2312"/>
          <w:sz w:val="15"/>
          <w:b/>
        </w:rPr>
        <w:t>铜川市人民医院</w:t>
      </w:r>
    </w:p>
    <w:p>
      <w:pPr>
        <w:pStyle w:val="null3"/>
        <w:jc w:val="center"/>
        <w:outlineLvl w:val="5"/>
      </w:pPr>
      <w:r>
        <w:rPr>
          <w:rFonts w:ascii="仿宋_GB2312" w:hAnsi="仿宋_GB2312" w:cs="仿宋_GB2312" w:eastAsia="仿宋_GB2312"/>
          <w:sz w:val="15"/>
          <w:b/>
        </w:rPr>
        <w:t>陕西省招标有限责任公司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陕西省招标有限责任公司</w:t>
      </w:r>
      <w:r>
        <w:rPr>
          <w:rFonts w:ascii="仿宋_GB2312" w:hAnsi="仿宋_GB2312" w:cs="仿宋_GB2312" w:eastAsia="仿宋_GB2312"/>
        </w:rPr>
        <w:t>（以下简称“代理机构”）受</w:t>
      </w:r>
      <w:r>
        <w:rPr>
          <w:rFonts w:ascii="仿宋_GB2312" w:hAnsi="仿宋_GB2312" w:cs="仿宋_GB2312" w:eastAsia="仿宋_GB2312"/>
        </w:rPr>
        <w:t>铜川市人民医院</w:t>
      </w:r>
      <w:r>
        <w:rPr>
          <w:rFonts w:ascii="仿宋_GB2312" w:hAnsi="仿宋_GB2312" w:cs="仿宋_GB2312" w:eastAsia="仿宋_GB2312"/>
        </w:rPr>
        <w:t>委托，拟对</w:t>
      </w:r>
      <w:r>
        <w:rPr>
          <w:rFonts w:ascii="仿宋_GB2312" w:hAnsi="仿宋_GB2312" w:cs="仿宋_GB2312" w:eastAsia="仿宋_GB2312"/>
        </w:rPr>
        <w:t>医疗设备更新项目（第一批次十二指肠镜）</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SZ1262-GP-PC-085H（1）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医疗设备更新项目（第一批次十二指肠镜）</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十二指肠镜单一来源采购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1、有效的资格主体证明：供应商必须是具有独立承担民事责任能力的法人、其他组织或自然人，并出具合法有效的营业执照或事业单位法人证书等国家规定的相关证明，自然人参与的提供其身份证明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授权委托人资格要求：供应商为法人单位的）法定代表人亲自参加投标时，须提供本人身份证复印件或扫描件；法定代表人授权他人参加投标时，须提供法定代表人委托授权书，同时提供被授权代表开标前六月内任意一个月在供应商单位的社保缴纳证明材料。（供应商为非法人单位的）单一来源采购文件中凡是需要法定代表人签字或盖章之处，非法人单位的负责人均参照执行</w:t>
      </w:r>
    </w:p>
    <w:p>
      <w:pPr>
        <w:pStyle w:val="null3"/>
      </w:pPr>
      <w:r>
        <w:rPr>
          <w:rFonts w:ascii="仿宋_GB2312" w:hAnsi="仿宋_GB2312" w:cs="仿宋_GB2312" w:eastAsia="仿宋_GB2312"/>
        </w:rPr>
        <w:t>3、供应商信用要求：供应商未被《信用中国》网站（www.creditchina.gov.cn）列入“重大税收违法失信主体”名单和“政府采购严重违法失信行为记录名单”和“失信被执行人”（页面跳转至《中国执行信息公开网》），及不处于《中国政府采购网》（www.ccgp.gov.cn）记录的“政府采购严重违法失信行为记录名单”中的禁止参加政府采购活动期间，提供书面声明</w:t>
      </w:r>
    </w:p>
    <w:p>
      <w:pPr>
        <w:pStyle w:val="null3"/>
      </w:pPr>
      <w:r>
        <w:rPr>
          <w:rFonts w:ascii="仿宋_GB2312" w:hAnsi="仿宋_GB2312" w:cs="仿宋_GB2312" w:eastAsia="仿宋_GB2312"/>
        </w:rPr>
        <w:t>4、财务状况：提供经审计的2024年度或2025年度的财务报告（根据《陕西省财政厅关于启用会计师事务所审计报告“二维码”赋码查验功能的通知（陕财办会函〔2022〕55号）》，经审计的财务会计报告需赋加“注册会计师行业统一监管平台”二维码），成立时间至提交响应文件截止时间不足一年的可提供成立后任意时段的资产负债表，或提交响应文件截止时间前六个月内其基本账户开户银行出具的资信证明（针对其他组织和自然人可提供银行出具的资信证明或财务报表）</w:t>
      </w:r>
    </w:p>
    <w:p>
      <w:pPr>
        <w:pStyle w:val="null3"/>
      </w:pPr>
      <w:r>
        <w:rPr>
          <w:rFonts w:ascii="仿宋_GB2312" w:hAnsi="仿宋_GB2312" w:cs="仿宋_GB2312" w:eastAsia="仿宋_GB2312"/>
        </w:rPr>
        <w:t>5、社保缴纳证明：提供2025年6月至今任意一个月已缴存的社会保障资金缴存单据（缴费种类至少包括养老保险）或社保机构开具的社会保险参保缴费情况证明或提供其它相关证明资料，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税收缴纳证明：提供2025年6月至今任意一个月的纳税证明或税务机关开具的完税证明（税种为增值税或企业所得税），纳税证明或完税证明上应有代收机构或税务机关的公章或业务专用章。依法免税或无须缴纳税收的供应商应提供相关文件证明</w:t>
      </w:r>
    </w:p>
    <w:p>
      <w:pPr>
        <w:pStyle w:val="null3"/>
      </w:pPr>
      <w:r>
        <w:rPr>
          <w:rFonts w:ascii="仿宋_GB2312" w:hAnsi="仿宋_GB2312" w:cs="仿宋_GB2312" w:eastAsia="仿宋_GB2312"/>
        </w:rPr>
        <w:t>7、医疗器械生产或经营资质：拟投产品中如有属于医疗器械的，供应商须具备以下资质要求：供应商为代理商的提供“医疗器械经营许可证”或“医疗器械经营备案凭证”和生产厂家的“医疗器械生产许可证”（进口产品不需要提供医疗器械生产许可证）；供应商为生产厂家的提供“医疗器械生产许可证”（进口产品不需要提供医疗器械生产许可证）；同时提供拟投产品的医疗器械注册证</w:t>
      </w:r>
    </w:p>
    <w:p>
      <w:pPr>
        <w:pStyle w:val="null3"/>
      </w:pPr>
      <w:r>
        <w:rPr>
          <w:rFonts w:ascii="仿宋_GB2312" w:hAnsi="仿宋_GB2312" w:cs="仿宋_GB2312" w:eastAsia="仿宋_GB2312"/>
        </w:rPr>
        <w:t>8、供应商合法授权：进口产品需提供完整授权链条的产品授权书，且授权范围需包含本次采购项目内容</w:t>
      </w:r>
    </w:p>
    <w:p>
      <w:pPr>
        <w:pStyle w:val="null3"/>
      </w:pPr>
      <w:r>
        <w:rPr>
          <w:rFonts w:ascii="仿宋_GB2312" w:hAnsi="仿宋_GB2312" w:cs="仿宋_GB2312" w:eastAsia="仿宋_GB2312"/>
        </w:rPr>
        <w:t>9、书面声明：提供书面声明，包括声明具有履行合同所必需的设备和专业技术能力；参加政府采购活动前三年内在经营活动中没有重大违法记录</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陕西省铜川市新区鸿基路10号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0919-3582611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陕西省西安市碑林区和平路108号佳腾大厦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孙东、李楚瑶、关新宇、胡蕊、朱颖华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029-87521312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采购包1：465,000.00元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布的《招标代理服务收费管理暂行办法》(计价格[2002]1980号)文件规定的标准下浮15%计取，招标代理服务收费按差额定率累进法计算。单个合同包（标包）低于8000元的按8000元收取。确定中标人后3个工作日内，由中标人向采购代理机构一次性支付。2.代理服务费以对公账户支付，开户名称：陕西省招标有限责任公司；开户银行：招商银行西安朝阳门支行；账号：1299 0424 2010 801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铜川市人民医院</w:t>
      </w:r>
      <w:r>
        <w:rPr>
          <w:rFonts w:ascii="仿宋_GB2312" w:hAnsi="仿宋_GB2312" w:cs="仿宋_GB2312" w:eastAsia="仿宋_GB2312"/>
        </w:rPr>
        <w:t>和</w:t>
      </w:r>
      <w:r>
        <w:rPr>
          <w:rFonts w:ascii="仿宋_GB2312" w:hAnsi="仿宋_GB2312" w:cs="仿宋_GB2312" w:eastAsia="仿宋_GB2312"/>
        </w:rPr>
        <w:t>陕西省招标有限责任公司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陕西省招标有限责任公司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铜川市人民医院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陕西省招标有限责任公司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答复主体：{{未填写}}</w:t>
      </w:r>
    </w:p>
    <w:p>
      <w:pPr>
        <w:pStyle w:val="null3"/>
      </w:pPr>
      <w:r>
        <w:rPr>
          <w:rFonts w:ascii="仿宋_GB2312" w:hAnsi="仿宋_GB2312" w:cs="仿宋_GB2312" w:eastAsia="仿宋_GB2312"/>
        </w:rPr>
        <w:t>联系人：{{未填写}}</w:t>
      </w:r>
    </w:p>
    <w:p>
      <w:pPr>
        <w:pStyle w:val="null3"/>
      </w:pPr>
      <w:r>
        <w:rPr>
          <w:rFonts w:ascii="仿宋_GB2312" w:hAnsi="仿宋_GB2312" w:cs="仿宋_GB2312" w:eastAsia="仿宋_GB2312"/>
        </w:rPr>
        <w:t>联系电话：{{未填写}}</w:t>
      </w:r>
    </w:p>
    <w:p>
      <w:pPr>
        <w:pStyle w:val="null3"/>
      </w:pPr>
      <w:r>
        <w:rPr>
          <w:rFonts w:ascii="仿宋_GB2312" w:hAnsi="仿宋_GB2312" w:cs="仿宋_GB2312" w:eastAsia="仿宋_GB2312"/>
        </w:rPr>
        <w:t>地址：{{未填写}}</w:t>
      </w:r>
    </w:p>
    <w:p>
      <w:pPr>
        <w:pStyle w:val="null3"/>
      </w:pPr>
      <w:r>
        <w:rPr>
          <w:rFonts w:ascii="仿宋_GB2312" w:hAnsi="仿宋_GB2312" w:cs="仿宋_GB2312" w:eastAsia="仿宋_GB2312"/>
        </w:rPr>
        <w:t>邮编：{{未填写}}</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十二指肠镜单一来源采购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465,000.00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十二指肠镜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条</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标的名称：十二指肠镜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1.必须与在用宾得EPK-i7000主机使用</w:t>
            </w:r>
          </w:p>
          <w:p>
            <w:pPr>
              <w:pStyle w:val="null3"/>
            </w:pPr>
            <w:r>
              <w:rPr>
                <w:rFonts w:ascii="仿宋_GB2312" w:hAnsi="仿宋_GB2312" w:cs="仿宋_GB2312" w:eastAsia="仿宋_GB2312"/>
              </w:rPr>
              <w:t>2.</w:t>
            </w:r>
            <w:r>
              <w:rPr>
                <w:rFonts w:ascii="仿宋_GB2312" w:hAnsi="仿宋_GB2312" w:cs="仿宋_GB2312" w:eastAsia="仿宋_GB2312"/>
              </w:rPr>
              <w:t>视野角度</w:t>
            </w:r>
            <w:r>
              <w:rPr>
                <w:rFonts w:ascii="仿宋_GB2312" w:hAnsi="仿宋_GB2312" w:cs="仿宋_GB2312" w:eastAsia="仿宋_GB2312"/>
              </w:rPr>
              <w:t>≥100°（后斜视≥10°）</w:t>
            </w:r>
          </w:p>
          <w:p>
            <w:pPr>
              <w:pStyle w:val="null3"/>
            </w:pPr>
            <w:r>
              <w:rPr>
                <w:rFonts w:ascii="仿宋_GB2312" w:hAnsi="仿宋_GB2312" w:cs="仿宋_GB2312" w:eastAsia="仿宋_GB2312"/>
              </w:rPr>
              <w:t>3.</w:t>
            </w:r>
            <w:r>
              <w:rPr>
                <w:rFonts w:ascii="仿宋_GB2312" w:hAnsi="仿宋_GB2312" w:cs="仿宋_GB2312" w:eastAsia="仿宋_GB2312"/>
              </w:rPr>
              <w:t>景深</w:t>
            </w:r>
            <w:r>
              <w:rPr>
                <w:rFonts w:ascii="仿宋_GB2312" w:hAnsi="仿宋_GB2312" w:cs="仿宋_GB2312" w:eastAsia="仿宋_GB2312"/>
              </w:rPr>
              <w:t>4-60mm</w:t>
            </w:r>
          </w:p>
          <w:p>
            <w:pPr>
              <w:pStyle w:val="null3"/>
            </w:pPr>
            <w:r>
              <w:rPr>
                <w:rFonts w:ascii="仿宋_GB2312" w:hAnsi="仿宋_GB2312" w:cs="仿宋_GB2312" w:eastAsia="仿宋_GB2312"/>
              </w:rPr>
              <w:t>4.</w:t>
            </w:r>
            <w:r>
              <w:rPr>
                <w:rFonts w:ascii="仿宋_GB2312" w:hAnsi="仿宋_GB2312" w:cs="仿宋_GB2312" w:eastAsia="仿宋_GB2312"/>
              </w:rPr>
              <w:t>弯曲角度上</w:t>
            </w:r>
            <w:r>
              <w:rPr>
                <w:rFonts w:ascii="仿宋_GB2312" w:hAnsi="仿宋_GB2312" w:cs="仿宋_GB2312" w:eastAsia="仿宋_GB2312"/>
              </w:rPr>
              <w:t>≥120°、下≥90°、左≥90°、右≥105°</w:t>
            </w:r>
          </w:p>
          <w:p>
            <w:pPr>
              <w:pStyle w:val="null3"/>
            </w:pPr>
            <w:r>
              <w:rPr>
                <w:rFonts w:ascii="仿宋_GB2312" w:hAnsi="仿宋_GB2312" w:cs="仿宋_GB2312" w:eastAsia="仿宋_GB2312"/>
              </w:rPr>
              <w:t>5.</w:t>
            </w:r>
            <w:r>
              <w:rPr>
                <w:rFonts w:ascii="仿宋_GB2312" w:hAnsi="仿宋_GB2312" w:cs="仿宋_GB2312" w:eastAsia="仿宋_GB2312"/>
              </w:rPr>
              <w:t>插入部外径</w:t>
            </w:r>
            <w:r>
              <w:rPr>
                <w:rFonts w:ascii="仿宋_GB2312" w:hAnsi="仿宋_GB2312" w:cs="仿宋_GB2312" w:eastAsia="仿宋_GB2312"/>
              </w:rPr>
              <w:t>≤11.6mm</w:t>
            </w:r>
          </w:p>
          <w:p>
            <w:pPr>
              <w:pStyle w:val="null3"/>
            </w:pPr>
            <w:r>
              <w:rPr>
                <w:rFonts w:ascii="仿宋_GB2312" w:hAnsi="仿宋_GB2312" w:cs="仿宋_GB2312" w:eastAsia="仿宋_GB2312"/>
              </w:rPr>
              <w:t>6.</w:t>
            </w:r>
            <w:r>
              <w:rPr>
                <w:rFonts w:ascii="仿宋_GB2312" w:hAnsi="仿宋_GB2312" w:cs="仿宋_GB2312" w:eastAsia="仿宋_GB2312"/>
              </w:rPr>
              <w:t>先端部外径</w:t>
            </w:r>
            <w:r>
              <w:rPr>
                <w:rFonts w:ascii="仿宋_GB2312" w:hAnsi="仿宋_GB2312" w:cs="仿宋_GB2312" w:eastAsia="仿宋_GB2312"/>
              </w:rPr>
              <w:t>≤13.6mm</w:t>
            </w:r>
          </w:p>
          <w:p>
            <w:pPr>
              <w:pStyle w:val="null3"/>
            </w:pPr>
            <w:r>
              <w:rPr>
                <w:rFonts w:ascii="仿宋_GB2312" w:hAnsi="仿宋_GB2312" w:cs="仿宋_GB2312" w:eastAsia="仿宋_GB2312"/>
              </w:rPr>
              <w:t>7.</w:t>
            </w:r>
            <w:r>
              <w:rPr>
                <w:rFonts w:ascii="仿宋_GB2312" w:hAnsi="仿宋_GB2312" w:cs="仿宋_GB2312" w:eastAsia="仿宋_GB2312"/>
              </w:rPr>
              <w:t>内镜管道</w:t>
            </w:r>
            <w:r>
              <w:rPr>
                <w:rFonts w:ascii="仿宋_GB2312" w:hAnsi="仿宋_GB2312" w:cs="仿宋_GB2312" w:eastAsia="仿宋_GB2312"/>
              </w:rPr>
              <w:t>≥4.2mm</w:t>
            </w:r>
          </w:p>
          <w:p>
            <w:pPr>
              <w:pStyle w:val="null3"/>
            </w:pPr>
            <w:r>
              <w:rPr>
                <w:rFonts w:ascii="仿宋_GB2312" w:hAnsi="仿宋_GB2312" w:cs="仿宋_GB2312" w:eastAsia="仿宋_GB2312"/>
              </w:rPr>
              <w:t>8.</w:t>
            </w:r>
            <w:r>
              <w:rPr>
                <w:rFonts w:ascii="仿宋_GB2312" w:hAnsi="仿宋_GB2312" w:cs="仿宋_GB2312" w:eastAsia="仿宋_GB2312"/>
              </w:rPr>
              <w:t>有效长度</w:t>
            </w:r>
            <w:r>
              <w:rPr>
                <w:rFonts w:ascii="仿宋_GB2312" w:hAnsi="仿宋_GB2312" w:cs="仿宋_GB2312" w:eastAsia="仿宋_GB2312"/>
              </w:rPr>
              <w:t>≥1250mm</w:t>
            </w:r>
          </w:p>
          <w:p>
            <w:pPr>
              <w:pStyle w:val="null3"/>
            </w:pPr>
            <w:r>
              <w:rPr>
                <w:rFonts w:ascii="仿宋_GB2312" w:hAnsi="仿宋_GB2312" w:cs="仿宋_GB2312" w:eastAsia="仿宋_GB2312"/>
              </w:rPr>
              <w:t>9.</w:t>
            </w:r>
            <w:r>
              <w:rPr>
                <w:rFonts w:ascii="仿宋_GB2312" w:hAnsi="仿宋_GB2312" w:cs="仿宋_GB2312" w:eastAsia="仿宋_GB2312"/>
              </w:rPr>
              <w:t>全长</w:t>
            </w:r>
            <w:r>
              <w:rPr>
                <w:rFonts w:ascii="仿宋_GB2312" w:hAnsi="仿宋_GB2312" w:cs="仿宋_GB2312" w:eastAsia="仿宋_GB2312"/>
              </w:rPr>
              <w:t>≥1566mm</w:t>
            </w:r>
          </w:p>
          <w:p>
            <w:pPr>
              <w:pStyle w:val="null3"/>
            </w:pPr>
            <w:r>
              <w:rPr>
                <w:rFonts w:ascii="仿宋_GB2312" w:hAnsi="仿宋_GB2312" w:cs="仿宋_GB2312" w:eastAsia="仿宋_GB2312"/>
              </w:rPr>
              <w:t xml:space="preserve">10. </w:t>
            </w:r>
            <w:r>
              <w:rPr>
                <w:rFonts w:ascii="仿宋_GB2312" w:hAnsi="仿宋_GB2312" w:cs="仿宋_GB2312" w:eastAsia="仿宋_GB2312"/>
              </w:rPr>
              <w:t>内镜</w:t>
            </w:r>
            <w:r>
              <w:rPr>
                <w:rFonts w:ascii="仿宋_GB2312" w:hAnsi="仿宋_GB2312" w:cs="仿宋_GB2312" w:eastAsia="仿宋_GB2312"/>
              </w:rPr>
              <w:t>180度旋转功能</w:t>
            </w:r>
          </w:p>
          <w:p>
            <w:pPr>
              <w:pStyle w:val="null3"/>
            </w:pPr>
            <w:r>
              <w:rPr>
                <w:rFonts w:ascii="仿宋_GB2312" w:hAnsi="仿宋_GB2312" w:cs="仿宋_GB2312" w:eastAsia="仿宋_GB2312"/>
              </w:rPr>
              <w:t>1</w:t>
            </w:r>
            <w:r>
              <w:rPr>
                <w:rFonts w:ascii="仿宋_GB2312" w:hAnsi="仿宋_GB2312" w:cs="仿宋_GB2312" w:eastAsia="仿宋_GB2312"/>
              </w:rPr>
              <w:t>1</w:t>
            </w:r>
            <w:r>
              <w:rPr>
                <w:rFonts w:ascii="仿宋_GB2312" w:hAnsi="仿宋_GB2312" w:cs="仿宋_GB2312" w:eastAsia="仿宋_GB2312"/>
              </w:rPr>
              <w:t>.具备一次性使用先端帽</w:t>
            </w:r>
          </w:p>
          <w:p>
            <w:pPr>
              <w:pStyle w:val="null3"/>
            </w:pPr>
            <w:r>
              <w:rPr>
                <w:rFonts w:ascii="仿宋_GB2312" w:hAnsi="仿宋_GB2312" w:cs="仿宋_GB2312" w:eastAsia="仿宋_GB2312"/>
                <w:sz w:val="21"/>
              </w:rPr>
              <w:t>12.</w:t>
            </w:r>
            <w:r>
              <w:rPr>
                <w:rFonts w:ascii="仿宋_GB2312" w:hAnsi="仿宋_GB2312" w:cs="仿宋_GB2312" w:eastAsia="仿宋_GB2312"/>
                <w:sz w:val="21"/>
              </w:rPr>
              <w:t>具备</w:t>
            </w:r>
            <w:r>
              <w:rPr>
                <w:rFonts w:ascii="仿宋_GB2312" w:hAnsi="仿宋_GB2312" w:cs="仿宋_GB2312" w:eastAsia="仿宋_GB2312"/>
                <w:sz w:val="21"/>
              </w:rPr>
              <w:t>OE或NBI功能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铜川市人民医院指定地点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进度款，乙方支付合同总价的10%，设备正常运行1年后，若无质量等问题，甲方一次性退回给乙方。设备交货安装调试结束、验收合格后，达到付款条件起30个工作日内，支付合同总金额的60.0%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质保期为验收合格后整条镜子质保5年，具体按合同约定执行。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需要落实政府采购政策：（1）《政府采购促进中小企业发展管理办法》（财库〔2020〕46号）、《关于进一步加大政府采购支持中小企业力度的通知》（财库〔2022〕19号）、《陕西省财政厅关于进一步加大政府采购支持中小企业力度的通知》（陕财办采〔2022〕5号）、《关于政府采购支持监狱企业发展有关问题的通知》（财库〔2014〕68号）、《关于促进残疾人就业政府采购政策的通知》（财库〔2017〕141号）。（2）国务院办公厅《关于建立政府强制采购节能产品制度的通知》（国办发〔2007〕51号）。财政部、国家发改委、生态环境部、市场监管总局联合印发《关于调整优化节能产品、环境标志产品政府采购执行机制的通知》（财库〔2019〕9号）、《关于印发环境标志产品政府采购品目清单的通知》（财库〔2019〕18号）、《关于印发节能产品政府采购品目清单的通知》（财库〔2019〕19号）。（3）《财政部农业农村部国家乡村振兴局关于运用政府采购政策支持乡村产业振兴的通知》（财库〔2021〕19号）、《财政部农业农村部国家乡村振兴局中华全国供销合作总社关于印发&lt;关于深入开展政府采购脱贫地区农副产品工作推进乡村产业振兴的实施意见&gt;的通知》（财库〔2021〕20号）。（4）《陕西省财政厅关于加快推进我省中小企业政府采购信用融资工作的通知》（陕财办采〔2020〕15号）、陕西省财政厅关于印发《陕西省中小企业政府采购信用融资办法》（陕财办采〔2018〕23号）。（5）《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6）《国务院办公厅关于在政府采购中实施本国产品标准及相关政策的通知》（国办发〔2025〕34号）。（7）《关于推动解决政府采购异常低价问题的通知》（财库〔2026〕2号）。（8）其他需要落实的政府采购政策（如有最新颁布的政府采购政策，按最新的文件执行）。2、中标（成交）供应商（人）领取中标（成交）通知书时，提交胶装纸质响应文件贰份，内容和通过电子化交易平台实施的政府采购项目提交的响应文件内容一致。3、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承诺书及书面声明</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有效的资格主体证明</w:t>
            </w:r>
          </w:p>
        </w:tc>
        <w:tc>
          <w:tcPr>
            <w:tcW w:type="dxa" w:w="3322"/>
          </w:tcPr>
          <w:p>
            <w:pPr>
              <w:pStyle w:val="null3"/>
            </w:pPr>
            <w:r>
              <w:rPr>
                <w:rFonts w:ascii="仿宋_GB2312" w:hAnsi="仿宋_GB2312" w:cs="仿宋_GB2312" w:eastAsia="仿宋_GB2312"/>
              </w:rPr>
              <w:t>供应商必须是具有独立承担民事责任能力的法人、其他组织或自然人，并出具合法有效的营业执照或事业单位法人证书等国家规定的相关证明，自然人参与的提供其身份证明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法定代表人或授权委托人资格要求</w:t>
            </w:r>
          </w:p>
        </w:tc>
        <w:tc>
          <w:tcPr>
            <w:tcW w:type="dxa" w:w="3322"/>
          </w:tcPr>
          <w:p>
            <w:pPr>
              <w:pStyle w:val="null3"/>
            </w:pPr>
            <w:r>
              <w:rPr>
                <w:rFonts w:ascii="仿宋_GB2312" w:hAnsi="仿宋_GB2312" w:cs="仿宋_GB2312" w:eastAsia="仿宋_GB2312"/>
              </w:rPr>
              <w:t>供应商为法人单位的）法定代表人亲自参加投标时，须提供本人身份证复印件或扫描件；法定代表人授权他人参加投标时，须提供法定代表人委托授权书，同时提供被授权代表开标前六月内任意一个月在供应商单位的社保缴纳证明材料。（供应商为非法人单位的）单一来源采购文件中凡是需要法定代表人签字或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 法定代表人（单位负责人）授权委托书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供应商信用要求</w:t>
            </w:r>
          </w:p>
        </w:tc>
        <w:tc>
          <w:tcPr>
            <w:tcW w:type="dxa" w:w="3322"/>
          </w:tcPr>
          <w:p>
            <w:pPr>
              <w:pStyle w:val="null3"/>
            </w:pPr>
            <w:r>
              <w:rPr>
                <w:rFonts w:ascii="仿宋_GB2312" w:hAnsi="仿宋_GB2312" w:cs="仿宋_GB2312" w:eastAsia="仿宋_GB2312"/>
              </w:rPr>
              <w:t>供应商未被《信用中国》网站（www.creditchina.gov.cn）列入“重大税收违法失信主体”名单和“政府采购严重违法失信行为记录名单”和“失信被执行人”（页面跳转至《中国执行信息公开网》），及不处于《中国政府采购网》（www.ccgp.gov.cn）记录的“政府采购严重违法失信行为记录名单”中的禁止参加政府采购活动期间，提供书面声明</w:t>
            </w:r>
          </w:p>
        </w:tc>
        <w:tc>
          <w:tcPr>
            <w:tcW w:type="dxa" w:w="1661"/>
          </w:tcPr>
          <w:p>
            <w:pPr>
              <w:pStyle w:val="null3"/>
            </w:pPr>
            <w:r>
              <w:rPr>
                <w:rFonts w:ascii="仿宋_GB2312" w:hAnsi="仿宋_GB2312" w:cs="仿宋_GB2312" w:eastAsia="仿宋_GB2312"/>
              </w:rPr>
              <w:t>供应商应提交的相关资格证明材料 承诺书及书面声明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经审计的2024年度或2025年度的财务报告（根据《陕西省财政厅关于启用会计师事务所审计报告“二维码”赋码查验功能的通知（陕财办会函〔2022〕55号）》，经审计的财务会计报告需赋加“注册会计师行业统一监管平台”二维码），成立时间至提交响应文件截止时间不足一年的可提供成立后任意时段的资产负债表，或提交响应文件截止时间前六个月内其基本账户开户银行出具的资信证明（针对其他组织和自然人可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6月至今任意一个月已缴存的社会保障资金缴存单据（缴费种类至少包括养老保险）或社保机构开具的社会保险参保缴费情况证明或提供其它相关证明资料，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纳税证明或税务机关开具的完税证明（税种为增值税或企业所得税），纳税证明或完税证明上应有代收机构或税务机关的公章或业务专用章。依法免税或无须缴纳税收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医疗器械生产或经营资质</w:t>
            </w:r>
          </w:p>
        </w:tc>
        <w:tc>
          <w:tcPr>
            <w:tcW w:type="dxa" w:w="3322"/>
          </w:tcPr>
          <w:p>
            <w:pPr>
              <w:pStyle w:val="null3"/>
            </w:pPr>
            <w:r>
              <w:rPr>
                <w:rFonts w:ascii="仿宋_GB2312" w:hAnsi="仿宋_GB2312" w:cs="仿宋_GB2312" w:eastAsia="仿宋_GB2312"/>
              </w:rPr>
              <w:t>拟投产品中如有属于医疗器械的，供应商须具备以下资质要求：供应商为代理商的提供“医疗器械经营许可证”或“医疗器械经营备案凭证”和生产厂家的“医疗器械生产许可证”（进口产品不需要提供医疗器械生产许可证）；供应商为生产厂家的提供“医疗器械生产许可证”（进口产品不需要提供医疗器械生产许可证）；同时提供拟投产品的医疗器械注册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供应商合法授权</w:t>
            </w:r>
          </w:p>
        </w:tc>
        <w:tc>
          <w:tcPr>
            <w:tcW w:type="dxa" w:w="3322"/>
          </w:tcPr>
          <w:p>
            <w:pPr>
              <w:pStyle w:val="null3"/>
            </w:pPr>
            <w:r>
              <w:rPr>
                <w:rFonts w:ascii="仿宋_GB2312" w:hAnsi="仿宋_GB2312" w:cs="仿宋_GB2312" w:eastAsia="仿宋_GB2312"/>
              </w:rPr>
              <w:t>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提供书面声明，包括声明具有履行合同所必需的设备和专业技术能力；参加政府采购活动前三年内在经营活动中没有重大违法记录</w:t>
            </w:r>
          </w:p>
        </w:tc>
        <w:tc>
          <w:tcPr>
            <w:tcW w:type="dxa" w:w="1661"/>
          </w:tcPr>
          <w:p>
            <w:pPr>
              <w:pStyle w:val="null3"/>
            </w:pPr>
            <w:r>
              <w:rPr>
                <w:rFonts w:ascii="仿宋_GB2312" w:hAnsi="仿宋_GB2312" w:cs="仿宋_GB2312" w:eastAsia="仿宋_GB2312"/>
              </w:rPr>
              <w:t>供应商应提交的相关资格证明材料 承诺书及书面声明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协商小组认为供应商报价明显低于其他通过符合性审查供应商的报价，有可能影响产品质量或者不能诚信履约的，协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协商小组要求的时间内通过项目电子化交易系统进行提交，否则提交的相关证明材料无效。供应商不能证明其报价合理性的，协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不存在其他不符合法律法规或采购文件规定的被视为无效响应的其他条款</w:t>
            </w:r>
          </w:p>
        </w:tc>
        <w:tc>
          <w:tcPr>
            <w:tcW w:type="dxa" w:w="1661"/>
          </w:tcPr>
          <w:p>
            <w:pPr>
              <w:pStyle w:val="null3"/>
            </w:pPr>
            <w:r>
              <w:rPr>
                <w:rFonts w:ascii="仿宋_GB2312" w:hAnsi="仿宋_GB2312" w:cs="仿宋_GB2312" w:eastAsia="仿宋_GB2312"/>
              </w:rPr>
              <w:t>产品技术参数表 商务应答表 标的清单 报价表 项目实施方案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供应商应提交的相关资格证明材料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响应文件的签署、盖章、格式应符合“响应文件格式”要求。</w:t>
            </w:r>
          </w:p>
        </w:tc>
        <w:tc>
          <w:tcPr>
            <w:tcW w:type="dxa" w:w="1661"/>
          </w:tcPr>
          <w:p>
            <w:pPr>
              <w:pStyle w:val="null3"/>
            </w:pPr>
            <w:r>
              <w:rPr>
                <w:rFonts w:ascii="仿宋_GB2312" w:hAnsi="仿宋_GB2312" w:cs="仿宋_GB2312" w:eastAsia="仿宋_GB2312"/>
              </w:rPr>
              <w:t>中小企业声明函 商务应答表 供应商应提交的相关资格证明材料 报价表 承诺书及书面声明 响应文件封面 产品技术参数表 残疾人福利性单位声明函 标的清单 法定代表人（单位负责人）授权委托书 项目实施方案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响应报价符合唯一性要求，不得提交选择性报价，且报价不超过采购预算金额或最高限价：465,000.00元</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符合采购文件要求：自提交响应文件截止之日起90个日历日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对采购文件响应程度及其他</w:t>
            </w:r>
          </w:p>
        </w:tc>
        <w:tc>
          <w:tcPr>
            <w:tcW w:type="dxa" w:w="3322"/>
          </w:tcPr>
          <w:p>
            <w:pPr>
              <w:pStyle w:val="null3"/>
            </w:pPr>
            <w:r>
              <w:rPr>
                <w:rFonts w:ascii="仿宋_GB2312" w:hAnsi="仿宋_GB2312" w:cs="仿宋_GB2312" w:eastAsia="仿宋_GB2312"/>
              </w:rPr>
              <w:t>完全理解并接受对商务要求、技术要求响应，没有实质性负偏离。完全理解并接受法律法规和采购文件对供应商的各项须知、规约要求和责任义务，没有出现法律法规或采购文件明确规定的其他被视为“无效响应”的情形。</w:t>
            </w:r>
          </w:p>
        </w:tc>
        <w:tc>
          <w:tcPr>
            <w:tcW w:type="dxa" w:w="1661"/>
          </w:tcPr>
          <w:p>
            <w:pPr>
              <w:pStyle w:val="null3"/>
            </w:pPr>
            <w:r>
              <w:rPr>
                <w:rFonts w:ascii="仿宋_GB2312" w:hAnsi="仿宋_GB2312" w:cs="仿宋_GB2312" w:eastAsia="仿宋_GB2312"/>
              </w:rPr>
              <w:t>中小企业声明函 商务应答表 供应商应提交的相关资格证明材料 报价表 承诺书及书面声明 响应文件封面 产品技术参数表 残疾人福利性单位声明函 标的清单 法定代表人（单位负责人）授权委托书 项目实施方案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详见附件：承诺书及书面声明</w:t>
      </w:r>
    </w:p>
    <w:p>
      <w:pPr>
        <w:pStyle w:val="null3"/>
        <w:ind w:firstLine="960"/>
      </w:pPr>
      <w:r>
        <w:rPr>
          <w:rFonts w:ascii="仿宋_GB2312" w:hAnsi="仿宋_GB2312" w:cs="仿宋_GB2312" w:eastAsia="仿宋_GB2312"/>
        </w:rPr>
        <w:t>详见附件：法定代表人（单位负责人）授权委托书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