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版本号：SXZY-2026-ZC-1184.1B120260818001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机关食堂蔬菜副食辅材等配送服务（2026）(二次)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SXZY-2026-ZC-1184.1B1</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机关食堂蔬菜副食辅材等配送服务（2026）(二次)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SXZY-2026-ZC-1184.1B1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机关食堂蔬菜副食辅材等配送服务（2026）(二次)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机关食堂蔬菜副食辅材等配送服务主要为满足西安市雁塔区城市管理和综合执法局机关食堂蔬菜副食辅材等的日常供应，所配送食材需符合国家食品安全要求。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采购包1（机关食堂蔬菜副食辅材等配送服务（2026））：属于专门面向中小企业采购。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3、资质要求：供应商须提供有效的《食品经营许可证》。供应商需在项目电子化交易系统中按要求上传相应证明文件并进行电子签章。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4、非联合体磋商声明：提交非联合体形式参加本项目磋商的声明函。供应商需在项目电子化交易系统中按要求上传相应证明文件并进行电子签章。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13891896911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采购人付清所有款项后本项目涉及的知识产权归采购人所有，供应商享有署名权。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合格（符合国家（行业）强制性标准及采购人要求）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机关食堂蔬菜副食辅材等配送服务主要为满足西安市雁塔区城市管理和综合执法局机关食堂蔬菜副食辅材等的日常供应，所配送食材需符合国家食品安全要求。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机关食堂蔬菜副食辅材等配送服务（2026）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标的名称：机关食堂蔬菜副食辅材等配送服务（2026）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服务内容</w:t>
            </w:r>
          </w:p>
          <w:p>
            <w:pPr>
              <w:pStyle w:val="null3"/>
            </w:pPr>
            <w:r>
              <w:rPr>
                <w:rFonts w:ascii="仿宋_GB2312" w:hAnsi="仿宋_GB2312" w:cs="仿宋_GB2312" w:eastAsia="仿宋_GB2312"/>
              </w:rPr>
              <w:t>蔬菜、肉、乳制品、蛋、禽、瓜果、干货、水产品等食材采购及配送。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技术要求</w:t>
            </w:r>
          </w:p>
          <w:p>
            <w:pPr>
              <w:pStyle w:val="null3"/>
              <w:spacing w:after="120"/>
              <w:ind w:firstLine="480"/>
              <w:jc w:val="both"/>
            </w:pPr>
            <w:r>
              <w:rPr>
                <w:rFonts w:ascii="仿宋_GB2312" w:hAnsi="仿宋_GB2312" w:cs="仿宋_GB2312" w:eastAsia="仿宋_GB2312"/>
              </w:rPr>
              <w:t>食材必须符合新的《食品安全法》第三章</w:t>
            </w:r>
            <w:r>
              <w:rPr>
                <w:rFonts w:ascii="仿宋_GB2312" w:hAnsi="仿宋_GB2312" w:cs="仿宋_GB2312" w:eastAsia="仿宋_GB2312"/>
              </w:rPr>
              <w:t>“食品安全标准”中的规定。食品中污染物限量应符合GB2762-2017标准规定。不得采购转基因食品或利用转基因食品原料加工的成品。食品原料新鲜、清洁卫生，同时对每批次食品原料进行检测，具有质量检验报告（近期）。具体要求为：</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1）所有食材均须符合《中华人民共和国食品安全法》，须具备所配送产品的检测报告或食品检验合格证；主要食材应选取大品牌。</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2）蔬菜、禽蛋必须保证新鲜，果蔬必须符合GB 2763食品中农药最大残留限量标准并具有农药残留检验记录。</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3）肉类、冷冻产品必须保证质量，应具有相关动物检验检疫合格证明，供应商应设有固定的经营场所，并具有符合卫生防疫监督部门要求的肉类食材屠宰厂的经营授权书，含水（冰）率符合标准。</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4）杂粮及调味品要品质好，无霉变、无杂质。定型包装调味品必须保证质量并提供相关证明材料（包含但不限于“SC”食品生产许可证、质量检测报告等）。</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5）豆制品、乳制品及其他半成品送货当日时间不得超过保质期的1/3时长，提供保证质量的相关证明材料（包含但不限于“SC”食品生产许可证、质量检测报告等）。</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rPr>
              <w:t>6）其他食材可根据采购人需求进行调整。</w:t>
            </w:r>
          </w:p>
          <w:tbl>
            <w:tblPr>
              <w:tblInd w:type="dxa" w:w="120"/>
              <w:tblBorders>
                <w:top w:val="none" w:color="000000" w:sz="4"/>
                <w:left w:val="none" w:color="000000" w:sz="4"/>
                <w:bottom w:val="none" w:color="000000" w:sz="4"/>
                <w:right w:val="none" w:color="000000" w:sz="4"/>
                <w:insideH w:val="none"/>
                <w:insideV w:val="none"/>
              </w:tblBorders>
            </w:tblPr>
            <w:tblGrid>
              <w:gridCol w:w="167"/>
              <w:gridCol w:w="2034"/>
              <w:gridCol w:w="351"/>
            </w:tblGrid>
            <w:tr>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9"/>
                      <w:b/>
                    </w:rPr>
                    <w:t>质量要求及包装标准</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备注</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肉禽类</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肉身必须盖有卫生检疫章，须出具加盖国家或地方政府监督所检疫章的动物检疫证明。肉品须表皮洁净、膘厚适中、色泽鲜亮、纹理清晰、肉质细腻、无异味、去骨、无毛、按压无水迹。</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所有商品必须满足国家和地方相关规定</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蔬菜类</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当季各类新鲜蔬菜以及大棚种植蔬菜，蔬菜类必须保证无黄叶、枯死叶、无虫、无杂质，须</w:t>
                  </w:r>
                  <w:r>
                    <w:rPr>
                      <w:rFonts w:ascii="仿宋_GB2312" w:hAnsi="仿宋_GB2312" w:cs="仿宋_GB2312" w:eastAsia="仿宋_GB2312"/>
                      <w:sz w:val="19"/>
                    </w:rPr>
                    <w:t>48小时内采摘供应，原菜须保证菜面干净、无明显泥土、码放整齐、无破损、大小基本统一、不得过熟或欠熟；净菜须保证菜面完全干净、无泥土、按统一标准加工、码放整齐、无须二次处理可以直接进行熟加工。</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蛋类</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新鲜、大小均匀、无破损、色泽光滑，须出具加盖地方政府监督所检疫章的动物检疫证明。</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豆制品</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豆腐、豆腐干、绿豆芽、黄豆芽、红豆等；须保证食材干净、不含非食品用化学物质、按统一标准加工、码放整齐、无须二次处理可以直接进行熟加工。</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水果</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当季各类水果，无虫、无杂质，须</w:t>
                  </w:r>
                  <w:r>
                    <w:rPr>
                      <w:rFonts w:ascii="仿宋_GB2312" w:hAnsi="仿宋_GB2312" w:cs="仿宋_GB2312" w:eastAsia="仿宋_GB2312"/>
                      <w:sz w:val="19"/>
                    </w:rPr>
                    <w:t>48小时内采摘供应，原水果须保证果面干净、无明显泥土、码放整齐、无破损、大小基本统一、不得过熟或欠熟。</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面条</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鲜面条、干面条；要求原材料不含非食品用化学物质、不掺假、不过期、不变质、不变味、无杂质、无毒害，符合国家食品行业的标准。</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水产品</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鱼、黑鱼、桂鱼、鲈鱼等鱼类要求体表光滑无病灶，有鲜鱼鳞片完整，无鳞鱼无浑浊粘液，肉质紧密，呈白色或淡黄色眼球外突饱满透明，鳃丝清晰鲜红或暗红，保持活体状态固有本色，无异味，内脏清晰可辨无腐烂。</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冻品</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冻品外包装需完整，无破损，无不封口现象，有生产日期。冻品在解冻后，发现质量问题需退货。符合国家绿色批发市场标准，应具备满足交易需要的冷冻贮藏设施，不得供应临期产品。</w:t>
                  </w:r>
                </w:p>
              </w:tc>
              <w:tc>
                <w:tcPr>
                  <w:tcW w:type="dxa" w:w="351"/>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调料</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外包装无污物、无泄漏，无胀袋或胖听或鼓盖现象，无变质发霉现象。色泽正常，具有该品种固有的香味，滋味无异味，油酱均匀的酱体或无结块的粉状固体，封口平整，无破包，夹包，漏包，无污染。</w:t>
                  </w:r>
                </w:p>
              </w:tc>
              <w:tc>
                <w:tcPr>
                  <w:tcW w:type="dxa" w:w="351"/>
                  <w:vMerge/>
                  <w:tcBorders>
                    <w:top w:val="none" w:color="000000" w:sz="4"/>
                    <w:left w:val="none" w:color="000000" w:sz="4"/>
                    <w:bottom w:val="single" w:color="000000" w:sz="4"/>
                    <w:right w:val="single" w:color="000000" w:sz="4"/>
                  </w:tcBorders>
                </w:tcPr>
                <w:p/>
              </w:tc>
            </w:tr>
          </w:tbl>
          <w:p>
            <w:pPr>
              <w:pStyle w:val="null3"/>
              <w:spacing w:after="120"/>
              <w:ind w:firstLine="482"/>
              <w:jc w:val="both"/>
            </w:pPr>
            <w:r>
              <w:rPr>
                <w:rFonts w:ascii="仿宋_GB2312" w:hAnsi="仿宋_GB2312" w:cs="仿宋_GB2312" w:eastAsia="仿宋_GB2312"/>
              </w:rPr>
              <w:t>注：凡涉及国家或行业相关标准的以最新标准为准，所有食材均须符合《中华人民共和国食品卫生法》、《动物检疫法》、《食品安全国家标准食品添加剂使用标准》（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rPr>
              <w:t>GB2760-2014）等相关规定。</w:t>
            </w:r>
          </w:p>
          <w:p>
            <w:pPr>
              <w:pStyle w:val="null3"/>
            </w:pPr>
            <w:r>
              <w:rPr>
                <w:rFonts w:ascii="仿宋_GB2312" w:hAnsi="仿宋_GB2312" w:cs="仿宋_GB2312" w:eastAsia="仿宋_GB2312"/>
              </w:rPr>
              <w:t>注：如国家制定新的食品安全标准，即按新标准执行。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服务要求</w:t>
            </w:r>
          </w:p>
          <w:p>
            <w:pPr>
              <w:pStyle w:val="null3"/>
              <w:ind w:firstLine="482"/>
            </w:pPr>
            <w:r>
              <w:rPr>
                <w:rFonts w:ascii="仿宋_GB2312" w:hAnsi="仿宋_GB2312" w:cs="仿宋_GB2312" w:eastAsia="仿宋_GB2312"/>
                <w:b/>
              </w:rPr>
              <w:t>（一）、质量要求</w:t>
            </w:r>
          </w:p>
          <w:p>
            <w:pPr>
              <w:pStyle w:val="null3"/>
              <w:ind w:firstLine="482"/>
            </w:pPr>
            <w:r>
              <w:rPr>
                <w:rFonts w:ascii="仿宋_GB2312" w:hAnsi="仿宋_GB2312" w:cs="仿宋_GB2312" w:eastAsia="仿宋_GB2312"/>
              </w:rPr>
              <w:t>1、服务质量：合格（符合国家（行业）强制性标准及采购人要求）。</w:t>
            </w:r>
          </w:p>
          <w:p>
            <w:pPr>
              <w:pStyle w:val="null3"/>
              <w:ind w:firstLine="482"/>
            </w:pPr>
            <w:r>
              <w:rPr>
                <w:rFonts w:ascii="仿宋_GB2312" w:hAnsi="仿宋_GB2312" w:cs="仿宋_GB2312" w:eastAsia="仿宋_GB2312"/>
              </w:rPr>
              <w:t>2、服务、产品（如有）执行的标准、规范：国家（行业）强制性标准。</w:t>
            </w:r>
          </w:p>
          <w:p>
            <w:pPr>
              <w:pStyle w:val="null3"/>
              <w:ind w:firstLine="482"/>
            </w:pPr>
            <w:r>
              <w:rPr>
                <w:rFonts w:ascii="仿宋_GB2312" w:hAnsi="仿宋_GB2312" w:cs="仿宋_GB2312" w:eastAsia="仿宋_GB2312"/>
                <w:b/>
              </w:rPr>
              <w:t>（二）、食材配送</w:t>
            </w:r>
          </w:p>
          <w:p>
            <w:pPr>
              <w:pStyle w:val="null3"/>
              <w:ind w:firstLine="482"/>
            </w:pPr>
            <w:r>
              <w:rPr>
                <w:rFonts w:ascii="仿宋_GB2312" w:hAnsi="仿宋_GB2312" w:cs="仿宋_GB2312" w:eastAsia="仿宋_GB2312"/>
              </w:rPr>
              <w:t>1、蔬菜类每日配送，当日配送种类与数量以前一天采购人书面（传真或邮件）菜单为准，采购人根据需求开出每日菜单的品种及数量，供应方须在当日内做出响应，如有某些菜品出现市场断档，当日及时告知采购人，以便采购人做出必要调整，供应方保证当日8点前将各类蔬菜配送至采购人指定地点。</w:t>
            </w:r>
          </w:p>
          <w:p>
            <w:pPr>
              <w:pStyle w:val="null3"/>
              <w:ind w:firstLine="482"/>
            </w:pPr>
            <w:r>
              <w:rPr>
                <w:rFonts w:ascii="仿宋_GB2312" w:hAnsi="仿宋_GB2312" w:cs="仿宋_GB2312" w:eastAsia="仿宋_GB2312"/>
              </w:rPr>
              <w:t>2、肉禽蛋类由采购人根据菜谱需求，提前书面（传真或邮件）告知肉禽蛋类供应商肉禽蛋类需求计划，供应商须在当日做出响应，如有某些菜品出现市场断档，当日及时告知采购人，以便采购人做出必要调整，肉禽蛋类供应商根据菜谱上的每日需求，当天配送。</w:t>
            </w:r>
          </w:p>
          <w:p>
            <w:pPr>
              <w:pStyle w:val="null3"/>
              <w:ind w:firstLine="482"/>
            </w:pPr>
            <w:r>
              <w:rPr>
                <w:rFonts w:ascii="仿宋_GB2312" w:hAnsi="仿宋_GB2312" w:cs="仿宋_GB2312" w:eastAsia="仿宋_GB2312"/>
              </w:rPr>
              <w:t>3、水产类配送方式同肉禽蛋类配送方式。</w:t>
            </w:r>
          </w:p>
          <w:p>
            <w:pPr>
              <w:pStyle w:val="null3"/>
              <w:ind w:firstLine="482"/>
            </w:pPr>
            <w:r>
              <w:rPr>
                <w:rFonts w:ascii="仿宋_GB2312" w:hAnsi="仿宋_GB2312" w:cs="仿宋_GB2312" w:eastAsia="仿宋_GB2312"/>
              </w:rPr>
              <w:t>4、干货、调味品类由采购人根据菜谱需求，提前书面（传真或邮件）告知供应商，供应商须在2日内书面（传真或邮件）告知采购人准备情况，每周根据需要配送当周产品。</w:t>
            </w:r>
          </w:p>
          <w:p>
            <w:pPr>
              <w:pStyle w:val="null3"/>
              <w:ind w:firstLine="482"/>
            </w:pPr>
            <w:r>
              <w:rPr>
                <w:rFonts w:ascii="仿宋_GB2312" w:hAnsi="仿宋_GB2312" w:cs="仿宋_GB2312" w:eastAsia="仿宋_GB2312"/>
              </w:rPr>
              <w:t>注：如遇采购人所属单位出现紧急任务或加班备勤等突发状况时，供应商必须在第一时间内将食品原材料配送到位。</w:t>
            </w:r>
          </w:p>
          <w:p>
            <w:pPr>
              <w:pStyle w:val="null3"/>
              <w:ind w:firstLine="482"/>
            </w:pPr>
            <w:r>
              <w:rPr>
                <w:rFonts w:ascii="仿宋_GB2312" w:hAnsi="仿宋_GB2312" w:cs="仿宋_GB2312" w:eastAsia="仿宋_GB2312"/>
                <w:b/>
              </w:rPr>
              <w:t>（三）、供应责任</w:t>
            </w:r>
          </w:p>
          <w:p>
            <w:pPr>
              <w:pStyle w:val="null3"/>
              <w:ind w:firstLine="482"/>
            </w:pPr>
            <w:r>
              <w:rPr>
                <w:rFonts w:ascii="仿宋_GB2312" w:hAnsi="仿宋_GB2312" w:cs="仿宋_GB2312" w:eastAsia="仿宋_GB2312"/>
              </w:rPr>
              <w:t>原材料供应商须保证所供原材料均为符合国家卫生、质量检验标准的正规产品，保证配送品种完全满足采购人要求，所有原材料每日均留存样品一份，保存时间为36小时，确认期间无任何食品安全问题后丢弃。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82"/>
            </w:pPr>
            <w:r>
              <w:rPr>
                <w:rFonts w:ascii="仿宋_GB2312" w:hAnsi="仿宋_GB2312" w:cs="仿宋_GB2312" w:eastAsia="仿宋_GB2312"/>
              </w:rPr>
              <w:t>1、原材料没有按时按要求配送到位，影响采购人员工餐厅正常开餐的，以当日需求计划总量两倍价款赔付当日损失，同时责任原材料供应商应支付当日需求计划总量30%价款作为违约金。</w:t>
            </w:r>
          </w:p>
          <w:p>
            <w:pPr>
              <w:pStyle w:val="null3"/>
              <w:ind w:firstLine="482"/>
            </w:pPr>
            <w:r>
              <w:rPr>
                <w:rFonts w:ascii="仿宋_GB2312" w:hAnsi="仿宋_GB2312" w:cs="仿宋_GB2312" w:eastAsia="仿宋_GB2312"/>
              </w:rPr>
              <w:t>2、原材料在验收时有不符合要求的，一律退回，供应商无条件重新更换配送货物，更换后仍然不符合标准的，供应商应支付违约金；同时应明确违约金数额，可以约定以当日需求计划总量30%价款作为违约金。</w:t>
            </w:r>
          </w:p>
          <w:p>
            <w:pPr>
              <w:pStyle w:val="null3"/>
              <w:ind w:firstLine="482"/>
            </w:pPr>
            <w:r>
              <w:rPr>
                <w:rFonts w:ascii="仿宋_GB2312" w:hAnsi="仿宋_GB2312" w:cs="仿宋_GB2312" w:eastAsia="仿宋_GB2312"/>
              </w:rPr>
              <w:t>3、任何因原材料质量问题导致的食品安全或食物中毒责任，在确认导致问题的原材料品种后，由该供应商承担全部法律责任与经济损失，除对采购人进行赔付外，采购人有权单方终止合同。</w:t>
            </w:r>
          </w:p>
          <w:p>
            <w:pPr>
              <w:pStyle w:val="null3"/>
              <w:ind w:firstLine="482"/>
            </w:pPr>
            <w:r>
              <w:rPr>
                <w:rFonts w:ascii="仿宋_GB2312" w:hAnsi="仿宋_GB2312" w:cs="仿宋_GB2312" w:eastAsia="仿宋_GB2312"/>
              </w:rPr>
              <w:t>4、原材料供应管理：</w:t>
            </w:r>
          </w:p>
          <w:p>
            <w:pPr>
              <w:pStyle w:val="null3"/>
              <w:ind w:firstLine="482"/>
            </w:pPr>
            <w:r>
              <w:rPr>
                <w:rFonts w:ascii="仿宋_GB2312" w:hAnsi="仿宋_GB2312" w:cs="仿宋_GB2312" w:eastAsia="仿宋_GB2312"/>
              </w:rPr>
              <w:t>（1）根据采购人要求进行必要的货源组织，提供种类明细与价格。</w:t>
            </w:r>
          </w:p>
          <w:p>
            <w:pPr>
              <w:pStyle w:val="null3"/>
              <w:ind w:firstLine="482"/>
            </w:pPr>
            <w:r>
              <w:rPr>
                <w:rFonts w:ascii="仿宋_GB2312" w:hAnsi="仿宋_GB2312" w:cs="仿宋_GB2312" w:eastAsia="仿宋_GB2312"/>
              </w:rPr>
              <w:t>（2）为与采购人合作成立独立小组或团队、项目经理介绍与组织架构设计。</w:t>
            </w:r>
          </w:p>
          <w:p>
            <w:pPr>
              <w:pStyle w:val="null3"/>
              <w:ind w:firstLine="482"/>
            </w:pPr>
            <w:r>
              <w:rPr>
                <w:rFonts w:ascii="仿宋_GB2312" w:hAnsi="仿宋_GB2312" w:cs="仿宋_GB2312" w:eastAsia="仿宋_GB2312"/>
              </w:rPr>
              <w:t>（3）货源组织、配货、配送、验货、会计等专业对口人员的安排与职责划分。</w:t>
            </w:r>
          </w:p>
          <w:p>
            <w:pPr>
              <w:pStyle w:val="null3"/>
              <w:ind w:firstLine="482"/>
            </w:pPr>
            <w:r>
              <w:rPr>
                <w:rFonts w:ascii="仿宋_GB2312" w:hAnsi="仿宋_GB2312" w:cs="仿宋_GB2312" w:eastAsia="仿宋_GB2312"/>
              </w:rPr>
              <w:t>（4）确保原材料新鲜、安全、及时的各类措施或组织管理办法。</w:t>
            </w:r>
          </w:p>
          <w:p>
            <w:pPr>
              <w:pStyle w:val="null3"/>
              <w:ind w:firstLine="482"/>
            </w:pPr>
            <w:r>
              <w:rPr>
                <w:rFonts w:ascii="仿宋_GB2312" w:hAnsi="仿宋_GB2312" w:cs="仿宋_GB2312" w:eastAsia="仿宋_GB2312"/>
              </w:rPr>
              <w:t>（5）原材料供应商对于自身原材料生产、外部原材料的采购、销售，其合格标准与检验标准。</w:t>
            </w:r>
          </w:p>
          <w:p>
            <w:pPr>
              <w:pStyle w:val="null3"/>
              <w:ind w:firstLine="482"/>
            </w:pPr>
            <w:r>
              <w:rPr>
                <w:rFonts w:ascii="仿宋_GB2312" w:hAnsi="仿宋_GB2312" w:cs="仿宋_GB2312" w:eastAsia="仿宋_GB2312"/>
              </w:rPr>
              <w:t>（6）原材料供应商对于可能的违约责任或食品安全责任的责任承担说明。</w:t>
            </w:r>
          </w:p>
          <w:p>
            <w:pPr>
              <w:pStyle w:val="null3"/>
              <w:ind w:firstLine="482"/>
            </w:pPr>
            <w:r>
              <w:rPr>
                <w:rFonts w:ascii="仿宋_GB2312" w:hAnsi="仿宋_GB2312" w:cs="仿宋_GB2312" w:eastAsia="仿宋_GB2312"/>
                <w:b/>
              </w:rPr>
              <w:t>（四）、服务要求</w:t>
            </w:r>
          </w:p>
          <w:p>
            <w:pPr>
              <w:pStyle w:val="null3"/>
              <w:ind w:firstLine="482"/>
            </w:pPr>
            <w:r>
              <w:rPr>
                <w:rFonts w:ascii="仿宋_GB2312" w:hAnsi="仿宋_GB2312" w:cs="仿宋_GB2312" w:eastAsia="仿宋_GB2312"/>
              </w:rPr>
              <w:t>1、须有冷链配送服务，鲜活物品保证在送达指定地点后依旧新鲜。</w:t>
            </w:r>
          </w:p>
          <w:p>
            <w:pPr>
              <w:pStyle w:val="null3"/>
              <w:ind w:firstLine="482"/>
            </w:pPr>
            <w:r>
              <w:rPr>
                <w:rFonts w:ascii="仿宋_GB2312" w:hAnsi="仿宋_GB2312" w:cs="仿宋_GB2312" w:eastAsia="仿宋_GB2312"/>
              </w:rPr>
              <w:t>2、中标单位将货物按要求保质保量送到采购人指定地点，并提供本批次货物的货物清单（含货物种类、数量、价格等）。</w:t>
            </w:r>
          </w:p>
          <w:p>
            <w:pPr>
              <w:pStyle w:val="null3"/>
              <w:ind w:firstLine="482"/>
            </w:pPr>
            <w:r>
              <w:rPr>
                <w:rFonts w:ascii="仿宋_GB2312" w:hAnsi="仿宋_GB2312" w:cs="仿宋_GB2312" w:eastAsia="仿宋_GB2312"/>
              </w:rPr>
              <w:t>3、中标单位提供的产品若出现不合格产品或在运输途中出现破损的，应在接到采购人通知后及时响应并进行处理。</w:t>
            </w:r>
          </w:p>
          <w:p>
            <w:pPr>
              <w:pStyle w:val="null3"/>
              <w:ind w:firstLine="482"/>
            </w:pPr>
            <w:r>
              <w:rPr>
                <w:rFonts w:ascii="仿宋_GB2312" w:hAnsi="仿宋_GB2312" w:cs="仿宋_GB2312" w:eastAsia="仿宋_GB2312"/>
              </w:rPr>
              <w:t>4、中标单位必须将所报项目的服务人员在采购人相关科室备案，保证采购人在有供货需求时能顺利联系到服务人员。</w:t>
            </w:r>
          </w:p>
          <w:p>
            <w:pPr>
              <w:pStyle w:val="null3"/>
              <w:ind w:firstLine="482"/>
            </w:pPr>
            <w:r>
              <w:rPr>
                <w:rFonts w:ascii="仿宋_GB2312" w:hAnsi="仿宋_GB2312" w:cs="仿宋_GB2312" w:eastAsia="仿宋_GB2312"/>
              </w:rPr>
              <w:t>5、中标单位提供的产品必须是通过正规渠道采购，若发现成交单位提供的产品属于假货，采购人有权进行处罚并终止合同。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售后服务</w:t>
            </w:r>
          </w:p>
          <w:p>
            <w:pPr>
              <w:pStyle w:val="null3"/>
            </w:pPr>
            <w:r>
              <w:rPr>
                <w:rFonts w:ascii="仿宋_GB2312" w:hAnsi="仿宋_GB2312" w:cs="仿宋_GB2312" w:eastAsia="仿宋_GB2312"/>
              </w:rPr>
              <w:t>成交供应商提供的产品若出现不合格产品或在运输途中出现破损的，应在接到采购人通知12小时内响应，48小时内完成退换货工作；鲜活物品保证在送达指定地点后依旧新鲜。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支付方式</w:t>
            </w:r>
          </w:p>
          <w:p>
            <w:pPr>
              <w:pStyle w:val="null3"/>
              <w:spacing w:after="120"/>
              <w:ind w:firstLine="480"/>
              <w:jc w:val="both"/>
            </w:pPr>
            <w:r>
              <w:rPr>
                <w:rFonts w:ascii="仿宋_GB2312" w:hAnsi="仿宋_GB2312" w:cs="仿宋_GB2312" w:eastAsia="仿宋_GB2312"/>
              </w:rPr>
              <w:t>1、付款前，供应商必须开具全额发票给采购人（附详细供货清单）。</w:t>
            </w:r>
          </w:p>
          <w:p>
            <w:pPr>
              <w:pStyle w:val="null3"/>
              <w:spacing w:after="120"/>
              <w:ind w:firstLine="480"/>
              <w:jc w:val="both"/>
            </w:pPr>
            <w:r>
              <w:rPr>
                <w:rFonts w:ascii="仿宋_GB2312" w:hAnsi="仿宋_GB2312" w:cs="仿宋_GB2312" w:eastAsia="仿宋_GB2312"/>
              </w:rPr>
              <w:t>2、供应商应按照采购人要求，每天配送到配送至采购人指定地点，经采购人验收合格后，供应商提供所供货物清单，采购人对所供货物的价格进行核实（按各大菜场平均价格*（1-下浮率）核定结算价格），经核实无误后在供货单上签字确认。结算时按采购人签字确认的供货单据实结算。</w:t>
            </w:r>
          </w:p>
          <w:p>
            <w:pPr>
              <w:pStyle w:val="null3"/>
              <w:spacing w:after="120"/>
              <w:ind w:firstLine="480"/>
              <w:jc w:val="both"/>
            </w:pPr>
            <w:r>
              <w:rPr>
                <w:rFonts w:ascii="仿宋_GB2312" w:hAnsi="仿宋_GB2312" w:cs="仿宋_GB2312" w:eastAsia="仿宋_GB2312"/>
              </w:rPr>
              <w:t>3、按月结算，次月15日前根据供货单据实结算上个月的费用，若遇年终预决算等特殊原因，延期结算。</w:t>
            </w:r>
          </w:p>
          <w:p>
            <w:pPr>
              <w:pStyle w:val="null3"/>
              <w:spacing w:after="120"/>
              <w:ind w:firstLine="480"/>
              <w:jc w:val="both"/>
            </w:pPr>
            <w:r>
              <w:rPr>
                <w:rFonts w:ascii="仿宋_GB2312" w:hAnsi="仿宋_GB2312" w:cs="仿宋_GB2312" w:eastAsia="仿宋_GB2312"/>
              </w:rPr>
              <w:t>4、结算方式：银行转账。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原材料验收由采购单位业务管理方、供应方、餐厅使用方，三方现场检验，对供应产品的质量无异议数量准确无误后，三方签字，各自留存。 （1）肉类必须保证提供为当日生产产品，肉身必须盖有卫生检疫章，同时出具加盖政府机构动物卫生监督所鲜章的动物检疫合格证明，畜肉品须色泽鲜亮、无任何异味、无毛、按压无注水，纹理清晰，肉质细腻，品质好；供应商在项目成交后,供货前须向采购人提供所投肉类产品的《动物防疫条件合格证》，供应商在响应文件中须对此承诺。 （2）禽类制品须肉面干净、无任何异味、无注水、无羽毛、表皮无疤痕，大小匀称、肉质紧至，码放整齐； （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（4）蛋类须新鲜，不超过三日以上产品，大小均匀，外壳无破裂，光洁饱满的产品，周转箱堆放 ，供应商在项目成交后,供货前须向采购人提供所投蛋类产品的《动物防疫条件合格证》，供应商在响应文件中须对此承诺。 （5）豆制类须保证食材干净、不含非食品用化学物质、按统一标准加工、码放整齐、无须二次处理可以直接进行熟加工。 （6）水果类须保证新鲜 ，无农药，无异味，无挤压、虫眼、过熟或欠熟，大小重量匀称等，表面无疤痕，果体光洁饱满。 （7）水产品类须保证鲜活、大小基本统一，水产类净菜须保证处理干净。 （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（9）调料类须保证色泽正常，具有该品种固有的香味，滋味无异味，油酱均匀的酱体或无结块的粉状固体，封口平整，无破包，夹包，漏包，无污染。 （10）其他须保证食材干净、不含非食品用化学物质、按统一标准加工、码放整齐、无须二次处理可以直接进行熟加工。牛奶，小食品，须保证规格品种完全符合采购人要求，大小包装规格齐全、生产日期须在保质期二分之一天之内，凭出厂合格证与检验员章确认质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为系统自带格式，实际付款按月据实结算。每年结算总额不得超过项目当年采购预算及最高限价。双方以每日经甲方收货人签字验收的供货单作为结算依据，次月15日前乙方凭上月结算单开具上月增值税发票后送至甲方，最终付款时间以实际到账时间为准，若遇年终预决算等特殊原因，延期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 2、甲乙双方必须遵守本合同并执行合同中的各项规定，保证本合同的正常履行。 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4、未按合同要求提供服务或质量不能满足技术要求，甲方有权终止合同并对乙方违约行为进行追究，同时按政府采购法的有关规定进行相应的处罚。 5、甲乙双方如因为其他原因要解除合约，应提前一个月通知对方，如有一方违反 将补偿对方一个月服务费，同时按照相关法律法规承担相应处罚。 6、乙方不认真履行合同条款或因其它理由突然终止合同，视为乙方单方违约，甲方即废除同乙方合同，乙方须赔偿甲方当月服务费。 7、甲方无正当理由拒付乙方服务费或无故拖欠服务费一个月以上时，乙方有权单方解除合同并撤回派驻人员。甲方须承担追加一个月服务费违约金；如因财政审批原因，导致甲方赤焰付款的，不算甲方违约，乙方无权要求甲方支付违约金。 8、乙方在工作中故意或疏忽而出现的责任事故因乙方原因造成他人人身伤害、财产损失及严重损失甲方声誉的，每出现一次，乙方除承担相关赔偿责任，甲方有权单方面解除本合同。 9、乙方人员违反合同所约定之义务，影响合同约定区域的安全或导致甲方其他方面损害，经甲方书面警告仍无整改，甲方有权单方面终止合同，而无须承担任何责任。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1、服务范围：机关食堂蔬菜副食辅材等配送服务（2026）。 2、服务标准：合格（符合国家（行业）强制性标准及采购人要求）。 3、供应商所报的价格应考虑到可能发生的所有与完成本项目相关服务及履行合同义务有关的一切费用，任何有选择的报价将不予接受，按无效磋商处理。 4、本项目所属行业为：批发业。根据《工业和信息化部、国家统计局、国家发展和改革委员会、财政部关于印发中小企业划型标准规定的通知》《工信部联企业(2011)300 号)规定的划分标准,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5、成交供应商在领取成交通知书前，需向采购代理机构提交加盖公章的纸质版响应文件三套，成交供应商应保持响应文件纸质版内容与系统上传内容完全一致，否则将承担一切法律责任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供应商可提供2024年或2025年具有财务审计资质单位出具的完整财务报告（审计报告应当具有“赋码查验”功能）；或提供响应文件截止时间前六个月内其基本账户开户银行出具的资信证明（附基本存款账户信息）；以上形式的材料提供任何一种即可；供应商注册时间截至响应文件提交截止日不足一年的，可提供成立后任意时段的资产负债表。供应商需在项目电子化交易系统中按要求上传相应证明文件并进行电子签章。 3.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5.无重大违法记录声明：参加政府采购活动前3年内在经营活动中没有重大违法记录的书面声明。供应商需在项目电子化交易系统中按要求填写《响应函》完成承诺并进行电子签章。 6.履约能力承诺：提交具有履行合同所必需的设备和专业技术能力的承诺函。供应商需在项目电子化交易系统中按要求填写《响应函》完成承诺并进行电子签章。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供应商针对本项目特点，结合采购人需求，提出完整、合理有针对性的总体服务方案，内容包括： ①项目理解与重难点分析（2.5分） ②服务方案（2.5分） ③进度计划（2.5分） ④服务质量保障措施（2.5分） 内容全面、符合项目实际情况、与采购需求结合紧密、能够保障项目顺利实施的得10分。 以上①-④项每缺漏1项扣2.5分，各项内容中每有一处缺陷的扣0.5分，扣完为止。 （“缺陷 ”是指内容不完整或缺少关键点；非专门针对本项目或不适用本项目特性、套用其他项目内容；存在逻辑漏洞、科学原理或常识错误；不利于本项目实施 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供应商针对本项目特点，结合采购人需求，提出完整、合理有针对性的配送方案，内容包括： ①食材配送方案（4分） ②配送路线与车辆调配方案（4分） ③应急配送方案（4分） 内容全面、符合项目实际情况、与服务需求结合紧密、能够保障项目顺利实施的得12分。 以上①-③项每缺漏1项扣4分，各项内容中每有一处缺陷的扣0.5分，扣完为止。 （“缺陷 ”是指内容不完整或缺少关键点；非专门针对本项目或不适用本项目特性、套用其他项目内容；存在逻辑漏洞、科学原理或常识错误；不利于本项目实施等任意一种情形）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食材安全</w:t>
            </w:r>
          </w:p>
        </w:tc>
        <w:tc>
          <w:tcPr>
            <w:tcW w:type="dxa" w:w="2492"/>
          </w:tcPr>
          <w:p>
            <w:pPr>
              <w:pStyle w:val="null3"/>
            </w:pPr>
            <w:r>
              <w:rPr>
                <w:rFonts w:ascii="仿宋_GB2312" w:hAnsi="仿宋_GB2312" w:cs="仿宋_GB2312" w:eastAsia="仿宋_GB2312"/>
              </w:rPr>
              <w:t>供应商针对本项目特点，结合采购人需求，提出完整、合理有针对性的食材安全及质量保证措施，内容包括： ①食材安全管理制度及保障措施（4分） ②食品质量管理制度及保障措施（4分） ③突发食品安全及质量事件的处理措施（4分） 内容全面、符合项目实际情况、与服务需求结合紧密、能够保障项目顺利实施的得12分。 以上①-③项每缺漏1项扣4分，各项内容中每有一处缺陷的扣0.5分，扣完为止。 （“缺陷 ”是指内容不完整或缺少关键点；非专门针对本项目或不适用本项目特性、套用其他项目内容；存在逻辑漏洞、科学原理或常识错误；不利于本项目实施等任意一种情形）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供应商针对本项目特点，结合采购人需求，提出完整、合理有针对性的项目管理制度，内容包括： ①组织架构（2分） ②规章制度及职责分工（2分） ③监督机制（2分） 内容全面、符合项目实际情况、与服务需求结合紧密、能够保障项目顺利实施的得6分。 以上①-③项每缺漏1项扣2分，各项内容中每有一处缺陷的扣0.5分，扣完为止。 （“缺陷 ”是指内容不完整或缺少关键点；非专门针对本项目或不适用本项目特性、套用其他项目内容；存在逻辑漏洞、科学原理或常识错误；不利于本项目实施等任意一种情形）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供应商拟投入配送车辆： 冷链车辆数量（3分）：提供冷链车辆相关证明（自有车辆提供行驶证，租赁第三方提供租赁协议及对应车辆行驶证及相对应车辆照片 ），数量≥2辆得3分 ；仅 1 辆车得 1分 ；无冷链车或未提供有效证明的，得 0 分。 2.厢式货运车数量（3分）：明确提供厢式货运车相关证明（自有车辆提供行驶证 ，租赁第三方提供租赁协议及对应车辆行驶证及相对应车辆照片） ，数量≥2 辆得 3分；仅 1 辆车得 1 分；无厢式货运车或未提供有效证明的，得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1.冷库仓储（3 分） 冷库仓储面积：提供明确的产权证明或租赁协议，明确标注冷库具体面积， ≥500 平方米得 3 分； 300-499 平方米得 2 分；100-299 平方米得 1 分；&lt; 100 平方米或未明确面积的，得 0 分。 注 ：提供冷库的产权证明或租赁协议等 2.周转库（3 分） 周转库面积：提供明确的产权证明或租赁协议，明确标注具体面积，≥500 平方米得 3 分； 300-499 平方米得 2 分；100-299 平方米得 1 分；&lt; 100 平方米或未明确面积的，得 0 分。 注 ：提供周转库的产权证明或租赁协议等。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能提供本项目采购内容合法来源渠道证明文件，每提供一类产品的合法来源渠道证明文件得 1分，满分 6分；未提供不得分。 注：以进货合同或授权协议为计分依据，未提供得0分。提供相关证明材料。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加工设备</w:t>
            </w:r>
          </w:p>
        </w:tc>
        <w:tc>
          <w:tcPr>
            <w:tcW w:type="dxa" w:w="2492"/>
          </w:tcPr>
          <w:p>
            <w:pPr>
              <w:pStyle w:val="null3"/>
            </w:pPr>
            <w:r>
              <w:rPr>
                <w:rFonts w:ascii="仿宋_GB2312" w:hAnsi="仿宋_GB2312" w:cs="仿宋_GB2312" w:eastAsia="仿宋_GB2312"/>
              </w:rPr>
              <w:t>加工设备（种类）：（6分） 提供满5类得3分，以此为基础，每增加 1类加1分，满分6 分。 注：自有的提供购买合同或购买发票，第三方租赁的提供租赁协议。未提供得0分。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针对本项目明确配送负责人，除配送负责人外配备2 名配送人员得 3 分，以此为基础，每增加 1 人加1 分，满分7分。 注：以上人员需提供身份证及健康证。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供应商针对本项目特点，结合采购人需求，提供书面服务承诺（格式不限），内容包括： ①对服务期内所提供产品食品安全、质量方面的服务承诺（3分） ②服务响应时间承诺（3分） ③食材退换货承诺（3分） 以上①-③每项承诺3分，满分9分，未提供不得分。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年1月1日起至今类似业绩证明材料，时间以合同签订日期为准，每提供一项业绩得 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价格分采用低价优先法计算，即满足磋商文件要求且最终下浮率最高的报价为评审基准价，其磋商报价为满分。其他供应商的价格分统一按照下列公式计算：磋商报价得分=（1-评审基准价）/（1-下浮率）×15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