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版本号：HSGJ2026-16020260710001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地质公园整改资料编制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HSGJ2026-160</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地质公园整改资料编制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HSGJ2026-160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地质公园整改资料编制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地质公园整改资料编制，具体内容详见第三章。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采购包1（地质公园整改资料编制）：属于专门面向中小企业采购。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1、有效的主体资格证明：提供具有独立承担民事责任能力的法人、其他组织或自然人，并出具合法有效的相关证明材料</w:t>
      </w:r>
    </w:p>
    <w:p>
      <w:pPr>
        <w:pStyle w:val="null3"/>
      </w:pPr>
      <w:r>
        <w:rPr>
          <w:rFonts w:ascii="仿宋_GB2312" w:hAnsi="仿宋_GB2312" w:cs="仿宋_GB2312" w:eastAsia="仿宋_GB2312"/>
        </w:rPr>
        <w:t>2、财务状况证明：提供经审计的2025年度完整有效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3、税收缴纳证明：提供2026年1月1日至今已缴纳任意一个月的纳税证明或完税证明（任意税种），依法免税的单位应提供相关证明材料。</w:t>
      </w:r>
    </w:p>
    <w:p>
      <w:pPr>
        <w:pStyle w:val="null3"/>
      </w:pPr>
      <w:r>
        <w:rPr>
          <w:rFonts w:ascii="仿宋_GB2312" w:hAnsi="仿宋_GB2312" w:cs="仿宋_GB2312" w:eastAsia="仿宋_GB2312"/>
        </w:rPr>
        <w:t>4、社会保障资金缴纳证明：提供2026年1月1日至今已缴纳任意一个月的社会保障资金缴存单据或社保机构开具的社会保险参保缴费情况证明，依法不需要缴纳社会保障资金的单位应提供相关证明材料。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5、无重大违法记录声明：参加政府采购活动前三年内，在经营活动中没有重大违法记录的书面声明（成立时间至提交响应文件截止时间不足三年的可提供成立至今的书面声明）。</w:t>
      </w:r>
    </w:p>
    <w:p>
      <w:pPr>
        <w:pStyle w:val="null3"/>
      </w:pPr>
      <w:r>
        <w:rPr>
          <w:rFonts w:ascii="仿宋_GB2312" w:hAnsi="仿宋_GB2312" w:cs="仿宋_GB2312" w:eastAsia="仿宋_GB2312"/>
        </w:rPr>
        <w:t>6、专业技术能力证明：提供具有履行合同所必需的设备和专业技术能力的承诺。</w:t>
      </w:r>
    </w:p>
    <w:p>
      <w:pPr>
        <w:pStyle w:val="null3"/>
      </w:pPr>
      <w:r>
        <w:rPr>
          <w:rFonts w:ascii="仿宋_GB2312" w:hAnsi="仿宋_GB2312" w:cs="仿宋_GB2312" w:eastAsia="仿宋_GB2312"/>
        </w:rPr>
        <w:t>7、法定代表人委托授权书\身份证明：法定代表人委托授权书\身份证明：法定代表人授权书及被授权人身份证（法定代表人直接参加磋商的须提供其法定代表人身份证），非法人单位参照执行。法定代表人授权代表参加磋商的，须出具法定代表人授权书及授权代表身份证。</w:t>
      </w:r>
    </w:p>
    <w:p>
      <w:pPr>
        <w:pStyle w:val="null3"/>
      </w:pPr>
      <w:r>
        <w:rPr>
          <w:rFonts w:ascii="仿宋_GB2312" w:hAnsi="仿宋_GB2312" w:cs="仿宋_GB2312" w:eastAsia="仿宋_GB2312"/>
        </w:rPr>
        <w:t>8、信用查询：供应商不得为“信用中国(www.creditchina.gov.cn)”中列入失信被执行人和重大税收违法案件当事人名单的供应商，不得为“中国政府采购网(www.ccgp.gov.cn)”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中小企业声明函：本项目专门面向中小微企业采购，须符合《政府采购促进中小企业发展管理办法》（财库〔2020〕46号）规定的中小微企业参加，符合要求的监狱企业或残疾人福利单位视同小微企业，并按要求提供声明函。</w:t>
      </w:r>
    </w:p>
    <w:p>
      <w:pPr>
        <w:pStyle w:val="null3"/>
      </w:pPr>
      <w:r>
        <w:rPr>
          <w:rFonts w:ascii="仿宋_GB2312" w:hAnsi="仿宋_GB2312" w:cs="仿宋_GB2312" w:eastAsia="仿宋_GB2312"/>
        </w:rPr>
        <w:t>11、联合体情况：本项目不接受联合体投标。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西安市长安区关中环线子午段2345号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029-84266178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曹美奇、付越豪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采购包1：1,372,000.00元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 银行户名：华晟国际项目管理有限公司 开户银行：建设银行西安劳动路支行 账 号：610501 740015 00000 427 转账事由：HSGJ2026-160 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1、完成合同约定的工作后，按照成交供应商所提供的资料进行验收； 2、最终验收：自合同签订之日起至完成全部项目内容，需按照采购人确定的时间完成交付并验收合格，验收合格后，填写验收单。 3.验收依据： （1）合同文本。 （2）磋商响应文件、磋商文件、澄清函。 （3）国家和行业制定的相应的标准和规范。 4.验收和评价方式： 乙方提供的服务最终验收达不到磋商文件要求和磋商响应文件承诺及国家或行业标准，或在使用中发现甲方不能容忍的缺陷等，将视为验收不合格，乙方应在甲方要求的时间内无条件完善或要求赔付采购人损失。 5.若发现乙方有弄虚作假的，及在项目实施阶段故意或随意夸大服务，本项目合同解除，乙方赔偿甲方相应的损失。 6. 验收标准：按磋商文件、磋商响应文件等服务指标进行逐项验收，各项指标均应符合验收标准及要求。 7. 验收合格后，填写验收单，双方盖章、签字生效。</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联系人：曹美奇、付越豪</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编制秦岭终南山世界地质公园范围调整及再评估所需的文字材料与图件，落实上轮再评估提出的整改意见，形成成果报告、文案资料及佐证材料汇编，经国家林草局审核通过后报送联合国教科文组织，确保公园圆满通过再评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1,372,000.00</w:t>
      </w:r>
    </w:p>
    <w:p>
      <w:pPr>
        <w:pStyle w:val="null3"/>
      </w:pPr>
      <w:r>
        <w:rPr>
          <w:rFonts w:ascii="仿宋_GB2312" w:hAnsi="仿宋_GB2312" w:cs="仿宋_GB2312" w:eastAsia="仿宋_GB2312"/>
        </w:rPr>
        <w:t>采购包最高限价（元）: 1,372,000.00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地质公园整改资料编制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1,372,000.00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标的名称：地质公园整改资料编制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b/>
              </w:rPr>
              <w:t>一、项目采购内容：</w:t>
            </w:r>
          </w:p>
          <w:p>
            <w:pPr>
              <w:pStyle w:val="null3"/>
              <w:ind w:firstLine="480"/>
              <w:jc w:val="both"/>
            </w:pPr>
            <w:r>
              <w:rPr>
                <w:rFonts w:ascii="仿宋_GB2312" w:hAnsi="仿宋_GB2312" w:cs="仿宋_GB2312" w:eastAsia="仿宋_GB2312"/>
              </w:rPr>
              <w:t>编制秦岭终南山世界地质公园范围调整及再评估所需的文字材料与图件，落实上轮再评估提出的整改意见，形成成果报告、文案资料及佐证材料汇编，经国家林草局审核通过后报送联合国教科文组织，确保公园圆满通过再评估。</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2"/>
              <w:jc w:val="both"/>
            </w:pPr>
            <w:r>
              <w:rPr>
                <w:rFonts w:ascii="仿宋_GB2312" w:hAnsi="仿宋_GB2312" w:cs="仿宋_GB2312" w:eastAsia="仿宋_GB2312"/>
                <w:b/>
              </w:rPr>
              <w:t>二、项目采购要求</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严格遵循《世界地质公园管理办法》《联合国教科文组织国际地球科学与地质公园计划章程》《联合国教科文组织世界地质公园操作指南》等规定，完成整改成果报告、文案资料及佐证材料汇编，形成申报、再评估系列材料。所有涉及英文的材料须中英文表述一致、专业术语规范，符合官方格式标准及国际评审认知标准。具体任务包括：</w:t>
            </w:r>
          </w:p>
          <w:p>
            <w:pPr>
              <w:pStyle w:val="null3"/>
              <w:ind w:firstLine="480"/>
              <w:jc w:val="both"/>
            </w:pPr>
            <w:r>
              <w:rPr>
                <w:rFonts w:ascii="仿宋_GB2312" w:hAnsi="仿宋_GB2312" w:cs="仿宋_GB2312" w:eastAsia="仿宋_GB2312"/>
              </w:rPr>
              <w:t>1.开展秦岭终南山世界地质公园边界重新划定。</w:t>
            </w:r>
          </w:p>
          <w:p>
            <w:pPr>
              <w:pStyle w:val="null3"/>
              <w:ind w:firstLine="480"/>
              <w:jc w:val="both"/>
            </w:pPr>
            <w:r>
              <w:rPr>
                <w:rFonts w:ascii="仿宋_GB2312" w:hAnsi="仿宋_GB2312" w:cs="仿宋_GB2312" w:eastAsia="仿宋_GB2312"/>
              </w:rPr>
              <w:t>全面梳理公园现有边界与权属范围，结合地质遗迹分布、自然保护地重叠情况、国土空间规划及整改要求，排查边界不合理、范围重叠、管控空白等问题，科学优化并重新划定公园整体边界，明确范围调整区域的四至范围及面积。边界划定数据须精准可溯源，与国土空间矢量数据、地质遗迹调查数据完全匹配，无矛盾、错漏。</w:t>
            </w:r>
          </w:p>
          <w:p>
            <w:pPr>
              <w:pStyle w:val="null3"/>
              <w:ind w:firstLine="480"/>
              <w:jc w:val="both"/>
            </w:pPr>
            <w:r>
              <w:rPr>
                <w:rFonts w:ascii="仿宋_GB2312" w:hAnsi="仿宋_GB2312" w:cs="仿宋_GB2312" w:eastAsia="仿宋_GB2312"/>
              </w:rPr>
              <w:t>2.编制公园范围界定说明及图件（中英文）。</w:t>
            </w:r>
          </w:p>
          <w:p>
            <w:pPr>
              <w:pStyle w:val="null3"/>
              <w:ind w:firstLine="480"/>
              <w:jc w:val="both"/>
            </w:pPr>
            <w:r>
              <w:rPr>
                <w:rFonts w:ascii="仿宋_GB2312" w:hAnsi="仿宋_GB2312" w:cs="仿宋_GB2312" w:eastAsia="仿宋_GB2312"/>
              </w:rPr>
              <w:t>基于重新划定的公园边界，编制标准化范围界定文字说明，清晰阐述边界调整的合规性与科学性；配套编制全套中英文专题图件，统一制图标准与图例规范，符合国家林草局报审及联合国教科文组织图文资料标准，可直接用于报送。</w:t>
            </w:r>
          </w:p>
          <w:p>
            <w:pPr>
              <w:pStyle w:val="null3"/>
              <w:ind w:firstLine="480"/>
              <w:jc w:val="both"/>
            </w:pPr>
            <w:r>
              <w:rPr>
                <w:rFonts w:ascii="仿宋_GB2312" w:hAnsi="仿宋_GB2312" w:cs="仿宋_GB2312" w:eastAsia="仿宋_GB2312"/>
              </w:rPr>
              <w:t>3.编写《联合国教科文组织世界地质公园范围调整意向书》（中英文）。</w:t>
            </w:r>
          </w:p>
          <w:p>
            <w:pPr>
              <w:pStyle w:val="null3"/>
              <w:ind w:firstLine="480"/>
              <w:jc w:val="both"/>
            </w:pPr>
            <w:r>
              <w:rPr>
                <w:rFonts w:ascii="仿宋_GB2312" w:hAnsi="仿宋_GB2312" w:cs="仿宋_GB2312" w:eastAsia="仿宋_GB2312"/>
              </w:rPr>
              <w:t>严格按范围调整申请要求，结合秦岭终南山地质资源特色与价值、调增调减基本情况，编制正式意向书，完整说明范围调整背景及理由，精准匹配审核要点。</w:t>
            </w:r>
          </w:p>
          <w:p>
            <w:pPr>
              <w:pStyle w:val="null3"/>
              <w:ind w:firstLine="480"/>
              <w:jc w:val="both"/>
            </w:pPr>
            <w:r>
              <w:rPr>
                <w:rFonts w:ascii="仿宋_GB2312" w:hAnsi="仿宋_GB2312" w:cs="仿宋_GB2312" w:eastAsia="仿宋_GB2312"/>
              </w:rPr>
              <w:t>4.编写《世界地质公园申请书》（中英文）。</w:t>
            </w:r>
          </w:p>
          <w:p>
            <w:pPr>
              <w:pStyle w:val="null3"/>
              <w:ind w:firstLine="480"/>
              <w:jc w:val="both"/>
            </w:pPr>
            <w:r>
              <w:rPr>
                <w:rFonts w:ascii="仿宋_GB2312" w:hAnsi="仿宋_GB2312" w:cs="仿宋_GB2312" w:eastAsia="仿宋_GB2312"/>
              </w:rPr>
              <w:t>依据联合国教科文组织相关规定，结合公园属地管理、资源禀赋、科普教育、地质旅游、可持续发展等核心内容，完整编制正式申请书，全面回应世界地质公园准入及再评估各项指标，解决所有整改问题。申请书须涵盖五大核心模块，逻辑清晰、重点突出，结构完整、内容详实、数据真实可查。</w:t>
            </w:r>
          </w:p>
          <w:p>
            <w:pPr>
              <w:pStyle w:val="null3"/>
              <w:ind w:firstLine="480"/>
              <w:jc w:val="both"/>
            </w:pPr>
            <w:r>
              <w:rPr>
                <w:rFonts w:ascii="仿宋_GB2312" w:hAnsi="仿宋_GB2312" w:cs="仿宋_GB2312" w:eastAsia="仿宋_GB2312"/>
              </w:rPr>
              <w:t>5.编写申请书附件一《自评估文件及支撑材料》（中英文）。</w:t>
            </w:r>
          </w:p>
          <w:p>
            <w:pPr>
              <w:pStyle w:val="null3"/>
              <w:ind w:firstLine="480"/>
              <w:jc w:val="both"/>
            </w:pPr>
            <w:r>
              <w:rPr>
                <w:rFonts w:ascii="仿宋_GB2312" w:hAnsi="仿宋_GB2312" w:cs="仿宋_GB2312" w:eastAsia="仿宋_GB2312"/>
              </w:rPr>
              <w:t>对标《操作指南》七条核心标准，逐项逐条开展自评估打分与情况说明，针对上轮再评估反馈问题及整改薄弱环节重点补充佐证；全面梳理公园保护、管理、科普、科研、社区共建、资金保障等相关资料，分类汇编支撑材料，确保材料齐全、分类清晰、针对性强，完全匹配对应评估指标。</w:t>
            </w:r>
          </w:p>
          <w:p>
            <w:pPr>
              <w:pStyle w:val="null3"/>
              <w:ind w:firstLine="480"/>
              <w:jc w:val="both"/>
            </w:pPr>
            <w:r>
              <w:rPr>
                <w:rFonts w:ascii="仿宋_GB2312" w:hAnsi="仿宋_GB2312" w:cs="仿宋_GB2312" w:eastAsia="仿宋_GB2312"/>
              </w:rPr>
              <w:t>6.编写申请书附件二《教科文组织世界地质公园申请的地质遗迹说明和国际意义的理由》（中英文）。</w:t>
            </w:r>
          </w:p>
          <w:p>
            <w:pPr>
              <w:pStyle w:val="null3"/>
              <w:ind w:firstLine="480"/>
              <w:jc w:val="both"/>
            </w:pPr>
            <w:r>
              <w:rPr>
                <w:rFonts w:ascii="仿宋_GB2312" w:hAnsi="仿宋_GB2312" w:cs="仿宋_GB2312" w:eastAsia="仿宋_GB2312"/>
              </w:rPr>
              <w:t>根据《联合国教科文组织世界地质公园申报中地质遗迹国际重要性评估指南》，系统梳理秦岭终南山核心地质遗迹资源，重点阐述其稀缺性、典型性、完整性、科研价值及全球对比意义；结合范围调整区域新增地质遗迹资源，论证公园整体地质资源的国际代表性、保护价值及申报合规性。论证须科学严谨，精准支撑公园达到世界地质公园对地质遗迹重要性评估要求及范围调整价值；系统列出支撑国际价值地质遗迹的主要地球科学领域参考书目。</w:t>
            </w:r>
          </w:p>
          <w:p>
            <w:pPr>
              <w:pStyle w:val="null3"/>
              <w:ind w:firstLine="480"/>
              <w:jc w:val="both"/>
            </w:pPr>
            <w:r>
              <w:rPr>
                <w:rFonts w:ascii="仿宋_GB2312" w:hAnsi="仿宋_GB2312" w:cs="仿宋_GB2312" w:eastAsia="仿宋_GB2312"/>
              </w:rPr>
              <w:t>7.编写《世界地质公园范围调整论证报告》及附图。</w:t>
            </w:r>
          </w:p>
          <w:p>
            <w:pPr>
              <w:pStyle w:val="null3"/>
              <w:ind w:firstLine="480"/>
              <w:jc w:val="both"/>
            </w:pPr>
            <w:r>
              <w:rPr>
                <w:rFonts w:ascii="仿宋_GB2312" w:hAnsi="仿宋_GB2312" w:cs="仿宋_GB2312" w:eastAsia="仿宋_GB2312"/>
              </w:rPr>
              <w:t>结合公园发展现状、整改要求、地质遗迹保护需求、国土空间管控要求及区域发展规划，系统论证本次边界调整及范围调整的必要性、可行性、合规性；分析范围调整对生态保护、地质遗迹管护、科普教育、社区发展的积极影响，预判潜在风险并制定管控措施。报告须论证充分、数据详实、逻辑闭环，全面满足范围调整审核核心要点；附图须精准匹配报告内容，图层完整、标注清晰、符合报审制图规范，可直接用于资料报送及官方审核。</w:t>
            </w:r>
          </w:p>
          <w:p>
            <w:pPr>
              <w:pStyle w:val="null3"/>
              <w:ind w:firstLine="480"/>
              <w:jc w:val="both"/>
            </w:pPr>
            <w:r>
              <w:rPr>
                <w:rFonts w:ascii="仿宋_GB2312" w:hAnsi="仿宋_GB2312" w:cs="仿宋_GB2312" w:eastAsia="仿宋_GB2312"/>
              </w:rPr>
              <w:t>8.编写《联合国教科文组织世界地质公园再评估进展报告》（中英文）。</w:t>
            </w:r>
          </w:p>
          <w:p>
            <w:pPr>
              <w:pStyle w:val="null3"/>
              <w:ind w:firstLine="480"/>
              <w:jc w:val="both"/>
            </w:pPr>
            <w:r>
              <w:rPr>
                <w:rFonts w:ascii="仿宋_GB2312" w:hAnsi="仿宋_GB2312" w:cs="仿宋_GB2312" w:eastAsia="仿宋_GB2312"/>
              </w:rPr>
              <w:t>严格遵循联合国教科文组织官方模板，以事实与核心数据为依据，采用高度概括方式（详细内容以附件补充），全面涵盖基本信息、申报文件、区域地图、上一轮评估建议改进情况、评估标准落实等六大板块及指定内容，并反映公园其他进展。重点细化阐述“上一轮评估建议改进落实情况”与“评估标准执行情况”，为顺利通过再评估提供依据。</w:t>
            </w:r>
          </w:p>
          <w:p>
            <w:pPr>
              <w:pStyle w:val="null3"/>
              <w:ind w:firstLine="480"/>
              <w:jc w:val="both"/>
            </w:pPr>
            <w:r>
              <w:rPr>
                <w:rFonts w:ascii="仿宋_GB2312" w:hAnsi="仿宋_GB2312" w:cs="仿宋_GB2312" w:eastAsia="仿宋_GB2312"/>
              </w:rPr>
              <w:t>9.编写《进展评估表及支撑材料》（中英文）。</w:t>
            </w:r>
          </w:p>
          <w:p>
            <w:pPr>
              <w:pStyle w:val="null3"/>
              <w:ind w:firstLine="480"/>
              <w:jc w:val="both"/>
            </w:pPr>
            <w:r>
              <w:rPr>
                <w:rFonts w:ascii="仿宋_GB2312" w:hAnsi="仿宋_GB2312" w:cs="仿宋_GB2312" w:eastAsia="仿宋_GB2312"/>
              </w:rPr>
              <w:t>全面、具体体现公园在六大关键领域（对网络的贡献、管理结构与财务状况、保护战略、战略伙伴合作、市场营销与推广活动、可持续经济发展）的进展情况及公园其他进展。该材料须与《再评估进展报告》内容保持一致、相互呼应，为评估提供完整一致的支撑依据。</w:t>
            </w:r>
          </w:p>
          <w:p>
            <w:pPr>
              <w:pStyle w:val="null3"/>
              <w:ind w:firstLine="480"/>
              <w:jc w:val="both"/>
            </w:pPr>
            <w:r>
              <w:rPr>
                <w:rFonts w:ascii="仿宋_GB2312" w:hAnsi="仿宋_GB2312" w:cs="仿宋_GB2312" w:eastAsia="仿宋_GB2312"/>
              </w:rPr>
              <w:t>10.编制地质遗迹及其他自然人文景观资源分布图、区位关系图、地质图等。</w:t>
            </w:r>
          </w:p>
          <w:p>
            <w:pPr>
              <w:pStyle w:val="null3"/>
              <w:ind w:firstLine="480"/>
              <w:jc w:val="both"/>
            </w:pPr>
            <w:r>
              <w:rPr>
                <w:rFonts w:ascii="仿宋_GB2312" w:hAnsi="仿宋_GB2312" w:cs="仿宋_GB2312" w:eastAsia="仿宋_GB2312"/>
              </w:rPr>
              <w:t>按照国家及联合国教科文组织制图标准，成套编制公园综合图件，包括资源图、遥感影像图、地质简图等。所有图件须严格规范制作，确保信息完整、标准统一、数据精准、标注清晰；全面覆盖再评估及扩园申报图文需求，完整呈现公园资源禀赋、边界范围、保护管控现状，无错绘、漏绘问题；中英文标注按需匹配报审要求。</w:t>
            </w:r>
          </w:p>
          <w:p>
            <w:pPr>
              <w:pStyle w:val="null3"/>
              <w:ind w:firstLine="480"/>
              <w:jc w:val="both"/>
            </w:pPr>
            <w:r>
              <w:rPr>
                <w:rFonts w:ascii="仿宋_GB2312" w:hAnsi="仿宋_GB2312" w:cs="仿宋_GB2312" w:eastAsia="仿宋_GB2312"/>
              </w:rPr>
              <w:t>11.整理再评估实地考核档案材料。</w:t>
            </w:r>
          </w:p>
          <w:p>
            <w:pPr>
              <w:pStyle w:val="null3"/>
              <w:ind w:firstLine="480"/>
              <w:jc w:val="both"/>
            </w:pPr>
            <w:r>
              <w:rPr>
                <w:rFonts w:ascii="仿宋_GB2312" w:hAnsi="仿宋_GB2312" w:cs="仿宋_GB2312" w:eastAsia="仿宋_GB2312"/>
              </w:rPr>
              <w:t>参照再评估要求，依据资料收集规范，系统整理实地考核各类档案材料，建立专属文件夹并分类归档，编制资料目录，以备现场评估专家审查。</w:t>
            </w:r>
          </w:p>
          <w:p>
            <w:pPr>
              <w:pStyle w:val="null3"/>
              <w:ind w:firstLine="480"/>
              <w:jc w:val="both"/>
            </w:pPr>
            <w:r>
              <w:rPr>
                <w:rFonts w:ascii="仿宋_GB2312" w:hAnsi="仿宋_GB2312" w:cs="仿宋_GB2312" w:eastAsia="仿宋_GB2312"/>
              </w:rPr>
              <w:t>12.编写《世界地质公园发展行动计划》。</w:t>
            </w:r>
          </w:p>
          <w:p>
            <w:pPr>
              <w:pStyle w:val="null3"/>
              <w:ind w:firstLine="480"/>
              <w:jc w:val="both"/>
            </w:pPr>
            <w:r>
              <w:rPr>
                <w:rFonts w:ascii="仿宋_GB2312" w:hAnsi="仿宋_GB2312" w:cs="仿宋_GB2312" w:eastAsia="仿宋_GB2312"/>
              </w:rPr>
              <w:t>需涵盖地质遗迹保护、资源调查与监测、解说系统建设、自然教育与地学旅游、地质公园管理与能力建设、社区发展计划、宣传推广、网络交流与合作、资金投入与保障等内容，并与公园范围内的国土空间规划和各类自然保护地规划等相衔接。</w:t>
            </w:r>
          </w:p>
          <w:p>
            <w:pPr>
              <w:pStyle w:val="null3"/>
              <w:ind w:firstLine="480"/>
              <w:jc w:val="both"/>
            </w:pPr>
            <w:r>
              <w:rPr>
                <w:rFonts w:ascii="仿宋_GB2312" w:hAnsi="仿宋_GB2312" w:cs="仿宋_GB2312" w:eastAsia="仿宋_GB2312"/>
              </w:rPr>
              <w:t>13.编写《世界地质公园合作伙伴遴选指南》，并完成合作伙伴遴选和体系建设。</w:t>
            </w:r>
          </w:p>
          <w:p>
            <w:pPr>
              <w:pStyle w:val="null3"/>
              <w:ind w:firstLine="480"/>
              <w:jc w:val="both"/>
            </w:pPr>
            <w:r>
              <w:rPr>
                <w:rFonts w:ascii="仿宋_GB2312" w:hAnsi="仿宋_GB2312" w:cs="仿宋_GB2312" w:eastAsia="仿宋_GB2312"/>
              </w:rPr>
              <w:t>需拟定合法合规、科学合理的遴选原则；针对不同行业参选对象明确差异化资格条件；制定量化评估指标供逐项评分等。</w:t>
            </w:r>
          </w:p>
          <w:p>
            <w:pPr>
              <w:pStyle w:val="null3"/>
              <w:ind w:firstLine="480"/>
              <w:jc w:val="both"/>
            </w:pPr>
            <w:r>
              <w:rPr>
                <w:rFonts w:ascii="仿宋_GB2312" w:hAnsi="仿宋_GB2312" w:cs="仿宋_GB2312" w:eastAsia="仿宋_GB2312"/>
              </w:rPr>
              <w:t>14.编写《申报摘要总结》（中英文）。</w:t>
            </w:r>
          </w:p>
          <w:p>
            <w:pPr>
              <w:pStyle w:val="null3"/>
              <w:ind w:firstLine="480"/>
              <w:jc w:val="both"/>
            </w:pPr>
            <w:r>
              <w:rPr>
                <w:rFonts w:ascii="仿宋_GB2312" w:hAnsi="仿宋_GB2312" w:cs="仿宋_GB2312" w:eastAsia="仿宋_GB2312"/>
              </w:rPr>
              <w:t>系统梳理公园自然和人文地理情况，突出国际意义的地质特征，体现世界地质公园核心优势。</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2"/>
              <w:jc w:val="both"/>
            </w:pPr>
            <w:r>
              <w:rPr>
                <w:rFonts w:ascii="仿宋_GB2312" w:hAnsi="仿宋_GB2312" w:cs="仿宋_GB2312" w:eastAsia="仿宋_GB2312"/>
                <w:b/>
              </w:rPr>
              <w:t>三、商务要求</w:t>
            </w:r>
          </w:p>
          <w:p>
            <w:pPr>
              <w:pStyle w:val="null3"/>
              <w:ind w:firstLine="480"/>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）项目周期：</w:t>
            </w:r>
            <w:r>
              <w:rPr>
                <w:rFonts w:ascii="仿宋_GB2312" w:hAnsi="仿宋_GB2312" w:cs="仿宋_GB2312" w:eastAsia="仿宋_GB2312"/>
              </w:rPr>
              <w:t>自合同签订之日起，至2026年12月31日前完成。</w:t>
            </w:r>
          </w:p>
          <w:p>
            <w:pPr>
              <w:pStyle w:val="null3"/>
              <w:ind w:firstLine="480"/>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rPr>
              <w:t>）付款计划：服务费用分三次支付。合同签订后7日内付款40%；成果提交后，经甲方验收通过后付款30%；再评估通过结果公布后付款30%。</w:t>
            </w:r>
          </w:p>
          <w:p>
            <w:pPr>
              <w:pStyle w:val="null3"/>
            </w:pPr>
            <w:r>
              <w:rPr>
                <w:rFonts w:ascii="仿宋_GB2312" w:hAnsi="仿宋_GB2312" w:cs="仿宋_GB2312" w:eastAsia="仿宋_GB2312"/>
              </w:rPr>
              <w:t xml:space="preserve">    （三）验收条件：完成合同约定的各类事项。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1、完成合同约定的工作后，按照成交供应商所提供的资料进行验收； 2、最终验收：自合同签订之日起至完成全部项目内容，需按照采购人确定的时间完成交付并验收合格，验收合格后，填写验收单。 3.验收依据： （1）合同文本。 （2）磋商响应文件、磋商文件、澄清函。 （3）国家和行业制定的相应的标准和规范。 4.验收和评价方式： 乙方提供的服务最终验收达不到磋商文件要求和磋商响应文件承诺及国家或行业标准，或在使用中发现甲方不能容忍的缺陷等，将视为验收不合格，乙方应在甲方要求的时间内无条件完善或要求赔付采购人损失。 5.若发现乙方有弄虚作假的，及在项目实施阶段故意或随意夸大服务，本项目合同解除，乙方赔偿甲方相应的损失。 6. 验收标准：按磋商文件、磋商响应文件等服务指标进行逐项验收，各项指标均应符合验收标准及要求。 7. 验收合格后，填写验收单，双方盖章、签字生效。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进度款，成果提交后，经甲方验收通过后付款，达到付款条件起7个工作日内，支付合同总金额的30.0%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进度款，再评估通过结果公布后付款，达到付款条件起7个工作日内，支付合同总金额的30.0%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合同要求提供服务或服务质量不能满足合同要求，甲方应当将供应商违约的情况以及拟采取的措施以书面形式报政府采购监管部门，根据政府采购监管部门的处理意见，甲方有权依据《民法典》有关条款及合同约定解除合同，乙方应向甲方支付合同总价款30%的违约金。同时，政府采购监管部门有权依据《政府采购法》及相关法律法规对乙方的违法行为进行相应的处罚。 3、乙方提供的服务不符合本项目相关文件和本合同规定的，甲方有权单方解除合同，并且乙方须向甲方支付本合同总价款30%的违约金。 4、乙方未能按照本合同约定时间提供服务或完成约定的项目服务内容的，从逾期之日起每日按本合同总价款0.05%的数额向甲方支付违约金；逾期90日以上的，甲方有权终止合同，由此造成的甲方经济损失由乙方承担。 5、主要技术指标未达标视为根本违约，甲方有权扣减50%合同价款。 6、供应商违反保密义务或侵犯他人权利造成采购人损失的，应承担全部法律责任并赔偿甲方因此遭受的全部损失。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根据《陕西省财政厅关于规范政府采购项目评审主观分赋分有关事项的通知》陕财办采函[2026]10号第二条强化评审专家赋分说明及核实义务，内容如下： 采购人、采购代理机构应严格按照《财政部关于进一步规范政府采购评审工作有关问题的通知》(财库[2012]69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 1.主观分总分值在15分以下的，评审专家主观分评分偏离全体评委对应主观分平均分20%以上(含本数); 2.主观分总分值在15分(含)至30分的，评审专家主观分评分偏离全体评委对应主观分平均分15%以上(含本数); 3.主观分总分值在30分(含)以上的，评审专家主观分评分偏离全体评委对应主观分平均分10%以上(含本数)。 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 如评审专家未确认属于畸高、畸低情形且未提供充分、合理理由，对该评审专家不予支付评审劳务报酬。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提供具有独立承担民事责任能力的法人、其他组织或自然人，并出具合法有效的相关证明材料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审计的2025年度完整有效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在注册会计师行业统一监管平台备案赋码）或在开标日期前六个月内其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提供2026年1月1日至今已缴纳任意一个月的纳税证明或完税证明（任意税种），依法免税的单位应提供相关证明材料。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提供2026年1月1日至今已缴纳任意一个月的社会保障资金缴存单据或社保机构开具的社会保险参保缴费情况证明，依法不需要缴纳社会保障资金的单位应提供相关证明材料。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参加政府采购活动前三年内，在经营活动中没有重大违法记录的书面声明（成立时间至提交响应文件截止时间不足三年的可提供成立至今的书面声明）。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法定代表人委托授权书\身份证明：法定代表人授权书及被授权人身份证（法定代表人直接参加磋商的须提供其法定代表人身份证），非法人单位参照执行。法定代表人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政府采购严重违法失信行为记录名单中被财政部门禁止参加政府采购活动的供应商（采购代理机构查询时限为响应文件递交截止之日）。</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本项目专门面向中小微企业采购，须符合《政府采购促进中小企业发展管理办法》（财库〔2020〕46号）规定的中小微企业参加，符合要求的监狱企业或残疾人福利单位视同小微企业，并按要求提供声明函。</w:t>
            </w:r>
          </w:p>
        </w:tc>
        <w:tc>
          <w:tcPr>
            <w:tcW w:type="dxa" w:w="1661"/>
          </w:tcPr>
          <w:p>
            <w:pPr>
              <w:pStyle w:val="null3"/>
            </w:pPr>
            <w:r>
              <w:rPr>
                <w:rFonts w:ascii="仿宋_GB2312" w:hAnsi="仿宋_GB2312" w:cs="仿宋_GB2312" w:eastAsia="仿宋_GB2312"/>
              </w:rPr>
              <w:t>资格证明文件 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联合体情况</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 分项报价明细表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响应文件封面 商务偏离表 中小企业声明函 响应函 服务需求响应表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资格证明文件 商务偏离表 残疾人福利性单位声明函 磋商响应单位承诺书 中小企业声明函 磋商响应方案 标的清单 分项报价明细表 响应函 监狱企业的证明文件 服务需求响应表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资格证明文件 商务偏离表 中小企业声明函 磋商响应单位承诺书 残疾人福利性单位声明函 磋商响应方案 响应函 监狱企业的证明文件 服务需求响应表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报价未超过磋商文件中规定的（采购预算）最高限价的。</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提供2023年1月1日以来（以合同签订时间为准）类似项目业绩每一项得3分，未提供的不得分。本项最高得分18分。 注：提供合同等证明材料复印件加盖公章，否则不得分。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1、项目负责人：拟派本项目负责人具备地质相关专业正高级职称的得4分，副高级职称得3分，中级职称得2分，本项最多得4分。 2、技术负责人：拟派本项目技术负责人具备地质相关专业正高级职称的得4分，副高级得3分，中级得2分，本项最多得4分。 3、项目组其他人员（除项目负责人、技术负责人）： 拟派本项目团队其他人员中具备地质类相关专业中级及以上职称的，每有一名得1分，最多得10分； 注：需提供相关证书证明材料复印件并加盖公章，否则不得分。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需求响应情况</w:t>
            </w:r>
          </w:p>
        </w:tc>
        <w:tc>
          <w:tcPr>
            <w:tcW w:type="dxa" w:w="2492"/>
          </w:tcPr>
          <w:p>
            <w:pPr>
              <w:pStyle w:val="null3"/>
            </w:pPr>
            <w:r>
              <w:rPr>
                <w:rFonts w:ascii="仿宋_GB2312" w:hAnsi="仿宋_GB2312" w:cs="仿宋_GB2312" w:eastAsia="仿宋_GB2312"/>
              </w:rPr>
              <w:t>根据各供应商所提供的《服务内容及服务要求应答表》，对照磋商⽂件“第三章 招标项⽬技术、服务、商务及其他要求”中“3.2.2 项目采购要求”由磋商小组进⾏评分，全部满⾜磋商⽂件要求的得14分，每负偏离⼀项扣1分，（共计14项），满分14分，正偏离不加分。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项目背景分析</w:t>
            </w:r>
          </w:p>
        </w:tc>
        <w:tc>
          <w:tcPr>
            <w:tcW w:type="dxa" w:w="2492"/>
          </w:tcPr>
          <w:p>
            <w:pPr>
              <w:pStyle w:val="null3"/>
            </w:pPr>
            <w:r>
              <w:rPr>
                <w:rFonts w:ascii="仿宋_GB2312" w:hAnsi="仿宋_GB2312" w:cs="仿宋_GB2312" w:eastAsia="仿宋_GB2312"/>
              </w:rPr>
              <w:t>供应商针对本项目特点制定详细的项目背景分析,包含： ①项目背景分析； ②公园基本概况； ③公园建设发展历史与现状分析； ④公园存在问题分析及解决对策。 以上因素每实质性响应一项得3分，满分12分，上述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未实质性响应或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技术路线与工作方法</w:t>
            </w:r>
          </w:p>
        </w:tc>
        <w:tc>
          <w:tcPr>
            <w:tcW w:type="dxa" w:w="2492"/>
          </w:tcPr>
          <w:p>
            <w:pPr>
              <w:pStyle w:val="null3"/>
            </w:pPr>
            <w:r>
              <w:rPr>
                <w:rFonts w:ascii="仿宋_GB2312" w:hAnsi="仿宋_GB2312" w:cs="仿宋_GB2312" w:eastAsia="仿宋_GB2312"/>
              </w:rPr>
              <w:t>供应商针对本项目特点制定详细的技术路线与工作方法，包含： ①工作技术路线； ②工作内容； ③工作方法； ④提交成果。 以上因素每实质性响应一项得2分，满分8分，上述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未实质性响应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工作部署方案</w:t>
            </w:r>
          </w:p>
        </w:tc>
        <w:tc>
          <w:tcPr>
            <w:tcW w:type="dxa" w:w="2492"/>
          </w:tcPr>
          <w:p>
            <w:pPr>
              <w:pStyle w:val="null3"/>
            </w:pPr>
            <w:r>
              <w:rPr>
                <w:rFonts w:ascii="仿宋_GB2312" w:hAnsi="仿宋_GB2312" w:cs="仿宋_GB2312" w:eastAsia="仿宋_GB2312"/>
              </w:rPr>
              <w:t>供应商针对本项目特点制定详细的合理的工作部署方案，包含： ①工作部署原则； ②工作部署； ③工作进度与实物工作量安排。 以上因素每实质性响应一项得2分，满分6分，上述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未实质性响应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组织管理措施</w:t>
            </w:r>
          </w:p>
        </w:tc>
        <w:tc>
          <w:tcPr>
            <w:tcW w:type="dxa" w:w="2492"/>
          </w:tcPr>
          <w:p>
            <w:pPr>
              <w:pStyle w:val="null3"/>
            </w:pPr>
            <w:r>
              <w:rPr>
                <w:rFonts w:ascii="仿宋_GB2312" w:hAnsi="仿宋_GB2312" w:cs="仿宋_GB2312" w:eastAsia="仿宋_GB2312"/>
              </w:rPr>
              <w:t>供应商针对本项目特点制定详细的合理的组织管理措施，包含： ①人员组成； ②技术装备配置； ③工作质量保障措施； ④组织保障体系。 以上因素每实质性响应一项得2分，满分8分，上述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未实质性响应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供应商针对本项目特点制定详细的售后服务计划及措施，包括： ①售后服务人员配置； ②售后服务方案； ③资料移交计划。 以上因素每实质性响应一项得2分，满分6分；上述内容有缺陷的每任意一项缺陷扣1分，扣完为止，（缺陷是指：内容不完整或缺少关键点；逻辑混乱、前后表述矛盾；非专门针对本项目或不适用本项目特性、套用其他项目内容；逻辑漏洞、出现常识性错误；不利于本项目目标的实现或存在不可能实现的夸大情形）未实质性响应或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w:t>
      </w:r>
    </w:p>
    <w:p>
      <w:pPr>
        <w:pStyle w:val="null3"/>
        <w:ind w:firstLine="960"/>
      </w:pPr>
      <w:r>
        <w:rPr>
          <w:rFonts w:ascii="仿宋_GB2312" w:hAnsi="仿宋_GB2312" w:cs="仿宋_GB2312" w:eastAsia="仿宋_GB2312"/>
        </w:rPr>
        <w:t>详见附件：服务需求响应表</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详见附件：磋商响应方案</w:t>
      </w:r>
    </w:p>
    <w:p>
      <w:pPr>
        <w:pStyle w:val="null3"/>
        <w:ind w:firstLine="960"/>
      </w:pPr>
      <w:r>
        <w:rPr>
          <w:rFonts w:ascii="仿宋_GB2312" w:hAnsi="仿宋_GB2312" w:cs="仿宋_GB2312" w:eastAsia="仿宋_GB2312"/>
        </w:rPr>
        <w:t>详见附件：磋商响应单位承诺书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详见附件：地质公园整改资料编制--合同.docx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