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版本号：ZYGJ-HZZC-2606.1B120260615002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镇巴县乡镇级集中式饮用水水源地保护项目(二次)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ZYGJ-HZZC-2606.1B1</w:t>
      </w:r>
      <w:r>
        <w:br/>
      </w:r>
      <w:r>
        <w:br/>
      </w:r>
      <w:r>
        <w:br/>
      </w:r>
    </w:p>
    <w:p>
      <w:pPr>
        <w:pStyle w:val="null3"/>
        <w:jc w:val="center"/>
        <w:outlineLvl w:val="2"/>
      </w:pPr>
      <w:r>
        <w:rPr>
          <w:rFonts w:ascii="仿宋_GB2312" w:hAnsi="仿宋_GB2312" w:cs="仿宋_GB2312" w:eastAsia="仿宋_GB2312"/>
          <w:sz w:val="28"/>
          <w:b/>
        </w:rPr>
        <w:t>汉中市生态环境局镇巴分局</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汉中市生态环境局镇巴分局</w:t>
      </w:r>
      <w:r>
        <w:rPr>
          <w:rFonts w:ascii="仿宋_GB2312" w:hAnsi="仿宋_GB2312" w:cs="仿宋_GB2312" w:eastAsia="仿宋_GB2312"/>
        </w:rPr>
        <w:t>委托，拟对</w:t>
      </w:r>
      <w:r>
        <w:rPr>
          <w:rFonts w:ascii="仿宋_GB2312" w:hAnsi="仿宋_GB2312" w:cs="仿宋_GB2312" w:eastAsia="仿宋_GB2312"/>
        </w:rPr>
        <w:t>镇巴县乡镇级集中式饮用水水源地保护项目(二次)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ZYGJ-HZZC-2606.1B1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镇巴县乡镇级集中式饮用水水源地保护项目(二次)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新建三格式化粪池50座，设置隔离防护设施20处共计10556m、界标53个、交通警示牌6个、宣传牌23个。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1、企业资质要求：具备水利水电工程施工总承包三级及以上资质或具备市政公用工程施工总承包三级及以上资质，且持有建设行政主管部门颁发的有效安全生产许可证；</w:t>
      </w:r>
    </w:p>
    <w:p>
      <w:pPr>
        <w:pStyle w:val="null3"/>
      </w:pPr>
      <w:r>
        <w:rPr>
          <w:rFonts w:ascii="仿宋_GB2312" w:hAnsi="仿宋_GB2312" w:cs="仿宋_GB2312" w:eastAsia="仿宋_GB2312"/>
        </w:rPr>
        <w:t>2、拟派项目负责人资质要求：拟派项目负责人须具有水利水电工程二级及以上或市政公用工程二级及以上注册建造师执业资格，持有和执业资格对应有效的安全生产考核合格证(B证)，且未担任其他在建工程项目的项目经理。</w:t>
      </w:r>
    </w:p>
    <w:p>
      <w:pPr>
        <w:pStyle w:val="null3"/>
      </w:pPr>
      <w:r>
        <w:rPr>
          <w:rFonts w:ascii="仿宋_GB2312" w:hAnsi="仿宋_GB2312" w:cs="仿宋_GB2312" w:eastAsia="仿宋_GB2312"/>
        </w:rPr>
        <w:t>3、法人或授权委托人：法定代表人直接参加磋商的，须出具法人身份证;法定代表人授权代表参加磋商的，须出具法定代表人授权书及授权代表身份证;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4、财务及信誉要求：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供应商应按照汉中市财政局《关于全面推行政府采购供应商基本资格条件承诺制的通知》(汉采办采管[2024]20号)文件要求，提供资格承诺函;(承诺函模板详见磋商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汉中市生态环境局镇巴分局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陕西省汉中市镇巴县泾洋街道办秦茗街49号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汉中市生态环境局镇巴分局经办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13909167799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刘永旺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开户名称：众赢国际咨询有限责任公司汉中分公司</w:t>
            </w:r>
          </w:p>
          <w:p>
            <w:pPr>
              <w:pStyle w:val="null3"/>
            </w:pPr>
            <w:r>
              <w:rPr>
                <w:rFonts w:ascii="仿宋_GB2312" w:hAnsi="仿宋_GB2312" w:cs="仿宋_GB2312" w:eastAsia="仿宋_GB2312"/>
              </w:rPr>
              <w:t>开户银行：中国建设银行股份有限公司汉中汉台区支行</w:t>
            </w:r>
          </w:p>
          <w:p>
            <w:pPr>
              <w:pStyle w:val="null3"/>
            </w:pPr>
            <w:r>
              <w:rPr>
                <w:rFonts w:ascii="仿宋_GB2312" w:hAnsi="仿宋_GB2312" w:cs="仿宋_GB2312" w:eastAsia="仿宋_GB2312"/>
              </w:rPr>
              <w:t>银行账号：61050165510000001143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 服务费的收取参见国家计委颁布的《招标代理服务收费管 理暂行办法》(计价格[2002]1980号)和(发改办价格 [2011]534号)收费标准，按照成交金额差额定率累进法计算。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汉中市生态环境局镇巴分局</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汉中市生态环境局镇巴分局</w:t>
      </w:r>
      <w:r>
        <w:rPr>
          <w:rFonts w:ascii="仿宋_GB2312" w:hAnsi="仿宋_GB2312" w:cs="仿宋_GB2312" w:eastAsia="仿宋_GB2312"/>
        </w:rPr>
        <w:t>负责解释。除上述磋商文件内容，其他内容由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汉中市生态环境局镇巴分局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招标文件的技术要求、商务要求、供应商的投标文件承诺以及合同约定标准，通过相关部门组织的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联系人：邓琨</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地址：陕西省汉中市汉台区汉中悦景湾门面房4单元2楼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3,220,000.00</w:t>
      </w:r>
    </w:p>
    <w:p>
      <w:pPr>
        <w:pStyle w:val="null3"/>
      </w:pPr>
      <w:r>
        <w:rPr>
          <w:rFonts w:ascii="仿宋_GB2312" w:hAnsi="仿宋_GB2312" w:cs="仿宋_GB2312" w:eastAsia="仿宋_GB2312"/>
        </w:rPr>
        <w:t>采购包最高限价（元）: 3,178,375.61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水源地保护工程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标的名称：水源地保护工程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达到国家相关验收合格标准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施工范围</w:t>
            </w:r>
            <w:r>
              <w:rPr>
                <w:rFonts w:ascii="仿宋_GB2312" w:hAnsi="仿宋_GB2312" w:cs="仿宋_GB2312" w:eastAsia="仿宋_GB2312"/>
                <w:sz w:val="21"/>
              </w:rPr>
              <w:t>：</w:t>
            </w:r>
            <w:r>
              <w:rPr>
                <w:rFonts w:ascii="仿宋_GB2312" w:hAnsi="仿宋_GB2312" w:cs="仿宋_GB2312" w:eastAsia="仿宋_GB2312"/>
                <w:sz w:val="21"/>
              </w:rPr>
              <w:t>工程量清单内所含的全部内容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w:t>
            </w:r>
            <w:r>
              <w:rPr>
                <w:rFonts w:ascii="仿宋_GB2312" w:hAnsi="仿宋_GB2312" w:cs="仿宋_GB2312" w:eastAsia="仿宋_GB2312"/>
                <w:sz w:val="21"/>
              </w:rPr>
              <w:t>90日历天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质量保修范围和保修期：质保期不少于24个月，质保范围为全部施工内容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 4、工程款支付方式：分期付款。 5、合同付款方式： 5.1、付款条件说明：施工合同签订，人员机械进场后，达到付款条件起10日内，支付合同总金额的30.00%。 5.2、付款条件说明：按期完成半程进度计划，达到付款条件起10日内，支付合同总金额的20.00%。 5.3、付款条件说明：竣工验收合格，达到付款条件起10日内，支付合同总金额的30.00%。 5.4、付款条件说明：工程经结算审计结束后，按照结算审计结果支付。达到付款条件起10日内，支付合同总金额的20.00%。 6、支付说明：以上款项支付均在达到支付条件后循序采购人财务规定及流程，以采购人财务账户向成交供应商政府采购网备案合同的银行账户转账支付。 7、合同违约责任与解决争议的方法：因违约或终止合同而引起的损失和损害的赔偿，委托单位与供应商之间应当协商解决;如未能达成一致，协商或调解不成的，根据双方约定提交仲裁，或向项目所在地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如按照汉中市财政局《关于全面推行政府采购供应商基本资格条件承诺制的通知》（汉采办采管〔2024〕20号）文件要求，提供资格承诺函则此项不提供；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具备水利水电工程施工总承包三级及以上资质或具备市政公用工程施工总承包三级及以上资质，且持有建设行政主管部门颁发的有效安全生产许可证；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拟派项目负责人须具有水利水电工程二级及以上或市政公用工程二级及以上注册建造师执业资格，持有和执业资格对应有效的安全生产考核合格证(B证)，且未担任其他在建工程项目的项目经理。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法人或授权委托人</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财务及信誉要求</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供应商应按照汉中市财政局《关于全面推行政府采购供应商基本资格条件承诺制的通知》(汉采办采管[2024]20号)文件要求，提供资格承诺函;(承诺函模板详见磋商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响应文件中未按照磋商文件规定要求签字、盖章的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供应商及项目经理类似项目业绩一览表.docx 强制优先采购产品承诺函 响应文件封面 供应商应提交的相关资格证明材料.docx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投标有效期不足的或无有效期的。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投标报价超过磋商文件中规定的采购预算或最高限价或标的金额的。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不满足磋商文件中实质性条款要求的。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目采购需求、对项目的理解准确、针对性强能有效保障本项目实施得12分；每缺一项扣3分，每一项内容存在缺陷，扣1分，扣完为止。备注:缺陷是指内容①过于简单、内容有缺失。②前后表述不一致。③套用其他项目方案或与项目需求不匹配、凭空编造。④出现常识性错误。⑤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项目团队人员配置方案</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备注:缺陷是指内容①过于简单、内容有缺失。②前后表述不一致。③套用其他项目方案或与项目需求不匹配、凭空编造。④出现常识性错误。⑤其他不利于项目实施的任意一种情形。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备注:缺陷是指内容①过于简单、内容有缺失。②前后表述不一致。③套用其他项目方案或与项目需求不匹配、凭空编造。④出现常识性错误。⑤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①过于简单、内容有缺失。②前后表述不一致。③套用其他项目方案或与项目需求不匹配、凭空编造。④出现常识性错误。⑤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备注:缺陷是指内容①过于简单、内容有缺失。②前后表述不一致。③套用其他项目方案或与项目需求不匹配、凭空编造。④出现常识性错误。⑤其他不利于项目实施的任意一种情形。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①过于简单、内容有缺失。②前后表述不一致。③套用其他项目方案或与项目需求不匹配、凭空编造。④出现常识性错误。⑤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①过于简单、内容有缺失。②前后表述不一致。③套用其他项目方案或与项目需求不匹配、凭空编造。④出现常识性错误。⑤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注：①业绩须是供应商完成的类似项目，提供中标通知书和协议书（合同）扫描件或加盖公章的复印件，并电子签章，否则不作为加分项。②类似业绩指市政公用工程、水利水电工程或环境治理保护工程</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供应商及项目经理类似项目业绩一览表.docx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评审依据：以申请人职称原件的扫描件、加盖公章复印件或电子证件为准；2、具有3年（含）及以上类似工程施工工作经验得2分（以执业资格证或建造师注册证书发证发证时间为准），3年以下的得1分；评审依据：以申请人加盖公章的执业资格证或建造师注册证书发证时间为准；3、至少提供2023年1月1日至今类似业绩证明，得2分。（注：①业绩须是供应商项目经理在本企业完成的类似项目，提供中标通知书和协议书（合同）扫描件或加盖公章的复印件，并电子签章，否则不得分。②类似业绩指市政公用工程、水利水电工程或环境治理保护工程。③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供应商及项目经理类似项目业绩一览表.docx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详见附件：供应商及项目经理类似项目业绩一览表.docx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