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4494F1">
      <w:pPr>
        <w:jc w:val="center"/>
        <w:rPr>
          <w:rFonts w:hint="eastAsia"/>
          <w:sz w:val="40"/>
          <w:szCs w:val="40"/>
          <w:lang w:val="en-US" w:eastAsia="zh-CN"/>
        </w:rPr>
      </w:pPr>
      <w:r>
        <w:rPr>
          <w:rFonts w:hint="eastAsia"/>
          <w:sz w:val="40"/>
          <w:szCs w:val="40"/>
          <w:lang w:val="en-US" w:eastAsia="zh-CN"/>
        </w:rPr>
        <w:t>采购需求</w:t>
      </w:r>
    </w:p>
    <w:p w14:paraId="297D9BBE">
      <w:pPr>
        <w:pStyle w:val="7"/>
        <w:rPr>
          <w:rFonts w:hint="eastAsia" w:eastAsia="仿宋_GB2312"/>
          <w:b w:val="0"/>
          <w:bCs/>
          <w:color w:val="auto"/>
          <w:sz w:val="21"/>
          <w:szCs w:val="21"/>
          <w:highlight w:val="none"/>
          <w:lang w:eastAsia="zh-CN"/>
        </w:rPr>
      </w:pPr>
      <w:r>
        <w:rPr>
          <w:rFonts w:ascii="仿宋_GB2312" w:hAnsi="仿宋_GB2312" w:eastAsia="仿宋_GB2312" w:cs="仿宋_GB2312"/>
          <w:b w:val="0"/>
          <w:bCs/>
          <w:color w:val="auto"/>
          <w:sz w:val="24"/>
          <w:szCs w:val="21"/>
          <w:highlight w:val="none"/>
        </w:rPr>
        <w:t>一、采购内容及技术要求</w:t>
      </w:r>
    </w:p>
    <w:p w14:paraId="4C153DF6">
      <w:pPr>
        <w:pStyle w:val="7"/>
        <w:numPr>
          <w:ilvl w:val="0"/>
          <w:numId w:val="0"/>
        </w:numPr>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1.</w:t>
      </w:r>
      <w:r>
        <w:rPr>
          <w:rFonts w:hint="eastAsia" w:ascii="仿宋" w:hAnsi="仿宋" w:eastAsia="仿宋" w:cs="仿宋"/>
          <w:b w:val="0"/>
          <w:bCs/>
          <w:color w:val="auto"/>
          <w:sz w:val="28"/>
          <w:szCs w:val="28"/>
          <w:highlight w:val="none"/>
          <w:lang w:val="en-US" w:eastAsia="zh-CN" w:bidi="ar-SA"/>
        </w:rPr>
        <w:t>本项目的核心产品为：</w:t>
      </w:r>
      <w:r>
        <w:rPr>
          <w:rFonts w:hint="eastAsia" w:ascii="仿宋" w:hAnsi="仿宋" w:eastAsia="仿宋" w:cs="仿宋"/>
          <w:b w:val="0"/>
          <w:bCs/>
          <w:color w:val="auto"/>
          <w:sz w:val="32"/>
          <w:szCs w:val="32"/>
          <w:highlight w:val="none"/>
          <w:lang w:val="en-US" w:eastAsia="zh-CN" w:bidi="ar-SA"/>
        </w:rPr>
        <w:t>（智慧健康管理系统）</w:t>
      </w:r>
    </w:p>
    <w:p w14:paraId="19E8F7A0">
      <w:pPr>
        <w:rPr>
          <w:rFonts w:hint="eastAsia" w:ascii="仿宋_GB2312" w:hAnsi="仿宋_GB2312" w:eastAsia="仿宋_GB2312" w:cs="仿宋_GB2312"/>
          <w:b w:val="0"/>
          <w:bCs/>
          <w:color w:val="auto"/>
          <w:kern w:val="0"/>
          <w:sz w:val="24"/>
          <w:szCs w:val="21"/>
          <w:highlight w:val="none"/>
          <w:lang w:val="en-US" w:eastAsia="zh-CN" w:bidi="ar-SA"/>
        </w:rPr>
      </w:pPr>
      <w:r>
        <w:rPr>
          <w:rFonts w:hint="eastAsia" w:ascii="仿宋_GB2312" w:hAnsi="仿宋_GB2312" w:eastAsia="仿宋_GB2312" w:cs="仿宋_GB2312"/>
          <w:b w:val="0"/>
          <w:bCs/>
          <w:color w:val="auto"/>
          <w:kern w:val="0"/>
          <w:sz w:val="24"/>
          <w:szCs w:val="21"/>
          <w:highlight w:val="none"/>
          <w:lang w:val="en-US" w:eastAsia="zh-CN" w:bidi="ar-SA"/>
        </w:rPr>
        <w:t>2.成交供应商交付的实物设备功能、性能、参数应与最终响应文件及合同约定一致。</w:t>
      </w:r>
    </w:p>
    <w:p w14:paraId="19DF961F">
      <w:pPr>
        <w:rPr>
          <w:rFonts w:hint="eastAsia" w:ascii="仿宋_GB2312" w:hAnsi="仿宋_GB2312" w:eastAsia="仿宋_GB2312" w:cs="仿宋_GB2312"/>
          <w:b w:val="0"/>
          <w:bCs/>
          <w:color w:val="auto"/>
          <w:kern w:val="0"/>
          <w:sz w:val="24"/>
          <w:szCs w:val="21"/>
          <w:highlight w:val="none"/>
          <w:lang w:val="en-US" w:eastAsia="zh-CN" w:bidi="ar-SA"/>
        </w:rPr>
      </w:pPr>
      <w:r>
        <w:rPr>
          <w:rFonts w:hint="eastAsia" w:ascii="仿宋_GB2312" w:hAnsi="仿宋_GB2312" w:eastAsia="仿宋_GB2312" w:cs="仿宋_GB2312"/>
          <w:b w:val="0"/>
          <w:bCs/>
          <w:color w:val="auto"/>
          <w:kern w:val="0"/>
          <w:sz w:val="24"/>
          <w:szCs w:val="21"/>
          <w:highlight w:val="none"/>
          <w:lang w:val="en-US" w:eastAsia="zh-CN" w:bidi="ar-SA"/>
        </w:rPr>
        <w:t>3.本项目因硬件种类多、软件功能多、需分期分批培训，成交供应商须派1名技术人员，在安装调试、验收及集中培训期间（合计≤60日历天）到场配合。</w:t>
      </w:r>
    </w:p>
    <w:tbl>
      <w:tblPr>
        <w:tblStyle w:val="9"/>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360"/>
        <w:gridCol w:w="585"/>
        <w:gridCol w:w="718"/>
        <w:gridCol w:w="5590"/>
        <w:gridCol w:w="542"/>
        <w:gridCol w:w="517"/>
      </w:tblGrid>
      <w:tr w14:paraId="45C076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vAlign w:val="center"/>
          </w:tcPr>
          <w:p w14:paraId="19DB2275">
            <w:pPr>
              <w:pStyle w:val="8"/>
              <w:spacing w:before="246" w:line="222" w:lineRule="auto"/>
              <w:jc w:val="center"/>
              <w:rPr>
                <w:rFonts w:hint="eastAsia" w:ascii="仿宋_GB2312" w:hAnsi="仿宋_GB2312" w:eastAsia="仿宋_GB2312" w:cs="仿宋_GB2312"/>
                <w:b w:val="0"/>
                <w:bCs w:val="0"/>
                <w:color w:val="auto"/>
                <w:spacing w:val="-11"/>
                <w:highlight w:val="none"/>
                <w:lang w:val="en-US" w:eastAsia="zh-CN"/>
              </w:rPr>
            </w:pPr>
            <w:bookmarkStart w:id="0" w:name="_GoBack"/>
            <w:r>
              <w:rPr>
                <w:rFonts w:hint="eastAsia" w:ascii="仿宋_GB2312" w:hAnsi="仿宋_GB2312" w:eastAsia="仿宋_GB2312" w:cs="仿宋_GB2312"/>
                <w:b w:val="0"/>
                <w:bCs w:val="0"/>
                <w:color w:val="auto"/>
                <w:spacing w:val="-11"/>
                <w:highlight w:val="none"/>
                <w:lang w:val="en-US" w:eastAsia="zh-CN"/>
              </w:rPr>
              <w:t>序号</w:t>
            </w:r>
          </w:p>
        </w:tc>
        <w:tc>
          <w:tcPr>
            <w:tcW w:w="0" w:type="auto"/>
            <w:gridSpan w:val="2"/>
            <w:vAlign w:val="center"/>
          </w:tcPr>
          <w:p w14:paraId="03743893">
            <w:pPr>
              <w:pStyle w:val="8"/>
              <w:spacing w:before="246" w:line="222" w:lineRule="auto"/>
              <w:jc w:val="center"/>
              <w:rPr>
                <w:rFonts w:hint="eastAsia" w:ascii="仿宋_GB2312" w:hAnsi="仿宋_GB2312" w:eastAsia="仿宋_GB2312" w:cs="仿宋_GB2312"/>
                <w:b w:val="0"/>
                <w:bCs w:val="0"/>
                <w:color w:val="auto"/>
                <w:spacing w:val="-6"/>
                <w:highlight w:val="none"/>
                <w:lang w:val="en-US" w:eastAsia="zh-CN"/>
              </w:rPr>
            </w:pPr>
            <w:r>
              <w:rPr>
                <w:rFonts w:hint="eastAsia" w:ascii="仿宋_GB2312" w:hAnsi="仿宋_GB2312" w:eastAsia="仿宋_GB2312" w:cs="仿宋_GB2312"/>
                <w:b w:val="0"/>
                <w:bCs w:val="0"/>
                <w:color w:val="auto"/>
                <w:spacing w:val="-6"/>
                <w:highlight w:val="none"/>
                <w:lang w:val="en-US" w:eastAsia="zh-CN"/>
              </w:rPr>
              <w:t>建设内容</w:t>
            </w:r>
          </w:p>
        </w:tc>
        <w:tc>
          <w:tcPr>
            <w:tcW w:w="0" w:type="auto"/>
            <w:vAlign w:val="center"/>
          </w:tcPr>
          <w:p w14:paraId="4EFA32ED">
            <w:pPr>
              <w:pStyle w:val="8"/>
              <w:spacing w:before="245" w:line="223" w:lineRule="auto"/>
              <w:jc w:val="center"/>
              <w:rPr>
                <w:rFonts w:hint="eastAsia" w:ascii="仿宋_GB2312" w:hAnsi="仿宋_GB2312" w:eastAsia="仿宋_GB2312" w:cs="仿宋_GB2312"/>
                <w:b w:val="0"/>
                <w:bCs w:val="0"/>
                <w:color w:val="auto"/>
                <w:spacing w:val="-13"/>
                <w:highlight w:val="none"/>
                <w:lang w:val="en-US" w:eastAsia="zh-CN"/>
              </w:rPr>
            </w:pPr>
            <w:r>
              <w:rPr>
                <w:rFonts w:hint="eastAsia" w:ascii="仿宋_GB2312" w:hAnsi="仿宋_GB2312" w:eastAsia="仿宋_GB2312" w:cs="仿宋_GB2312"/>
                <w:b w:val="0"/>
                <w:bCs w:val="0"/>
                <w:color w:val="auto"/>
                <w:spacing w:val="-13"/>
                <w:highlight w:val="none"/>
                <w:lang w:val="en-US" w:eastAsia="zh-CN"/>
              </w:rPr>
              <w:t>参数</w:t>
            </w:r>
          </w:p>
        </w:tc>
        <w:tc>
          <w:tcPr>
            <w:tcW w:w="0" w:type="auto"/>
            <w:vAlign w:val="center"/>
          </w:tcPr>
          <w:p w14:paraId="072BF256">
            <w:pPr>
              <w:pStyle w:val="8"/>
              <w:spacing w:before="245" w:line="223" w:lineRule="auto"/>
              <w:jc w:val="center"/>
              <w:rPr>
                <w:rFonts w:hint="eastAsia" w:ascii="仿宋_GB2312" w:hAnsi="仿宋_GB2312" w:eastAsia="仿宋_GB2312" w:cs="仿宋_GB2312"/>
                <w:b w:val="0"/>
                <w:bCs w:val="0"/>
                <w:color w:val="auto"/>
                <w:spacing w:val="-13"/>
                <w:highlight w:val="none"/>
                <w:lang w:val="en-US" w:eastAsia="zh-CN"/>
              </w:rPr>
            </w:pPr>
            <w:r>
              <w:rPr>
                <w:rFonts w:hint="eastAsia" w:ascii="仿宋_GB2312" w:hAnsi="仿宋_GB2312" w:eastAsia="仿宋_GB2312" w:cs="仿宋_GB2312"/>
                <w:b w:val="0"/>
                <w:bCs w:val="0"/>
                <w:color w:val="auto"/>
                <w:spacing w:val="-13"/>
                <w:highlight w:val="none"/>
                <w:lang w:val="en-US" w:eastAsia="zh-CN"/>
              </w:rPr>
              <w:t>数量</w:t>
            </w:r>
          </w:p>
        </w:tc>
        <w:tc>
          <w:tcPr>
            <w:tcW w:w="0" w:type="auto"/>
            <w:vAlign w:val="center"/>
          </w:tcPr>
          <w:p w14:paraId="3D599B5E">
            <w:pPr>
              <w:pStyle w:val="8"/>
              <w:spacing w:line="240" w:lineRule="auto"/>
              <w:ind w:left="0"/>
              <w:jc w:val="center"/>
              <w:rPr>
                <w:rFonts w:hint="eastAsia" w:ascii="仿宋_GB2312" w:hAnsi="仿宋_GB2312" w:eastAsia="仿宋_GB2312" w:cs="仿宋_GB2312"/>
                <w:b w:val="0"/>
                <w:bCs w:val="0"/>
                <w:color w:val="auto"/>
                <w:spacing w:val="-13"/>
                <w:highlight w:val="none"/>
                <w:lang w:val="en-US" w:eastAsia="zh-CN"/>
              </w:rPr>
            </w:pPr>
            <w:r>
              <w:rPr>
                <w:rFonts w:hint="eastAsia" w:ascii="仿宋_GB2312" w:hAnsi="仿宋_GB2312" w:eastAsia="仿宋_GB2312" w:cs="仿宋_GB2312"/>
                <w:b w:val="0"/>
                <w:bCs w:val="0"/>
                <w:color w:val="auto"/>
                <w:spacing w:val="-13"/>
                <w:highlight w:val="none"/>
                <w:lang w:val="en-US" w:eastAsia="zh-CN"/>
              </w:rPr>
              <w:t>单位</w:t>
            </w:r>
          </w:p>
        </w:tc>
      </w:tr>
      <w:tr w14:paraId="1F2E70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vAlign w:val="center"/>
          </w:tcPr>
          <w:p w14:paraId="1DE9831F">
            <w:pPr>
              <w:pStyle w:val="8"/>
              <w:spacing w:before="78" w:line="315" w:lineRule="exact"/>
              <w:jc w:val="cente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position w:val="1"/>
                <w:sz w:val="21"/>
                <w:szCs w:val="21"/>
                <w:highlight w:val="none"/>
              </w:rPr>
              <w:t>1</w:t>
            </w:r>
          </w:p>
        </w:tc>
        <w:tc>
          <w:tcPr>
            <w:tcW w:w="0" w:type="auto"/>
            <w:vAlign w:val="center"/>
          </w:tcPr>
          <w:p w14:paraId="3D9E6D71">
            <w:pPr>
              <w:pStyle w:val="8"/>
              <w:spacing w:before="23" w:line="223" w:lineRule="auto"/>
              <w:jc w:val="cente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pacing w:val="-1"/>
                <w:sz w:val="21"/>
                <w:szCs w:val="21"/>
                <w:highlight w:val="none"/>
              </w:rPr>
              <w:t>智能云阅卷系统</w:t>
            </w:r>
          </w:p>
        </w:tc>
        <w:tc>
          <w:tcPr>
            <w:tcW w:w="0" w:type="auto"/>
            <w:vAlign w:val="center"/>
          </w:tcPr>
          <w:p w14:paraId="64955708">
            <w:pPr>
              <w:pStyle w:val="8"/>
              <w:spacing w:before="1" w:line="220" w:lineRule="auto"/>
              <w:jc w:val="cente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rPr>
              <w:t>网上</w:t>
            </w:r>
            <w:r>
              <w:rPr>
                <w:rFonts w:hint="eastAsia" w:ascii="仿宋_GB2312" w:hAnsi="仿宋_GB2312" w:eastAsia="仿宋_GB2312" w:cs="仿宋_GB2312"/>
                <w:b w:val="0"/>
                <w:bCs w:val="0"/>
                <w:color w:val="auto"/>
                <w:sz w:val="21"/>
                <w:szCs w:val="21"/>
                <w:highlight w:val="none"/>
                <w:lang w:val="en-US" w:eastAsia="zh-CN"/>
              </w:rPr>
              <w:t>与</w:t>
            </w:r>
            <w:r>
              <w:rPr>
                <w:rFonts w:hint="eastAsia" w:ascii="仿宋_GB2312" w:hAnsi="仿宋_GB2312" w:eastAsia="仿宋_GB2312" w:cs="仿宋_GB2312"/>
                <w:b w:val="0"/>
                <w:bCs w:val="0"/>
                <w:color w:val="auto"/>
                <w:sz w:val="21"/>
                <w:szCs w:val="21"/>
                <w:highlight w:val="none"/>
              </w:rPr>
              <w:t>手工兼容型智能评卷系统</w:t>
            </w:r>
          </w:p>
        </w:tc>
        <w:tc>
          <w:tcPr>
            <w:tcW w:w="0" w:type="auto"/>
            <w:vAlign w:val="top"/>
          </w:tcPr>
          <w:p w14:paraId="56FAC2F7">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一</w:t>
            </w:r>
            <w:r>
              <w:rPr>
                <w:rFonts w:hint="eastAsia" w:ascii="仿宋_GB2312" w:hAnsi="仿宋_GB2312" w:eastAsia="仿宋_GB2312" w:cs="仿宋_GB2312"/>
                <w:b w:val="0"/>
                <w:bCs w:val="0"/>
                <w:color w:val="auto"/>
                <w:sz w:val="21"/>
                <w:szCs w:val="21"/>
                <w:highlight w:val="none"/>
              </w:rPr>
              <w:t>、基础管理</w:t>
            </w:r>
            <w:r>
              <w:rPr>
                <w:rFonts w:hint="eastAsia" w:ascii="仿宋_GB2312" w:hAnsi="仿宋_GB2312" w:eastAsia="仿宋_GB2312" w:cs="仿宋_GB2312"/>
                <w:b w:val="0"/>
                <w:bCs w:val="0"/>
                <w:color w:val="auto"/>
                <w:sz w:val="21"/>
                <w:szCs w:val="21"/>
                <w:highlight w:val="none"/>
                <w:lang w:val="en-US" w:eastAsia="zh-CN"/>
              </w:rPr>
              <w:t>平台</w:t>
            </w:r>
          </w:p>
          <w:p w14:paraId="6DAFE6B7">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rPr>
              <w:t>1、支持学生、教师信息的快速录入，录入的信息包括学生姓名、自定义考号、所属班级、教师姓名，系统自动生成账号；支持班级批量导入与自定义命名；支持转班及升年级，同时可批量导入转班说明和下载学生名单；</w:t>
            </w:r>
          </w:p>
          <w:p w14:paraId="025F6F69">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2</w:t>
            </w:r>
            <w:r>
              <w:rPr>
                <w:rFonts w:hint="eastAsia" w:ascii="仿宋_GB2312" w:hAnsi="仿宋_GB2312" w:eastAsia="仿宋_GB2312" w:cs="仿宋_GB2312"/>
                <w:b w:val="0"/>
                <w:bCs w:val="0"/>
                <w:color w:val="auto"/>
                <w:sz w:val="21"/>
                <w:szCs w:val="21"/>
                <w:highlight w:val="none"/>
              </w:rPr>
              <w:t>、支持异动学生的信息管理：包括</w:t>
            </w:r>
            <w:r>
              <w:rPr>
                <w:rFonts w:hint="eastAsia" w:ascii="仿宋_GB2312" w:hAnsi="仿宋_GB2312" w:eastAsia="仿宋_GB2312" w:cs="仿宋_GB2312"/>
                <w:b w:val="0"/>
                <w:bCs w:val="0"/>
                <w:color w:val="auto"/>
                <w:sz w:val="21"/>
                <w:szCs w:val="21"/>
                <w:highlight w:val="none"/>
                <w:lang w:val="en-US" w:eastAsia="zh-CN"/>
              </w:rPr>
              <w:t>且不限于</w:t>
            </w:r>
            <w:r>
              <w:rPr>
                <w:rFonts w:hint="eastAsia" w:ascii="仿宋_GB2312" w:hAnsi="仿宋_GB2312" w:eastAsia="仿宋_GB2312" w:cs="仿宋_GB2312"/>
                <w:b w:val="0"/>
                <w:bCs w:val="0"/>
                <w:color w:val="auto"/>
                <w:sz w:val="21"/>
                <w:szCs w:val="21"/>
                <w:highlight w:val="none"/>
              </w:rPr>
              <w:t>转班、休学、退学</w:t>
            </w:r>
            <w:r>
              <w:rPr>
                <w:rFonts w:hint="eastAsia" w:ascii="仿宋_GB2312" w:hAnsi="仿宋_GB2312" w:eastAsia="仿宋_GB2312" w:cs="仿宋_GB2312"/>
                <w:b w:val="0"/>
                <w:bCs w:val="0"/>
                <w:color w:val="auto"/>
                <w:sz w:val="21"/>
                <w:szCs w:val="21"/>
                <w:highlight w:val="none"/>
                <w:lang w:val="en-US" w:eastAsia="zh-CN"/>
              </w:rPr>
              <w:t>等</w:t>
            </w:r>
            <w:r>
              <w:rPr>
                <w:rFonts w:hint="eastAsia" w:ascii="仿宋_GB2312" w:hAnsi="仿宋_GB2312" w:eastAsia="仿宋_GB2312" w:cs="仿宋_GB2312"/>
                <w:b w:val="0"/>
                <w:bCs w:val="0"/>
                <w:color w:val="auto"/>
                <w:sz w:val="21"/>
                <w:szCs w:val="21"/>
                <w:highlight w:val="none"/>
              </w:rPr>
              <w:t>场景的异动学生管理；</w:t>
            </w:r>
          </w:p>
          <w:p w14:paraId="01B4F751">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3、</w:t>
            </w:r>
            <w:r>
              <w:rPr>
                <w:rFonts w:hint="eastAsia" w:ascii="仿宋_GB2312" w:hAnsi="仿宋_GB2312" w:eastAsia="仿宋_GB2312" w:cs="仿宋_GB2312"/>
                <w:b w:val="0"/>
                <w:bCs w:val="0"/>
                <w:color w:val="auto"/>
                <w:sz w:val="21"/>
                <w:szCs w:val="21"/>
                <w:highlight w:val="none"/>
              </w:rPr>
              <w:t>支持设置学校管理员、考试管理员、子管理员、校长、年级主任、学科组长、班主任、学科教师、学生用户角色</w:t>
            </w:r>
            <w:r>
              <w:rPr>
                <w:rFonts w:hint="eastAsia" w:ascii="仿宋_GB2312" w:hAnsi="仿宋_GB2312" w:eastAsia="仿宋_GB2312" w:cs="仿宋_GB2312"/>
                <w:b w:val="0"/>
                <w:bCs w:val="0"/>
                <w:color w:val="auto"/>
                <w:sz w:val="21"/>
                <w:szCs w:val="21"/>
                <w:highlight w:val="none"/>
                <w:lang w:val="en-US" w:eastAsia="zh-CN"/>
              </w:rPr>
              <w:t>等多种角色</w:t>
            </w:r>
            <w:r>
              <w:rPr>
                <w:rFonts w:hint="eastAsia" w:ascii="仿宋_GB2312" w:hAnsi="仿宋_GB2312" w:eastAsia="仿宋_GB2312" w:cs="仿宋_GB2312"/>
                <w:b w:val="0"/>
                <w:bCs w:val="0"/>
                <w:color w:val="auto"/>
                <w:sz w:val="21"/>
                <w:szCs w:val="21"/>
                <w:highlight w:val="none"/>
              </w:rPr>
              <w:t>。</w:t>
            </w:r>
          </w:p>
          <w:p w14:paraId="32C2E55A">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4</w:t>
            </w:r>
            <w:r>
              <w:rPr>
                <w:rFonts w:hint="eastAsia" w:ascii="仿宋_GB2312" w:hAnsi="仿宋_GB2312" w:eastAsia="仿宋_GB2312" w:cs="仿宋_GB2312"/>
                <w:b w:val="0"/>
                <w:bCs w:val="0"/>
                <w:color w:val="auto"/>
                <w:sz w:val="21"/>
                <w:szCs w:val="21"/>
                <w:highlight w:val="none"/>
              </w:rPr>
              <w:t>、支持录入学校的走班教学信息表并进行新高考教学走班配置；支持自定义班级名称、分层层次、走班学科的配置方式。</w:t>
            </w:r>
          </w:p>
          <w:p w14:paraId="2E8CC2C5">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二</w:t>
            </w:r>
            <w:r>
              <w:rPr>
                <w:rFonts w:hint="eastAsia" w:ascii="仿宋_GB2312" w:hAnsi="仿宋_GB2312" w:eastAsia="仿宋_GB2312" w:cs="仿宋_GB2312"/>
                <w:b w:val="0"/>
                <w:bCs w:val="0"/>
                <w:color w:val="auto"/>
                <w:sz w:val="21"/>
                <w:szCs w:val="21"/>
                <w:highlight w:val="none"/>
              </w:rPr>
              <w:t>、题库</w:t>
            </w:r>
          </w:p>
          <w:p w14:paraId="5928010D">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rPr>
              <w:t>1、覆盖高中语文、数学、英语、物理、化学、生物、政治、历史、地理、信息技术、通用技术、思想政治学科；初中语文、数学、英语、物理、化学、生物、政治、历史、地理、道德与法治、历史与社会、科学、信息技术学科；试题提供组卷次数、作答人数、平均得分率、解析、考情信息，支持教师对试题进行纠错与收藏；</w:t>
            </w:r>
          </w:p>
          <w:p w14:paraId="40CB49D0">
            <w:pPr>
              <w:rPr>
                <w:rFonts w:hint="eastAsia" w:ascii="仿宋_GB2312" w:hAnsi="仿宋_GB2312" w:eastAsia="仿宋_GB2312" w:cs="仿宋_GB2312"/>
                <w:b w:val="0"/>
                <w:bCs w:val="0"/>
                <w:color w:val="auto"/>
                <w:sz w:val="21"/>
                <w:szCs w:val="21"/>
                <w:highlight w:val="none"/>
                <w:lang w:eastAsia="zh-CN"/>
              </w:rPr>
            </w:pPr>
            <w:r>
              <w:rPr>
                <w:rFonts w:hint="eastAsia" w:ascii="仿宋_GB2312" w:hAnsi="仿宋_GB2312" w:eastAsia="仿宋_GB2312" w:cs="仿宋_GB2312"/>
                <w:b w:val="0"/>
                <w:bCs w:val="0"/>
                <w:color w:val="auto"/>
                <w:sz w:val="21"/>
                <w:szCs w:val="21"/>
                <w:highlight w:val="none"/>
              </w:rPr>
              <w:t>2、支持选择教材、同步章节，系统自动呈现章节下涵盖知识点、试题，支持按题型、难度、所属试卷类型筛选试题进行组卷；支持知识点单选、多选两种知识点组卷方式，知识点多选支持选择知识点交集、知识点并集；支持按年级、题型、难度、所属试卷类型维度筛选试题进行组卷</w:t>
            </w:r>
            <w:r>
              <w:rPr>
                <w:rFonts w:hint="eastAsia" w:ascii="仿宋_GB2312" w:hAnsi="仿宋_GB2312" w:eastAsia="仿宋_GB2312" w:cs="仿宋_GB2312"/>
                <w:b w:val="0"/>
                <w:bCs w:val="0"/>
                <w:color w:val="auto"/>
                <w:sz w:val="21"/>
                <w:szCs w:val="21"/>
                <w:highlight w:val="none"/>
                <w:lang w:eastAsia="zh-CN"/>
              </w:rPr>
              <w:t>；</w:t>
            </w:r>
          </w:p>
          <w:p w14:paraId="0D845F02">
            <w:pPr>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3、试题资源：≥1000万道。</w:t>
            </w:r>
          </w:p>
          <w:p w14:paraId="12C8CB3A">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三</w:t>
            </w:r>
            <w:r>
              <w:rPr>
                <w:rFonts w:hint="eastAsia" w:ascii="仿宋_GB2312" w:hAnsi="仿宋_GB2312" w:eastAsia="仿宋_GB2312" w:cs="仿宋_GB2312"/>
                <w:b w:val="0"/>
                <w:bCs w:val="0"/>
                <w:color w:val="auto"/>
                <w:sz w:val="21"/>
                <w:szCs w:val="21"/>
                <w:highlight w:val="none"/>
              </w:rPr>
              <w:t>、</w:t>
            </w:r>
            <w:r>
              <w:rPr>
                <w:rFonts w:hint="eastAsia" w:ascii="仿宋_GB2312" w:hAnsi="仿宋_GB2312" w:eastAsia="仿宋_GB2312" w:cs="仿宋_GB2312"/>
                <w:b w:val="0"/>
                <w:bCs w:val="0"/>
                <w:color w:val="auto"/>
                <w:sz w:val="21"/>
                <w:szCs w:val="21"/>
                <w:highlight w:val="none"/>
                <w:lang w:val="en-US" w:eastAsia="zh-CN"/>
              </w:rPr>
              <w:t>网上智能评卷</w:t>
            </w:r>
            <w:r>
              <w:rPr>
                <w:rFonts w:hint="eastAsia" w:ascii="仿宋_GB2312" w:hAnsi="仿宋_GB2312" w:eastAsia="仿宋_GB2312" w:cs="仿宋_GB2312"/>
                <w:b w:val="0"/>
                <w:bCs w:val="0"/>
                <w:color w:val="auto"/>
                <w:sz w:val="21"/>
                <w:szCs w:val="21"/>
                <w:highlight w:val="none"/>
              </w:rPr>
              <w:t>数据采集</w:t>
            </w:r>
          </w:p>
          <w:p w14:paraId="6A966315">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rPr>
              <w:t>1、支持学校周考、月考、期中、期末考试采集；支持考试试卷上传和教师自主进行资源标注；支持批量生成学生条形码；</w:t>
            </w:r>
          </w:p>
          <w:p w14:paraId="241B90EF">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2</w:t>
            </w:r>
            <w:r>
              <w:rPr>
                <w:rFonts w:hint="eastAsia" w:ascii="仿宋_GB2312" w:hAnsi="仿宋_GB2312" w:eastAsia="仿宋_GB2312" w:cs="仿宋_GB2312"/>
                <w:b w:val="0"/>
                <w:bCs w:val="0"/>
                <w:color w:val="auto"/>
                <w:sz w:val="21"/>
                <w:szCs w:val="21"/>
                <w:highlight w:val="none"/>
              </w:rPr>
              <w:t>、支持对试题设置单评、双评、按比例双评、三评；支持自定义仲裁分差值；支持集中、分散或集中与分散相结合的方式进行网上阅卷。</w:t>
            </w:r>
          </w:p>
          <w:p w14:paraId="0EE59DC5">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3</w:t>
            </w:r>
            <w:r>
              <w:rPr>
                <w:rFonts w:hint="eastAsia" w:ascii="仿宋_GB2312" w:hAnsi="仿宋_GB2312" w:eastAsia="仿宋_GB2312" w:cs="仿宋_GB2312"/>
                <w:b w:val="0"/>
                <w:bCs w:val="0"/>
                <w:color w:val="auto"/>
                <w:sz w:val="21"/>
                <w:szCs w:val="21"/>
                <w:highlight w:val="none"/>
              </w:rPr>
              <w:t>、支持网页在线新建空白答题卡、题库制卡、三方制卡、导入Word试卷制卡；</w:t>
            </w:r>
          </w:p>
          <w:p w14:paraId="706C4089">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4</w:t>
            </w:r>
            <w:r>
              <w:rPr>
                <w:rFonts w:hint="eastAsia" w:ascii="仿宋_GB2312" w:hAnsi="仿宋_GB2312" w:eastAsia="仿宋_GB2312" w:cs="仿宋_GB2312"/>
                <w:b w:val="0"/>
                <w:bCs w:val="0"/>
                <w:color w:val="auto"/>
                <w:sz w:val="21"/>
                <w:szCs w:val="21"/>
                <w:highlight w:val="none"/>
              </w:rPr>
              <w:t>、支持答题卡的编辑、下载、删除、废弃和复用；支持自定义答题卡模板，支持答题卡模版二次修改；</w:t>
            </w:r>
          </w:p>
          <w:p w14:paraId="1AD0A1EB">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5</w:t>
            </w:r>
            <w:r>
              <w:rPr>
                <w:rFonts w:hint="eastAsia" w:ascii="仿宋_GB2312" w:hAnsi="仿宋_GB2312" w:eastAsia="仿宋_GB2312" w:cs="仿宋_GB2312"/>
                <w:b w:val="0"/>
                <w:bCs w:val="0"/>
                <w:color w:val="auto"/>
                <w:sz w:val="21"/>
                <w:szCs w:val="21"/>
                <w:highlight w:val="none"/>
              </w:rPr>
              <w:t>、支持设置单选题、判断题、多选题、填空题、解答题、选做题、主客观混合题、语文作文、英语作文、不定项选择题题型；</w:t>
            </w:r>
          </w:p>
          <w:p w14:paraId="485BCAFD">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6</w:t>
            </w:r>
            <w:r>
              <w:rPr>
                <w:rFonts w:hint="eastAsia" w:ascii="仿宋_GB2312" w:hAnsi="仿宋_GB2312" w:eastAsia="仿宋_GB2312" w:cs="仿宋_GB2312"/>
                <w:b w:val="0"/>
                <w:bCs w:val="0"/>
                <w:color w:val="auto"/>
                <w:sz w:val="21"/>
                <w:szCs w:val="21"/>
                <w:highlight w:val="none"/>
              </w:rPr>
              <w:t>、支持教师分享自己制作的答题卡给学校管理员；</w:t>
            </w:r>
          </w:p>
          <w:p w14:paraId="5E32CA24">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7</w:t>
            </w:r>
            <w:r>
              <w:rPr>
                <w:rFonts w:hint="eastAsia" w:ascii="仿宋_GB2312" w:hAnsi="仿宋_GB2312" w:eastAsia="仿宋_GB2312" w:cs="仿宋_GB2312"/>
                <w:b w:val="0"/>
                <w:bCs w:val="0"/>
                <w:color w:val="auto"/>
                <w:sz w:val="21"/>
                <w:szCs w:val="21"/>
                <w:highlight w:val="none"/>
              </w:rPr>
              <w:t>、支持答题卡扫描与准考证号填涂、条形码、客观题、主观题、缺考标记、AB卷及选做题识别同步完成；支持扫错学科自动检测与提示；支持折角自动检测与提示；</w:t>
            </w:r>
          </w:p>
          <w:p w14:paraId="32D5A146">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8</w:t>
            </w:r>
            <w:r>
              <w:rPr>
                <w:rFonts w:hint="eastAsia" w:ascii="仿宋_GB2312" w:hAnsi="仿宋_GB2312" w:eastAsia="仿宋_GB2312" w:cs="仿宋_GB2312"/>
                <w:b w:val="0"/>
                <w:bCs w:val="0"/>
                <w:color w:val="auto"/>
                <w:sz w:val="21"/>
                <w:szCs w:val="21"/>
                <w:highlight w:val="none"/>
              </w:rPr>
              <w:t>、支持直接选定班级或导入指定名单进行扫描识别；支持同一场考试每一个学科设置有不同的参加考试的学生名单；支持答题卡扫描时针对学生填涂的考号、客观题、选做题、AB卷信息存在错填、误填、漏填的信息具有自动检测、提示功能；</w:t>
            </w:r>
          </w:p>
          <w:p w14:paraId="06983A03">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9</w:t>
            </w:r>
            <w:r>
              <w:rPr>
                <w:rFonts w:hint="eastAsia" w:ascii="仿宋_GB2312" w:hAnsi="仿宋_GB2312" w:eastAsia="仿宋_GB2312" w:cs="仿宋_GB2312"/>
                <w:b w:val="0"/>
                <w:bCs w:val="0"/>
                <w:color w:val="auto"/>
                <w:sz w:val="21"/>
                <w:szCs w:val="21"/>
                <w:highlight w:val="none"/>
              </w:rPr>
              <w:t>、支持云端阅卷，教师阅卷过程中可标记优秀卷、典型错误卷；支持使用鼠标点击打分板给分、键盘输入给分；需支持打勾划圈、写评语操作并能够保留阅卷痕迹；支持阅卷老师设置评分步长；支持老师在改卷时，将疑难的试卷提交成问题卷；</w:t>
            </w:r>
          </w:p>
          <w:p w14:paraId="276DFCA4">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10</w:t>
            </w:r>
            <w:r>
              <w:rPr>
                <w:rFonts w:hint="eastAsia" w:ascii="仿宋_GB2312" w:hAnsi="仿宋_GB2312" w:eastAsia="仿宋_GB2312" w:cs="仿宋_GB2312"/>
                <w:b w:val="0"/>
                <w:bCs w:val="0"/>
                <w:color w:val="auto"/>
                <w:sz w:val="21"/>
                <w:szCs w:val="21"/>
                <w:highlight w:val="none"/>
              </w:rPr>
              <w:t>、支持按班级进行阅卷，老师只需阅所负责班级的试卷，阅完后即可提前导出成绩，支持分班发布成绩；</w:t>
            </w:r>
          </w:p>
          <w:p w14:paraId="4E82724E">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11</w:t>
            </w:r>
            <w:r>
              <w:rPr>
                <w:rFonts w:hint="eastAsia" w:ascii="仿宋_GB2312" w:hAnsi="仿宋_GB2312" w:eastAsia="仿宋_GB2312" w:cs="仿宋_GB2312"/>
                <w:b w:val="0"/>
                <w:bCs w:val="0"/>
                <w:color w:val="auto"/>
                <w:sz w:val="21"/>
                <w:szCs w:val="21"/>
                <w:highlight w:val="none"/>
              </w:rPr>
              <w:t>、支持管理员、科组长角色对阅卷的总体进度、各题进度、个人进度及阅卷质量的实时监控； 阅卷过程中，需支持管理员、科组长角色对主观题进行核查，包括按学生、按班级查看得分明细，修改打分结果；</w:t>
            </w:r>
          </w:p>
          <w:p w14:paraId="621A6480">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四</w:t>
            </w:r>
            <w:r>
              <w:rPr>
                <w:rFonts w:hint="eastAsia" w:ascii="仿宋_GB2312" w:hAnsi="仿宋_GB2312" w:eastAsia="仿宋_GB2312" w:cs="仿宋_GB2312"/>
                <w:b w:val="0"/>
                <w:bCs w:val="0"/>
                <w:color w:val="auto"/>
                <w:sz w:val="21"/>
                <w:szCs w:val="21"/>
                <w:highlight w:val="none"/>
              </w:rPr>
              <w:t>、</w:t>
            </w:r>
            <w:r>
              <w:rPr>
                <w:rFonts w:hint="eastAsia" w:ascii="仿宋_GB2312" w:hAnsi="仿宋_GB2312" w:eastAsia="仿宋_GB2312" w:cs="仿宋_GB2312"/>
                <w:b w:val="0"/>
                <w:bCs w:val="0"/>
                <w:color w:val="auto"/>
                <w:sz w:val="21"/>
                <w:szCs w:val="21"/>
                <w:highlight w:val="none"/>
                <w:lang w:val="en-US" w:eastAsia="zh-CN"/>
              </w:rPr>
              <w:t>手工智能评卷</w:t>
            </w:r>
            <w:r>
              <w:rPr>
                <w:rFonts w:hint="eastAsia" w:ascii="仿宋_GB2312" w:hAnsi="仿宋_GB2312" w:eastAsia="仿宋_GB2312" w:cs="仿宋_GB2312"/>
                <w:b w:val="0"/>
                <w:bCs w:val="0"/>
                <w:color w:val="auto"/>
                <w:sz w:val="21"/>
                <w:szCs w:val="21"/>
                <w:highlight w:val="none"/>
              </w:rPr>
              <w:t>数据采集</w:t>
            </w:r>
          </w:p>
          <w:p w14:paraId="33B73E9E">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rPr>
              <w:t>1、支持从系统题库中按选择题目，系统自动生成答题卡；支持教师使用web端浏览器在线制作编辑答题卡；</w:t>
            </w:r>
          </w:p>
          <w:p w14:paraId="179C4292">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sz w:val="21"/>
                <w:szCs w:val="21"/>
                <w:highlight w:val="none"/>
              </w:rPr>
              <w:t>2、初高中语文、数学、英语、物理、化学、生物、政治、历史、地理、科学、历史与社会、信息技术、通用技术学科，需支持导入Word试卷，系统自动切题；支持根据切题结构自动生成答题卡；（提供证明材料</w:t>
            </w:r>
            <w:r>
              <w:rPr>
                <w:rFonts w:hint="eastAsia" w:ascii="仿宋_GB2312" w:hAnsi="仿宋_GB2312" w:eastAsia="仿宋_GB2312" w:cs="仿宋_GB2312"/>
                <w:b w:val="0"/>
                <w:bCs w:val="0"/>
                <w:color w:val="auto"/>
                <w:sz w:val="21"/>
                <w:szCs w:val="21"/>
                <w:highlight w:val="none"/>
                <w:lang w:val="en-US" w:eastAsia="zh-CN"/>
              </w:rPr>
              <w:t>及真实系统现场演示</w:t>
            </w:r>
            <w:r>
              <w:rPr>
                <w:rFonts w:hint="eastAsia" w:ascii="仿宋_GB2312" w:hAnsi="仿宋_GB2312" w:eastAsia="仿宋_GB2312" w:cs="仿宋_GB2312"/>
                <w:b w:val="0"/>
                <w:bCs w:val="0"/>
                <w:color w:val="auto"/>
                <w:sz w:val="21"/>
                <w:szCs w:val="21"/>
                <w:highlight w:val="none"/>
              </w:rPr>
              <w:t>）</w:t>
            </w:r>
          </w:p>
          <w:p w14:paraId="3B861B8F">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rPr>
              <w:t>3、支持通过准考证号、短学号、自定义考号（学校自定义4~14位考号）、填涂考号，以及条形码、手写考号多种识别方式识别答题卡上的学生信息；支持填涂考号和贴条形码区域并存，且支持在一场考试里，两种方式并用；</w:t>
            </w:r>
          </w:p>
          <w:p w14:paraId="4F0FA90D">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rPr>
              <w:t>4、答题卡排版需支持单选题、多选题、判断题、填空题、解答题、选做题多种题型；填空题支持一题多空的批阅；解答题支持分步骤批阅；支持将混合题中的客观题作答区域并入顶部客观题填涂区、客观题至多26个选项、顶部考试信息区域更紧凑的排版方式；</w:t>
            </w:r>
          </w:p>
          <w:p w14:paraId="5C903C8C">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rPr>
              <w:t>5、支持仅红笔批改痕迹的识别和任意笔批改痕迹识别两种方式；</w:t>
            </w:r>
          </w:p>
          <w:p w14:paraId="588D8887">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五</w:t>
            </w:r>
            <w:r>
              <w:rPr>
                <w:rFonts w:hint="eastAsia" w:ascii="仿宋_GB2312" w:hAnsi="仿宋_GB2312" w:eastAsia="仿宋_GB2312" w:cs="仿宋_GB2312"/>
                <w:b w:val="0"/>
                <w:bCs w:val="0"/>
                <w:color w:val="auto"/>
                <w:sz w:val="21"/>
                <w:szCs w:val="21"/>
                <w:highlight w:val="none"/>
              </w:rPr>
              <w:t>、</w:t>
            </w:r>
            <w:r>
              <w:rPr>
                <w:rFonts w:hint="eastAsia" w:ascii="仿宋_GB2312" w:hAnsi="仿宋_GB2312" w:eastAsia="仿宋_GB2312" w:cs="仿宋_GB2312"/>
                <w:b w:val="0"/>
                <w:bCs w:val="0"/>
                <w:color w:val="auto"/>
                <w:sz w:val="21"/>
                <w:szCs w:val="21"/>
                <w:highlight w:val="none"/>
                <w:lang w:val="en-US" w:eastAsia="zh-CN"/>
              </w:rPr>
              <w:t>数据</w:t>
            </w:r>
            <w:r>
              <w:rPr>
                <w:rFonts w:hint="eastAsia" w:ascii="仿宋_GB2312" w:hAnsi="仿宋_GB2312" w:eastAsia="仿宋_GB2312" w:cs="仿宋_GB2312"/>
                <w:b w:val="0"/>
                <w:bCs w:val="0"/>
                <w:color w:val="auto"/>
                <w:sz w:val="21"/>
                <w:szCs w:val="21"/>
                <w:highlight w:val="none"/>
              </w:rPr>
              <w:t>报告</w:t>
            </w:r>
          </w:p>
          <w:p w14:paraId="1960BE9D">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rPr>
              <w:t>1、支持单次考试结束后，用户可根据需要生成</w:t>
            </w:r>
            <w:r>
              <w:rPr>
                <w:rFonts w:hint="eastAsia" w:ascii="仿宋_GB2312" w:hAnsi="仿宋_GB2312" w:eastAsia="仿宋_GB2312" w:cs="仿宋_GB2312"/>
                <w:b w:val="0"/>
                <w:bCs w:val="0"/>
                <w:color w:val="auto"/>
                <w:sz w:val="21"/>
                <w:szCs w:val="21"/>
                <w:highlight w:val="none"/>
                <w:lang w:val="en-US" w:eastAsia="zh-CN"/>
              </w:rPr>
              <w:t>不少于</w:t>
            </w:r>
            <w:r>
              <w:rPr>
                <w:rFonts w:hint="eastAsia" w:ascii="仿宋_GB2312" w:hAnsi="仿宋_GB2312" w:eastAsia="仿宋_GB2312" w:cs="仿宋_GB2312"/>
                <w:b w:val="0"/>
                <w:bCs w:val="0"/>
                <w:color w:val="auto"/>
                <w:sz w:val="21"/>
                <w:szCs w:val="21"/>
                <w:highlight w:val="none"/>
              </w:rPr>
              <w:t>20份分析报告；支持根据学校诉求自主选择报告是否向校内校长、副校长、年级主任、学科组长、备课组长、班主任、副班主任、老师角色发布；</w:t>
            </w:r>
          </w:p>
          <w:p w14:paraId="680FB8D9">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2</w:t>
            </w:r>
            <w:r>
              <w:rPr>
                <w:rFonts w:hint="eastAsia" w:ascii="仿宋_GB2312" w:hAnsi="仿宋_GB2312" w:eastAsia="仿宋_GB2312" w:cs="仿宋_GB2312"/>
                <w:b w:val="0"/>
                <w:bCs w:val="0"/>
                <w:color w:val="auto"/>
                <w:sz w:val="21"/>
                <w:szCs w:val="21"/>
                <w:highlight w:val="none"/>
              </w:rPr>
              <w:t>、支持新高考模式下的行政班与教学班双重评价分析；行政班支持查看行政班维度的单科报告，教学班支持查看教学班维度的单科报告；</w:t>
            </w:r>
          </w:p>
          <w:p w14:paraId="71D6288C">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3</w:t>
            </w:r>
            <w:r>
              <w:rPr>
                <w:rFonts w:hint="eastAsia" w:ascii="仿宋_GB2312" w:hAnsi="仿宋_GB2312" w:eastAsia="仿宋_GB2312" w:cs="仿宋_GB2312"/>
                <w:b w:val="0"/>
                <w:bCs w:val="0"/>
                <w:color w:val="auto"/>
                <w:sz w:val="21"/>
                <w:szCs w:val="21"/>
                <w:highlight w:val="none"/>
              </w:rPr>
              <w:t>、支持设置试卷分卷，支持设置分卷名称及试题所属分卷并进行分卷分析；支持按照行政班或教学班、学生标签、学生选科组合、学科组灵活选择统计分析的学生范围，并支持用户组合单个或多个班级标签类型进行对比分析</w:t>
            </w:r>
            <w:r>
              <w:rPr>
                <w:rFonts w:hint="eastAsia" w:ascii="仿宋_GB2312" w:hAnsi="仿宋_GB2312" w:eastAsia="仿宋_GB2312" w:cs="仿宋_GB2312"/>
                <w:b w:val="0"/>
                <w:bCs w:val="0"/>
                <w:color w:val="auto"/>
                <w:sz w:val="21"/>
                <w:szCs w:val="21"/>
                <w:highlight w:val="none"/>
                <w:lang w:eastAsia="zh-CN"/>
              </w:rPr>
              <w:t>；</w:t>
            </w:r>
            <w:r>
              <w:rPr>
                <w:rFonts w:hint="eastAsia" w:ascii="仿宋_GB2312" w:hAnsi="仿宋_GB2312" w:eastAsia="仿宋_GB2312" w:cs="仿宋_GB2312"/>
                <w:b w:val="0"/>
                <w:bCs w:val="0"/>
                <w:color w:val="auto"/>
                <w:sz w:val="21"/>
                <w:szCs w:val="21"/>
                <w:highlight w:val="none"/>
              </w:rPr>
              <w:t>支持选定学科分析，并支持对多个学科设置不同的权重后进行组合分析；</w:t>
            </w:r>
          </w:p>
          <w:p w14:paraId="1F7727E3">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4</w:t>
            </w:r>
            <w:r>
              <w:rPr>
                <w:rFonts w:hint="eastAsia" w:ascii="仿宋_GB2312" w:hAnsi="仿宋_GB2312" w:eastAsia="仿宋_GB2312" w:cs="仿宋_GB2312"/>
                <w:b w:val="0"/>
                <w:bCs w:val="0"/>
                <w:color w:val="auto"/>
                <w:sz w:val="21"/>
                <w:szCs w:val="21"/>
                <w:highlight w:val="none"/>
              </w:rPr>
              <w:t>、支持新高考区域分析诉求，生成物理、历史方向报告或选科报告。</w:t>
            </w:r>
          </w:p>
          <w:p w14:paraId="69018FB1">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5</w:t>
            </w:r>
            <w:r>
              <w:rPr>
                <w:rFonts w:hint="eastAsia" w:ascii="仿宋_GB2312" w:hAnsi="仿宋_GB2312" w:eastAsia="仿宋_GB2312" w:cs="仿宋_GB2312"/>
                <w:b w:val="0"/>
                <w:bCs w:val="0"/>
                <w:color w:val="auto"/>
                <w:sz w:val="21"/>
                <w:szCs w:val="21"/>
                <w:highlight w:val="none"/>
              </w:rPr>
              <w:t>、支持查看校级多学科报告，指标包括学科成绩对比、班级成绩对比、学业等级分布、成绩分段对比、进线分析、临界生对比、优秀学困生对比、优劣势学科对比；支持查看校级单学科报告，指标包括班级成绩对比、学业等级分布、成绩分段对比、进线分析、临界生对比、优秀生学困生对比；</w:t>
            </w:r>
          </w:p>
          <w:p w14:paraId="4CCE2B9D">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sz w:val="21"/>
                <w:szCs w:val="21"/>
                <w:highlight w:val="none"/>
                <w:lang w:val="en-US" w:eastAsia="zh-CN"/>
              </w:rPr>
              <w:t>6</w:t>
            </w:r>
            <w:r>
              <w:rPr>
                <w:rFonts w:hint="eastAsia" w:ascii="仿宋_GB2312" w:hAnsi="仿宋_GB2312" w:eastAsia="仿宋_GB2312" w:cs="仿宋_GB2312"/>
                <w:b w:val="0"/>
                <w:bCs w:val="0"/>
                <w:color w:val="auto"/>
                <w:sz w:val="21"/>
                <w:szCs w:val="21"/>
                <w:highlight w:val="none"/>
              </w:rPr>
              <w:t>、</w:t>
            </w:r>
            <w:r>
              <w:rPr>
                <w:rFonts w:hint="eastAsia" w:ascii="仿宋_GB2312" w:hAnsi="仿宋_GB2312" w:eastAsia="仿宋_GB2312" w:cs="仿宋_GB2312"/>
                <w:b w:val="0"/>
                <w:bCs w:val="0"/>
                <w:color w:val="auto"/>
                <w:sz w:val="21"/>
                <w:szCs w:val="21"/>
                <w:highlight w:val="none"/>
                <w:shd w:val="clear"/>
              </w:rPr>
              <w:t>支持查看试卷分析，指标包括试卷整体难度、试题难度比例、信度、区分度、大题分析、小题分析、知识点分析、核心素养分析、作答详情；支持选择添加班级进行对比分析；</w:t>
            </w:r>
            <w:r>
              <w:rPr>
                <w:rFonts w:hint="eastAsia" w:ascii="仿宋_GB2312" w:hAnsi="仿宋_GB2312" w:eastAsia="仿宋_GB2312" w:cs="仿宋_GB2312"/>
                <w:b w:val="0"/>
                <w:bCs w:val="0"/>
                <w:color w:val="auto"/>
                <w:sz w:val="21"/>
                <w:szCs w:val="21"/>
                <w:highlight w:val="none"/>
              </w:rPr>
              <w:t>（提供证明材料</w:t>
            </w:r>
            <w:r>
              <w:rPr>
                <w:rFonts w:hint="eastAsia" w:ascii="仿宋_GB2312" w:hAnsi="仿宋_GB2312" w:eastAsia="仿宋_GB2312" w:cs="仿宋_GB2312"/>
                <w:b w:val="0"/>
                <w:bCs w:val="0"/>
                <w:color w:val="auto"/>
                <w:sz w:val="21"/>
                <w:szCs w:val="21"/>
                <w:highlight w:val="none"/>
                <w:lang w:val="en-US" w:eastAsia="zh-CN"/>
              </w:rPr>
              <w:t>及真实系统现场演示</w:t>
            </w:r>
            <w:r>
              <w:rPr>
                <w:rFonts w:hint="eastAsia" w:ascii="仿宋_GB2312" w:hAnsi="仿宋_GB2312" w:eastAsia="仿宋_GB2312" w:cs="仿宋_GB2312"/>
                <w:b w:val="0"/>
                <w:bCs w:val="0"/>
                <w:color w:val="auto"/>
                <w:sz w:val="21"/>
                <w:szCs w:val="21"/>
                <w:highlight w:val="none"/>
              </w:rPr>
              <w:t>）</w:t>
            </w:r>
          </w:p>
          <w:p w14:paraId="085076F3">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7、</w:t>
            </w:r>
            <w:r>
              <w:rPr>
                <w:rFonts w:hint="eastAsia" w:ascii="仿宋_GB2312" w:hAnsi="仿宋_GB2312" w:eastAsia="仿宋_GB2312" w:cs="仿宋_GB2312"/>
                <w:b w:val="0"/>
                <w:bCs w:val="0"/>
                <w:color w:val="auto"/>
                <w:sz w:val="21"/>
                <w:szCs w:val="21"/>
                <w:highlight w:val="none"/>
              </w:rPr>
              <w:t>支持分析数据Excel格式一键导出；支持上传和查看试卷；提供全部和各班学生成绩，指标包括校次、班次及进退步情况、各学科分数；支持各班级和全部学生的学生成绩表、单科成绩汇总、学生小题明细表、题组得分情况统计数据Excel格式导出；</w:t>
            </w:r>
          </w:p>
          <w:p w14:paraId="77D8693C">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8</w:t>
            </w:r>
            <w:r>
              <w:rPr>
                <w:rFonts w:hint="eastAsia" w:ascii="仿宋_GB2312" w:hAnsi="仿宋_GB2312" w:eastAsia="仿宋_GB2312" w:cs="仿宋_GB2312"/>
                <w:b w:val="0"/>
                <w:bCs w:val="0"/>
                <w:color w:val="auto"/>
                <w:sz w:val="21"/>
                <w:szCs w:val="21"/>
                <w:highlight w:val="none"/>
              </w:rPr>
              <w:t>、支持班主任查看班级多学科报告，指标包括学科成绩对比、平均分对比、学业等级分布、成绩分段对比、优劣势学科对比；支持授课教师查看授课学科的班级单学科报告，指标包括学情概览、平均分对比、学业等级分布、需关注学生、高频错题；</w:t>
            </w:r>
          </w:p>
          <w:p w14:paraId="6E0F48DA">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9</w:t>
            </w:r>
            <w:r>
              <w:rPr>
                <w:rFonts w:hint="eastAsia" w:ascii="仿宋_GB2312" w:hAnsi="仿宋_GB2312" w:eastAsia="仿宋_GB2312" w:cs="仿宋_GB2312"/>
                <w:b w:val="0"/>
                <w:bCs w:val="0"/>
                <w:color w:val="auto"/>
                <w:sz w:val="21"/>
                <w:szCs w:val="21"/>
                <w:highlight w:val="none"/>
              </w:rPr>
              <w:t>、支持查看试题答题统计，包括试题的班级均分和得分率、年级均分和得分率、客观题选项数据统计和主观题得分数据统计柱状图，并支持查看对应学生名单；支持查看优秀解答和典型错误的典型卷；支持典型试卷图片导出；</w:t>
            </w:r>
          </w:p>
          <w:p w14:paraId="4C73861E">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10</w:t>
            </w:r>
            <w:r>
              <w:rPr>
                <w:rFonts w:hint="eastAsia" w:ascii="仿宋_GB2312" w:hAnsi="仿宋_GB2312" w:eastAsia="仿宋_GB2312" w:cs="仿宋_GB2312"/>
                <w:b w:val="0"/>
                <w:bCs w:val="0"/>
                <w:color w:val="auto"/>
                <w:sz w:val="21"/>
                <w:szCs w:val="21"/>
                <w:highlight w:val="none"/>
              </w:rPr>
              <w:t>、支持移动端的试卷讲评工具：按照题号顺序或学生作答情况对试题进行讲解排序，支持单题学生作答情况分段统计、错题名单及学生原卷调取、典型试卷调取。</w:t>
            </w:r>
          </w:p>
          <w:p w14:paraId="1D9CAB04">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六</w:t>
            </w:r>
            <w:r>
              <w:rPr>
                <w:rFonts w:hint="eastAsia" w:ascii="仿宋_GB2312" w:hAnsi="仿宋_GB2312" w:eastAsia="仿宋_GB2312" w:cs="仿宋_GB2312"/>
                <w:b w:val="0"/>
                <w:bCs w:val="0"/>
                <w:color w:val="auto"/>
                <w:sz w:val="21"/>
                <w:szCs w:val="21"/>
                <w:highlight w:val="none"/>
              </w:rPr>
              <w:t xml:space="preserve">、智能批改 </w:t>
            </w:r>
          </w:p>
          <w:p w14:paraId="6D80A60A">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rPr>
              <w:t>1、支持英语填空题自动评分；支持英语填空题人机双评功能；支持英语作文自动评分及英语作文人机双评；支持语文填空题（古诗词默写）的自动评分；</w:t>
            </w:r>
          </w:p>
          <w:p w14:paraId="16A1C720">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sz w:val="21"/>
                <w:szCs w:val="21"/>
                <w:highlight w:val="none"/>
              </w:rPr>
              <w:t>2、支持英语短文改错题自动评分；（提供证明材料</w:t>
            </w:r>
            <w:r>
              <w:rPr>
                <w:rFonts w:hint="eastAsia" w:ascii="仿宋_GB2312" w:hAnsi="仿宋_GB2312" w:eastAsia="仿宋_GB2312" w:cs="仿宋_GB2312"/>
                <w:b w:val="0"/>
                <w:bCs w:val="0"/>
                <w:color w:val="auto"/>
                <w:sz w:val="21"/>
                <w:szCs w:val="21"/>
                <w:highlight w:val="none"/>
                <w:lang w:val="en-US" w:eastAsia="zh-CN"/>
              </w:rPr>
              <w:t>及真实系统现场演示</w:t>
            </w:r>
            <w:r>
              <w:rPr>
                <w:rFonts w:hint="eastAsia" w:ascii="仿宋_GB2312" w:hAnsi="仿宋_GB2312" w:eastAsia="仿宋_GB2312" w:cs="仿宋_GB2312"/>
                <w:b w:val="0"/>
                <w:bCs w:val="0"/>
                <w:color w:val="auto"/>
                <w:sz w:val="21"/>
                <w:szCs w:val="21"/>
                <w:highlight w:val="none"/>
              </w:rPr>
              <w:t>）</w:t>
            </w:r>
          </w:p>
          <w:p w14:paraId="030CD555">
            <w:pPr>
              <w:pStyle w:val="10"/>
              <w:numPr>
                <w:ilvl w:val="0"/>
                <w:numId w:val="0"/>
              </w:num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3</w:t>
            </w:r>
            <w:r>
              <w:rPr>
                <w:rFonts w:hint="eastAsia" w:ascii="仿宋_GB2312" w:hAnsi="仿宋_GB2312" w:eastAsia="仿宋_GB2312" w:cs="仿宋_GB2312"/>
                <w:b w:val="0"/>
                <w:bCs w:val="0"/>
                <w:color w:val="auto"/>
                <w:sz w:val="21"/>
                <w:szCs w:val="21"/>
                <w:highlight w:val="none"/>
              </w:rPr>
              <w:t>、支持数学解答题（主观题）的自动评分；（提供证明材料</w:t>
            </w:r>
            <w:r>
              <w:rPr>
                <w:rFonts w:hint="eastAsia" w:ascii="仿宋_GB2312" w:hAnsi="仿宋_GB2312" w:eastAsia="仿宋_GB2312" w:cs="仿宋_GB2312"/>
                <w:b w:val="0"/>
                <w:bCs w:val="0"/>
                <w:color w:val="auto"/>
                <w:sz w:val="21"/>
                <w:szCs w:val="21"/>
                <w:highlight w:val="none"/>
                <w:lang w:val="en-US" w:eastAsia="zh-CN"/>
              </w:rPr>
              <w:t>及真实系统现场演示</w:t>
            </w:r>
            <w:r>
              <w:rPr>
                <w:rFonts w:hint="eastAsia" w:ascii="仿宋_GB2312" w:hAnsi="仿宋_GB2312" w:eastAsia="仿宋_GB2312" w:cs="仿宋_GB2312"/>
                <w:b w:val="0"/>
                <w:bCs w:val="0"/>
                <w:color w:val="auto"/>
                <w:sz w:val="21"/>
                <w:szCs w:val="21"/>
                <w:highlight w:val="none"/>
              </w:rPr>
              <w:t>）</w:t>
            </w:r>
          </w:p>
          <w:p w14:paraId="5C922BD1">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rPr>
              <w:t>4、需提供班级整体的英语作文智能批改报告，包括英语作文的成绩分布情况，诊断作文中书写不规范、短语错误、动词错误、名词错误、词性错误常见错误类型，统计分析学生犯错频次并显示学生具体的错误信息，并可导出班级作文批改分析报告；系统提供学生个人智能批改报告，覆盖作文分数、作文批改详情指标；</w:t>
            </w:r>
          </w:p>
        </w:tc>
        <w:tc>
          <w:tcPr>
            <w:tcW w:w="0" w:type="auto"/>
            <w:vAlign w:val="center"/>
          </w:tcPr>
          <w:p w14:paraId="3EEBFC15">
            <w:pPr>
              <w:pStyle w:val="8"/>
              <w:spacing w:before="23" w:line="223" w:lineRule="auto"/>
              <w:ind w:left="139" w:right="107" w:hanging="25"/>
              <w:jc w:val="center"/>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2</w:t>
            </w:r>
          </w:p>
        </w:tc>
        <w:tc>
          <w:tcPr>
            <w:tcW w:w="0" w:type="auto"/>
            <w:vAlign w:val="center"/>
          </w:tcPr>
          <w:p w14:paraId="6B0D7893">
            <w:pPr>
              <w:pStyle w:val="8"/>
              <w:spacing w:before="23" w:line="223" w:lineRule="auto"/>
              <w:ind w:left="139" w:right="107" w:hanging="25"/>
              <w:jc w:val="center"/>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套/三年</w:t>
            </w:r>
          </w:p>
        </w:tc>
      </w:tr>
      <w:tr w14:paraId="3CC1AB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vAlign w:val="center"/>
          </w:tcPr>
          <w:p w14:paraId="3EC23D24">
            <w:pPr>
              <w:pStyle w:val="8"/>
              <w:spacing w:before="78" w:line="315" w:lineRule="exact"/>
              <w:ind w:left="134"/>
              <w:jc w:val="center"/>
              <w:rPr>
                <w:rFonts w:hint="eastAsia" w:ascii="仿宋_GB2312" w:hAnsi="仿宋_GB2312" w:eastAsia="仿宋_GB2312" w:cs="仿宋_GB2312"/>
                <w:b w:val="0"/>
                <w:bCs w:val="0"/>
                <w:color w:val="auto"/>
                <w:position w:val="1"/>
                <w:sz w:val="21"/>
                <w:szCs w:val="21"/>
                <w:highlight w:val="none"/>
                <w:lang w:val="en-US" w:eastAsia="zh-CN"/>
              </w:rPr>
            </w:pPr>
            <w:r>
              <w:rPr>
                <w:rFonts w:hint="eastAsia" w:ascii="仿宋_GB2312" w:hAnsi="仿宋_GB2312" w:eastAsia="仿宋_GB2312" w:cs="仿宋_GB2312"/>
                <w:b w:val="0"/>
                <w:bCs w:val="0"/>
                <w:color w:val="auto"/>
                <w:position w:val="1"/>
                <w:sz w:val="21"/>
                <w:szCs w:val="21"/>
                <w:highlight w:val="none"/>
                <w:lang w:val="en-US" w:eastAsia="zh-CN"/>
              </w:rPr>
              <w:t>2</w:t>
            </w:r>
          </w:p>
        </w:tc>
        <w:tc>
          <w:tcPr>
            <w:tcW w:w="0" w:type="auto"/>
            <w:vAlign w:val="center"/>
          </w:tcPr>
          <w:p w14:paraId="6F4C6E10">
            <w:pPr>
              <w:pStyle w:val="8"/>
              <w:spacing w:before="23" w:line="223" w:lineRule="auto"/>
              <w:ind w:left="118"/>
              <w:jc w:val="center"/>
              <w:rPr>
                <w:rFonts w:hint="eastAsia" w:ascii="仿宋_GB2312" w:hAnsi="仿宋_GB2312" w:eastAsia="仿宋_GB2312" w:cs="仿宋_GB2312"/>
                <w:b w:val="0"/>
                <w:bCs w:val="0"/>
                <w:color w:val="auto"/>
                <w:spacing w:val="-1"/>
                <w:sz w:val="21"/>
                <w:szCs w:val="21"/>
                <w:highlight w:val="none"/>
              </w:rPr>
            </w:pPr>
            <w:r>
              <w:rPr>
                <w:rFonts w:hint="eastAsia" w:ascii="仿宋_GB2312" w:hAnsi="仿宋_GB2312" w:eastAsia="仿宋_GB2312" w:cs="仿宋_GB2312"/>
                <w:b w:val="0"/>
                <w:bCs w:val="0"/>
                <w:color w:val="auto"/>
                <w:spacing w:val="-1"/>
                <w:sz w:val="21"/>
                <w:szCs w:val="21"/>
                <w:highlight w:val="none"/>
              </w:rPr>
              <w:t>AI教学系统</w:t>
            </w:r>
          </w:p>
        </w:tc>
        <w:tc>
          <w:tcPr>
            <w:tcW w:w="0" w:type="auto"/>
            <w:vAlign w:val="center"/>
          </w:tcPr>
          <w:p w14:paraId="4D8E3373">
            <w:pPr>
              <w:pStyle w:val="8"/>
              <w:spacing w:before="1" w:line="220" w:lineRule="auto"/>
              <w:ind w:left="120"/>
              <w:jc w:val="cente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rPr>
              <w:t>AI课堂分析</w:t>
            </w:r>
          </w:p>
        </w:tc>
        <w:tc>
          <w:tcPr>
            <w:tcW w:w="0" w:type="auto"/>
            <w:vAlign w:val="top"/>
          </w:tcPr>
          <w:p w14:paraId="0DFA70D0">
            <w:pPr>
              <w:pStyle w:val="8"/>
              <w:numPr>
                <w:ilvl w:val="0"/>
                <w:numId w:val="0"/>
              </w:numPr>
              <w:shd w:val="clear"/>
              <w:spacing w:before="23" w:line="223" w:lineRule="auto"/>
              <w:ind w:left="114" w:leftChars="0"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一、基础管理平台</w:t>
            </w:r>
          </w:p>
          <w:p w14:paraId="2C3E9039">
            <w:pPr>
              <w:pStyle w:val="8"/>
              <w:numPr>
                <w:ilvl w:val="0"/>
                <w:numId w:val="0"/>
              </w:numPr>
              <w:shd w:val="clear"/>
              <w:spacing w:before="23" w:line="223" w:lineRule="auto"/>
              <w:ind w:left="114" w:leftChars="0"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1.部署架构：系统需支持多样化部署方式。</w:t>
            </w:r>
          </w:p>
          <w:p w14:paraId="2DA57975">
            <w:pPr>
              <w:pStyle w:val="8"/>
              <w:numPr>
                <w:ilvl w:val="0"/>
                <w:numId w:val="0"/>
              </w:numPr>
              <w:shd w:val="clear"/>
              <w:spacing w:before="23" w:line="223" w:lineRule="auto"/>
              <w:ind w:left="114" w:leftChars="0"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2.访问方式：需支持主流架构，用户通过主流浏览器即可通过网络访问后台，完成管理与应用操作。</w:t>
            </w:r>
          </w:p>
          <w:p w14:paraId="168D39BB">
            <w:pPr>
              <w:pStyle w:val="8"/>
              <w:numPr>
                <w:ilvl w:val="0"/>
                <w:numId w:val="0"/>
              </w:numPr>
              <w:shd w:val="clear"/>
              <w:spacing w:before="23" w:line="223" w:lineRule="auto"/>
              <w:ind w:left="114" w:leftChars="0"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3.权限体系：具备完善的组织架构与用户权限管理机制，支持基于角色的访问控制，可针对不同角色灵活配置操作权限，确保平台资源与数据的安全性。</w:t>
            </w:r>
          </w:p>
          <w:p w14:paraId="3A14427D">
            <w:pPr>
              <w:pStyle w:val="8"/>
              <w:numPr>
                <w:ilvl w:val="0"/>
                <w:numId w:val="0"/>
              </w:numPr>
              <w:shd w:val="clear"/>
              <w:spacing w:before="23" w:line="223" w:lineRule="auto"/>
              <w:ind w:left="114" w:leftChars="0"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4.教室与设备关联：支持教学楼及教室的创建与维护；支持将教室与教学设备（如教师摄像机、学生摄像机、智慧黑板等）进行绑定关联。</w:t>
            </w:r>
          </w:p>
          <w:p w14:paraId="003667CE">
            <w:pPr>
              <w:pStyle w:val="8"/>
              <w:numPr>
                <w:ilvl w:val="0"/>
                <w:numId w:val="0"/>
              </w:numPr>
              <w:shd w:val="clear"/>
              <w:spacing w:before="23" w:line="223" w:lineRule="auto"/>
              <w:ind w:left="114" w:leftChars="0"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5.课表管理：支持管理员创建、维护班级课程，并提供课表批量导入功能；课表字段需包含学期、周次、单双周、节次、星期、教室、班级、教师、课程信息等。</w:t>
            </w:r>
          </w:p>
          <w:p w14:paraId="071FCE58">
            <w:pPr>
              <w:pStyle w:val="8"/>
              <w:numPr>
                <w:ilvl w:val="0"/>
                <w:numId w:val="0"/>
              </w:numPr>
              <w:shd w:val="clear"/>
              <w:spacing w:before="23" w:line="223" w:lineRule="auto"/>
              <w:ind w:left="114" w:leftChars="0"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6.自定义角色：支持系统管理员根据实际业务需求，自定义创建不同角色并分配对应的功能操作权限。</w:t>
            </w:r>
          </w:p>
          <w:p w14:paraId="248FD432">
            <w:pPr>
              <w:pStyle w:val="8"/>
              <w:numPr>
                <w:ilvl w:val="0"/>
                <w:numId w:val="0"/>
              </w:numPr>
              <w:shd w:val="clear"/>
              <w:spacing w:before="23" w:line="223" w:lineRule="auto"/>
              <w:ind w:left="114" w:leftChars="0"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二、AI课堂分析系统</w:t>
            </w:r>
          </w:p>
          <w:p w14:paraId="3F2F2076">
            <w:pPr>
              <w:pStyle w:val="8"/>
              <w:numPr>
                <w:ilvl w:val="0"/>
                <w:numId w:val="0"/>
              </w:numPr>
              <w:shd w:val="clear"/>
              <w:spacing w:before="23" w:line="223" w:lineRule="auto"/>
              <w:ind w:left="114" w:leftChars="0"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1.语音转字幕：支持视频与字幕自动适配功能，在播放授课音视频时，自动调用语音识别服务，将教师语音实时转换为文字字幕。</w:t>
            </w:r>
          </w:p>
          <w:p w14:paraId="541C42A7">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sz w:val="21"/>
                <w:szCs w:val="21"/>
                <w:highlight w:val="none"/>
                <w:lang w:val="en-US" w:eastAsia="zh-CN"/>
              </w:rPr>
              <w:t>2.提问模型分析：支持自动提取教学视频中教师提出的问题，分析问题间的逻辑关联；结合教育学相关理论模型，从记忆、理解、应用、分析、评价、创造等维度对问题进行归类与深度解析。</w:t>
            </w:r>
            <w:r>
              <w:rPr>
                <w:rFonts w:hint="eastAsia" w:ascii="仿宋_GB2312" w:hAnsi="仿宋_GB2312" w:eastAsia="仿宋_GB2312" w:cs="仿宋_GB2312"/>
                <w:b w:val="0"/>
                <w:bCs w:val="0"/>
                <w:color w:val="auto"/>
                <w:sz w:val="21"/>
                <w:szCs w:val="21"/>
                <w:highlight w:val="none"/>
              </w:rPr>
              <w:t>（提供证明材料</w:t>
            </w:r>
            <w:r>
              <w:rPr>
                <w:rFonts w:hint="eastAsia" w:ascii="仿宋_GB2312" w:hAnsi="仿宋_GB2312" w:eastAsia="仿宋_GB2312" w:cs="仿宋_GB2312"/>
                <w:b w:val="0"/>
                <w:bCs w:val="0"/>
                <w:color w:val="auto"/>
                <w:sz w:val="21"/>
                <w:szCs w:val="21"/>
                <w:highlight w:val="none"/>
                <w:lang w:val="en-US" w:eastAsia="zh-CN"/>
              </w:rPr>
              <w:t>及真实系统现场演示</w:t>
            </w:r>
            <w:r>
              <w:rPr>
                <w:rFonts w:hint="eastAsia" w:ascii="仿宋_GB2312" w:hAnsi="仿宋_GB2312" w:eastAsia="仿宋_GB2312" w:cs="仿宋_GB2312"/>
                <w:b w:val="0"/>
                <w:bCs w:val="0"/>
                <w:color w:val="auto"/>
                <w:sz w:val="21"/>
                <w:szCs w:val="21"/>
                <w:highlight w:val="none"/>
              </w:rPr>
              <w:t>）</w:t>
            </w:r>
          </w:p>
          <w:p w14:paraId="07B1A1C7">
            <w:pPr>
              <w:pStyle w:val="10"/>
              <w:numPr>
                <w:ilvl w:val="0"/>
                <w:numId w:val="0"/>
              </w:num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3.教学行为分析：支持基于经典课堂教学互动评价理论，自动生成师生互动行为图表（如S-T图、Rt-Ch图等），量化分析教师的授课类型（对话型、练习型、混合型、讲授型）以及师生互动的行为特征、频次与时间分布。</w:t>
            </w:r>
            <w:r>
              <w:rPr>
                <w:rFonts w:hint="eastAsia" w:ascii="仿宋_GB2312" w:hAnsi="仿宋_GB2312" w:eastAsia="仿宋_GB2312" w:cs="仿宋_GB2312"/>
                <w:b w:val="0"/>
                <w:bCs w:val="0"/>
                <w:color w:val="auto"/>
                <w:sz w:val="21"/>
                <w:szCs w:val="21"/>
                <w:highlight w:val="none"/>
              </w:rPr>
              <w:t>（提供证明材料</w:t>
            </w:r>
            <w:r>
              <w:rPr>
                <w:rFonts w:hint="eastAsia" w:ascii="仿宋_GB2312" w:hAnsi="仿宋_GB2312" w:eastAsia="仿宋_GB2312" w:cs="仿宋_GB2312"/>
                <w:b w:val="0"/>
                <w:bCs w:val="0"/>
                <w:color w:val="auto"/>
                <w:sz w:val="21"/>
                <w:szCs w:val="21"/>
                <w:highlight w:val="none"/>
                <w:lang w:val="en-US" w:eastAsia="zh-CN"/>
              </w:rPr>
              <w:t>及真实系统现场演示</w:t>
            </w:r>
            <w:r>
              <w:rPr>
                <w:rFonts w:hint="eastAsia" w:ascii="仿宋_GB2312" w:hAnsi="仿宋_GB2312" w:eastAsia="仿宋_GB2312" w:cs="仿宋_GB2312"/>
                <w:b w:val="0"/>
                <w:bCs w:val="0"/>
                <w:color w:val="auto"/>
                <w:sz w:val="21"/>
                <w:szCs w:val="21"/>
                <w:highlight w:val="none"/>
              </w:rPr>
              <w:t>）</w:t>
            </w:r>
          </w:p>
          <w:p w14:paraId="671ACEBB">
            <w:pPr>
              <w:pStyle w:val="8"/>
              <w:numPr>
                <w:ilvl w:val="0"/>
                <w:numId w:val="0"/>
              </w:numPr>
              <w:shd w:val="clear"/>
              <w:spacing w:before="23" w:line="223" w:lineRule="auto"/>
              <w:ind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4.智能点评与建议：支持通过对授课视频的综合分析，自动生成教学内容小结、教学点评及改进建议反馈。</w:t>
            </w:r>
          </w:p>
          <w:p w14:paraId="38BCD1C4">
            <w:pPr>
              <w:pStyle w:val="8"/>
              <w:numPr>
                <w:ilvl w:val="0"/>
                <w:numId w:val="0"/>
              </w:numPr>
              <w:shd w:val="clear"/>
              <w:spacing w:before="23" w:line="223" w:lineRule="auto"/>
              <w:ind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5.教案一致性比对：支持将课前教案与课堂实况进行智能比对，自动分析授课内容与教案的吻合度，评估教师是否按计划授课，并提供一致性数据统计。</w:t>
            </w:r>
          </w:p>
          <w:p w14:paraId="427DB674">
            <w:pPr>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6.知识点/关键词切片与检索：支持利用AI大模型自动识别授课视频中的关键词与知识点，标记其在视频中出现的时间节点与画面截图；支持自定义关键词检索，点击结果可直接跳转至对应视频片段。</w:t>
            </w:r>
          </w:p>
          <w:p w14:paraId="67B05BBC">
            <w:pPr>
              <w:pStyle w:val="10"/>
              <w:numPr>
                <w:ilvl w:val="0"/>
                <w:numId w:val="0"/>
              </w:num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7.学习方式效能分析：支持综合分析师生行为，结合“学习金字塔”等相关教育理论，量化学生在听讲、阅读、视听、演示、讨论、实践、教授他人等环节的行为占比，为提升学习效率提供科学依据。</w:t>
            </w:r>
            <w:r>
              <w:rPr>
                <w:rFonts w:hint="eastAsia" w:ascii="仿宋_GB2312" w:hAnsi="仿宋_GB2312" w:eastAsia="仿宋_GB2312" w:cs="仿宋_GB2312"/>
                <w:b w:val="0"/>
                <w:bCs w:val="0"/>
                <w:color w:val="auto"/>
                <w:sz w:val="21"/>
                <w:szCs w:val="21"/>
                <w:highlight w:val="none"/>
              </w:rPr>
              <w:t>（提供证明材料</w:t>
            </w:r>
            <w:r>
              <w:rPr>
                <w:rFonts w:hint="eastAsia" w:ascii="仿宋_GB2312" w:hAnsi="仿宋_GB2312" w:eastAsia="仿宋_GB2312" w:cs="仿宋_GB2312"/>
                <w:b w:val="0"/>
                <w:bCs w:val="0"/>
                <w:color w:val="auto"/>
                <w:sz w:val="21"/>
                <w:szCs w:val="21"/>
                <w:highlight w:val="none"/>
                <w:lang w:val="en-US" w:eastAsia="zh-CN"/>
              </w:rPr>
              <w:t>及真实系统现场演示</w:t>
            </w:r>
            <w:r>
              <w:rPr>
                <w:rFonts w:hint="eastAsia" w:ascii="仿宋_GB2312" w:hAnsi="仿宋_GB2312" w:eastAsia="仿宋_GB2312" w:cs="仿宋_GB2312"/>
                <w:b w:val="0"/>
                <w:bCs w:val="0"/>
                <w:color w:val="auto"/>
                <w:sz w:val="21"/>
                <w:szCs w:val="21"/>
                <w:highlight w:val="none"/>
              </w:rPr>
              <w:t>）</w:t>
            </w:r>
          </w:p>
          <w:p w14:paraId="2DF0126D">
            <w:pPr>
              <w:pStyle w:val="8"/>
              <w:numPr>
                <w:ilvl w:val="0"/>
                <w:numId w:val="0"/>
              </w:numPr>
              <w:shd w:val="clear"/>
              <w:spacing w:before="23" w:line="223" w:lineRule="auto"/>
              <w:ind w:left="114" w:leftChars="0"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8.多维度评价模板：支持根据不同学科属性与教学要求，灵活设置差异化的教学评价模版。</w:t>
            </w:r>
          </w:p>
          <w:p w14:paraId="05852FFC">
            <w:pPr>
              <w:pStyle w:val="8"/>
              <w:numPr>
                <w:ilvl w:val="0"/>
                <w:numId w:val="0"/>
              </w:numPr>
              <w:shd w:val="clear"/>
              <w:spacing w:before="23" w:line="223" w:lineRule="auto"/>
              <w:ind w:left="114" w:leftChars="0"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9.思维导图生成：支持在课程结束后，自动提炼核心内容并生成思维导图，直观还原课堂教学脉络。</w:t>
            </w:r>
          </w:p>
          <w:p w14:paraId="59398DE1">
            <w:pP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10.AI智能问答助手：支持通过AI智能体针对当堂授课内容进行交互式问答；智能体需能结合本节课的实际授课内容，对师生的疑问进行精准解答。</w:t>
            </w:r>
          </w:p>
          <w:p w14:paraId="5A529CA9">
            <w:pPr>
              <w:pStyle w:val="8"/>
              <w:numPr>
                <w:ilvl w:val="0"/>
                <w:numId w:val="0"/>
              </w:numPr>
              <w:shd w:val="clear"/>
              <w:spacing w:before="23" w:line="223" w:lineRule="auto"/>
              <w:ind w:left="114" w:leftChars="0"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11.学生专注度分析：支持对学生课堂行为（如起立、举手、趴桌子、表演、发言、分组讨论等）进行识别与分析，综合评估学生的课堂专注度。</w:t>
            </w:r>
          </w:p>
          <w:p w14:paraId="42CB7618">
            <w:pPr>
              <w:pStyle w:val="8"/>
              <w:numPr>
                <w:ilvl w:val="0"/>
                <w:numId w:val="0"/>
              </w:numPr>
              <w:shd w:val="clear"/>
              <w:spacing w:before="23" w:line="223" w:lineRule="auto"/>
              <w:ind w:left="114" w:leftChars="0"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12.教学环节拆解：支持自动划分教学环节，分析各环节的构成比例及时间段分布。</w:t>
            </w:r>
          </w:p>
          <w:p w14:paraId="19D13AED">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sz w:val="21"/>
                <w:szCs w:val="21"/>
                <w:highlight w:val="none"/>
                <w:lang w:val="en-US" w:eastAsia="zh-CN"/>
              </w:rPr>
              <w:t>13.分段连贯性分析：支持对教学环节进行分段拆解，分析各阶段的教学连贯性、内容完整性及教学特点。</w:t>
            </w:r>
            <w:r>
              <w:rPr>
                <w:rFonts w:hint="eastAsia" w:ascii="仿宋_GB2312" w:hAnsi="仿宋_GB2312" w:eastAsia="仿宋_GB2312" w:cs="仿宋_GB2312"/>
                <w:b w:val="0"/>
                <w:bCs w:val="0"/>
                <w:color w:val="auto"/>
                <w:sz w:val="21"/>
                <w:szCs w:val="21"/>
                <w:highlight w:val="none"/>
              </w:rPr>
              <w:t>（提供证明材料</w:t>
            </w:r>
            <w:r>
              <w:rPr>
                <w:rFonts w:hint="eastAsia" w:ascii="仿宋_GB2312" w:hAnsi="仿宋_GB2312" w:eastAsia="仿宋_GB2312" w:cs="仿宋_GB2312"/>
                <w:b w:val="0"/>
                <w:bCs w:val="0"/>
                <w:color w:val="auto"/>
                <w:sz w:val="21"/>
                <w:szCs w:val="21"/>
                <w:highlight w:val="none"/>
                <w:lang w:val="en-US" w:eastAsia="zh-CN"/>
              </w:rPr>
              <w:t>及真实系统现场演示</w:t>
            </w:r>
            <w:r>
              <w:rPr>
                <w:rFonts w:hint="eastAsia" w:ascii="仿宋_GB2312" w:hAnsi="仿宋_GB2312" w:eastAsia="仿宋_GB2312" w:cs="仿宋_GB2312"/>
                <w:b w:val="0"/>
                <w:bCs w:val="0"/>
                <w:color w:val="auto"/>
                <w:sz w:val="21"/>
                <w:szCs w:val="21"/>
                <w:highlight w:val="none"/>
              </w:rPr>
              <w:t>）</w:t>
            </w:r>
          </w:p>
          <w:p w14:paraId="109DF172">
            <w:pPr>
              <w:pStyle w:val="8"/>
              <w:numPr>
                <w:ilvl w:val="0"/>
                <w:numId w:val="0"/>
              </w:numPr>
              <w:shd w:val="clear"/>
              <w:spacing w:before="23" w:line="223" w:lineRule="auto"/>
              <w:ind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14.支持上传MP4格式的课堂实录视频，进行智能评价分析。</w:t>
            </w:r>
          </w:p>
          <w:p w14:paraId="1BC05F05">
            <w:pPr>
              <w:pStyle w:val="8"/>
              <w:numPr>
                <w:ilvl w:val="0"/>
                <w:numId w:val="0"/>
              </w:numPr>
              <w:shd w:val="clear"/>
              <w:spacing w:before="23" w:line="223" w:lineRule="auto"/>
              <w:ind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15.每年课堂分析数量：≥5000节课。</w:t>
            </w:r>
          </w:p>
          <w:p w14:paraId="65748247">
            <w:pPr>
              <w:pStyle w:val="8"/>
              <w:numPr>
                <w:ilvl w:val="0"/>
                <w:numId w:val="0"/>
              </w:numPr>
              <w:shd w:val="clear"/>
              <w:spacing w:before="23" w:line="223" w:lineRule="auto"/>
              <w:ind w:left="114" w:leftChars="0"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三、智能巡课系统</w:t>
            </w:r>
          </w:p>
          <w:p w14:paraId="2DA96D23">
            <w:pPr>
              <w:pStyle w:val="8"/>
              <w:numPr>
                <w:ilvl w:val="0"/>
                <w:numId w:val="0"/>
              </w:numPr>
              <w:shd w:val="clear"/>
              <w:spacing w:before="23" w:line="223" w:lineRule="auto"/>
              <w:ind w:left="114" w:leftChars="0"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1.实时直播预览：支持实时接入教室画面的直播预览，预览源需包括教师全景、学生全景、电脑屏幕画面等；支持点击画面自由切换浏览视角。</w:t>
            </w:r>
          </w:p>
          <w:p w14:paraId="4ECFAC20">
            <w:pPr>
              <w:pStyle w:val="8"/>
              <w:numPr>
                <w:ilvl w:val="0"/>
                <w:numId w:val="0"/>
              </w:numPr>
              <w:shd w:val="clear"/>
              <w:spacing w:before="23" w:line="223" w:lineRule="auto"/>
              <w:ind w:left="114" w:leftChars="0"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2.在线听评课：支持在观看直播时同步进行点评；评价模板可由学校自定义，并结合学科要求差异化配置；巡课员可直接在直播页面填写评价结果与留言。</w:t>
            </w:r>
          </w:p>
          <w:p w14:paraId="473635DF">
            <w:pPr>
              <w:pStyle w:val="8"/>
              <w:numPr>
                <w:ilvl w:val="0"/>
                <w:numId w:val="0"/>
              </w:numPr>
              <w:shd w:val="clear"/>
              <w:spacing w:before="23" w:line="223" w:lineRule="auto"/>
              <w:ind w:left="114" w:leftChars="0"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3.桌面流媒体推流：支持云桌面直播功能，无需物理HDMI投屏；通过网络推流技术实时捕捉并传输教师授课时的电脑画面或智慧黑板画面；电脑开机即自动开启推流服务，支持在线巡课时实时查看各教室电脑端画面。</w:t>
            </w:r>
          </w:p>
          <w:p w14:paraId="6795F52E">
            <w:pPr>
              <w:pStyle w:val="8"/>
              <w:numPr>
                <w:ilvl w:val="0"/>
                <w:numId w:val="0"/>
              </w:numPr>
              <w:shd w:val="clear"/>
              <w:spacing w:before="23" w:line="223" w:lineRule="auto"/>
              <w:ind w:left="114" w:leftChars="0"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4.高清录制存储：支持根据课表或教师指令对本地教室进行自动视频录制；录制分辨率需达到1080P及以上，封装格式为MP4。</w:t>
            </w:r>
          </w:p>
          <w:p w14:paraId="4BD7D284">
            <w:pPr>
              <w:pStyle w:val="8"/>
              <w:numPr>
                <w:ilvl w:val="0"/>
                <w:numId w:val="0"/>
              </w:numPr>
              <w:shd w:val="clear"/>
              <w:spacing w:before="23" w:line="223" w:lineRule="auto"/>
              <w:ind w:left="114" w:leftChars="0"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5.远程预约录课：支持用户通过平台远程发起录课预约，支持单个或批量预约操作。</w:t>
            </w:r>
          </w:p>
          <w:p w14:paraId="750CC370">
            <w:pPr>
              <w:pStyle w:val="8"/>
              <w:numPr>
                <w:ilvl w:val="0"/>
                <w:numId w:val="0"/>
              </w:numPr>
              <w:shd w:val="clear"/>
              <w:spacing w:before="23" w:line="223" w:lineRule="auto"/>
              <w:ind w:left="114" w:leftChars="0"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6.历史巡课调阅：支持按校区、年级、班级、学科、教师、时间段等多维条件查询历史巡课记录；支持点击进入具体班级查看巡课详情、评价记录及视频回放。</w:t>
            </w:r>
          </w:p>
          <w:p w14:paraId="24E21040">
            <w:pPr>
              <w:pStyle w:val="8"/>
              <w:numPr>
                <w:ilvl w:val="0"/>
                <w:numId w:val="0"/>
              </w:numPr>
              <w:shd w:val="clear"/>
              <w:spacing w:before="23" w:line="223" w:lineRule="auto"/>
              <w:ind w:left="114" w:leftChars="0"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7.课件同步展示：支持上传教案、课件等附件并与课程绑定；在实时巡课或视频回看时，支持同步展示相关的教案与课件内容。</w:t>
            </w:r>
          </w:p>
          <w:p w14:paraId="3EBAFA3C">
            <w:pPr>
              <w:pStyle w:val="8"/>
              <w:numPr>
                <w:ilvl w:val="0"/>
                <w:numId w:val="0"/>
              </w:numPr>
              <w:shd w:val="clear"/>
              <w:spacing w:before="23" w:line="223" w:lineRule="auto"/>
              <w:ind w:left="114" w:leftChars="0"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8.多机位同步回放：针对一堂课关联多个视频源的场景，支持一键控制所有视频源的同步播放、暂停、快进等操作，保证多视角画面的一致性。</w:t>
            </w:r>
          </w:p>
          <w:p w14:paraId="6582CC0B">
            <w:pPr>
              <w:pStyle w:val="8"/>
              <w:numPr>
                <w:ilvl w:val="0"/>
                <w:numId w:val="0"/>
              </w:numPr>
              <w:shd w:val="clear"/>
              <w:spacing w:before="23" w:line="223" w:lineRule="auto"/>
              <w:ind w:left="114" w:leftChars="0" w:right="107" w:rightChars="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9.设备兼容：支持对接学校现有录播教室设备、常规教室摄像机，以及带摄像头和拾音功能的智慧黑板，实现录课、巡课、评课等业务闭环。</w:t>
            </w:r>
          </w:p>
          <w:p w14:paraId="53EE7C06">
            <w:pPr>
              <w:rPr>
                <w:rFonts w:hint="eastAsia" w:ascii="仿宋_GB2312" w:hAnsi="仿宋_GB2312" w:eastAsia="仿宋_GB2312" w:cs="仿宋_GB2312"/>
                <w:b w:val="0"/>
                <w:bCs w:val="0"/>
                <w:color w:val="auto"/>
                <w:spacing w:val="-1"/>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10.手机设备扫码关联：支持通过手机扫码关联课程，使用手机设备进行直播推流。</w:t>
            </w:r>
          </w:p>
        </w:tc>
        <w:tc>
          <w:tcPr>
            <w:tcW w:w="0" w:type="auto"/>
            <w:vAlign w:val="center"/>
          </w:tcPr>
          <w:p w14:paraId="0ACFB731">
            <w:pPr>
              <w:pStyle w:val="8"/>
              <w:numPr>
                <w:ilvl w:val="0"/>
                <w:numId w:val="0"/>
              </w:numPr>
              <w:spacing w:before="23" w:line="223" w:lineRule="auto"/>
              <w:ind w:left="114" w:leftChars="0" w:right="107" w:rightChars="0"/>
              <w:jc w:val="center"/>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1</w:t>
            </w:r>
          </w:p>
        </w:tc>
        <w:tc>
          <w:tcPr>
            <w:tcW w:w="0" w:type="auto"/>
            <w:vAlign w:val="center"/>
          </w:tcPr>
          <w:p w14:paraId="3BEC60DB">
            <w:pPr>
              <w:pStyle w:val="8"/>
              <w:numPr>
                <w:ilvl w:val="0"/>
                <w:numId w:val="0"/>
              </w:numPr>
              <w:spacing w:before="23" w:line="223" w:lineRule="auto"/>
              <w:ind w:left="114" w:leftChars="0" w:right="107" w:rightChars="0"/>
              <w:jc w:val="center"/>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套/五年</w:t>
            </w:r>
          </w:p>
        </w:tc>
      </w:tr>
      <w:tr w14:paraId="0C42D9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vAlign w:val="center"/>
          </w:tcPr>
          <w:p w14:paraId="16F07662">
            <w:pPr>
              <w:pStyle w:val="8"/>
              <w:spacing w:before="78" w:line="315" w:lineRule="exact"/>
              <w:ind w:left="134"/>
              <w:jc w:val="center"/>
              <w:rPr>
                <w:rFonts w:hint="eastAsia" w:ascii="仿宋_GB2312" w:hAnsi="仿宋_GB2312" w:eastAsia="仿宋_GB2312" w:cs="仿宋_GB2312"/>
                <w:b w:val="0"/>
                <w:bCs w:val="0"/>
                <w:color w:val="auto"/>
                <w:position w:val="1"/>
                <w:sz w:val="21"/>
                <w:szCs w:val="21"/>
                <w:highlight w:val="none"/>
                <w:lang w:val="en-US" w:eastAsia="zh-CN"/>
              </w:rPr>
            </w:pPr>
            <w:r>
              <w:rPr>
                <w:rFonts w:hint="eastAsia" w:ascii="仿宋_GB2312" w:hAnsi="仿宋_GB2312" w:eastAsia="仿宋_GB2312" w:cs="仿宋_GB2312"/>
                <w:b w:val="0"/>
                <w:bCs w:val="0"/>
                <w:color w:val="auto"/>
                <w:position w:val="1"/>
                <w:sz w:val="21"/>
                <w:szCs w:val="21"/>
                <w:highlight w:val="none"/>
                <w:lang w:val="en-US" w:eastAsia="zh-CN"/>
              </w:rPr>
              <w:t>3</w:t>
            </w:r>
          </w:p>
        </w:tc>
        <w:tc>
          <w:tcPr>
            <w:tcW w:w="0" w:type="auto"/>
            <w:vMerge w:val="restart"/>
            <w:vAlign w:val="center"/>
          </w:tcPr>
          <w:p w14:paraId="2E5FFBF9">
            <w:pPr>
              <w:pStyle w:val="8"/>
              <w:spacing w:before="23" w:line="223" w:lineRule="auto"/>
              <w:ind w:left="118"/>
              <w:jc w:val="center"/>
              <w:rPr>
                <w:rFonts w:hint="eastAsia" w:ascii="仿宋_GB2312" w:hAnsi="仿宋_GB2312" w:eastAsia="仿宋_GB2312" w:cs="仿宋_GB2312"/>
                <w:b w:val="0"/>
                <w:bCs w:val="0"/>
                <w:color w:val="auto"/>
                <w:spacing w:val="-1"/>
                <w:sz w:val="21"/>
                <w:szCs w:val="21"/>
                <w:highlight w:val="none"/>
              </w:rPr>
            </w:pPr>
            <w:r>
              <w:rPr>
                <w:rFonts w:hint="eastAsia" w:ascii="仿宋_GB2312" w:hAnsi="仿宋_GB2312" w:eastAsia="仿宋_GB2312" w:cs="仿宋_GB2312"/>
                <w:b w:val="0"/>
                <w:bCs w:val="0"/>
                <w:color w:val="auto"/>
                <w:spacing w:val="-1"/>
                <w:sz w:val="21"/>
                <w:szCs w:val="21"/>
                <w:highlight w:val="none"/>
                <w:lang w:val="en-US" w:eastAsia="zh-CN"/>
              </w:rPr>
              <w:t>智慧健康管理系统</w:t>
            </w:r>
          </w:p>
        </w:tc>
        <w:tc>
          <w:tcPr>
            <w:tcW w:w="0" w:type="auto"/>
            <w:vAlign w:val="center"/>
          </w:tcPr>
          <w:p w14:paraId="1DDD2D79">
            <w:pPr>
              <w:pStyle w:val="8"/>
              <w:spacing w:before="1" w:line="220" w:lineRule="auto"/>
              <w:ind w:left="120"/>
              <w:jc w:val="center"/>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rPr>
              <w:t>运动</w:t>
            </w:r>
            <w:r>
              <w:rPr>
                <w:rFonts w:hint="eastAsia" w:ascii="仿宋_GB2312" w:hAnsi="仿宋_GB2312" w:eastAsia="仿宋_GB2312" w:cs="仿宋_GB2312"/>
                <w:b w:val="0"/>
                <w:bCs w:val="0"/>
                <w:color w:val="auto"/>
                <w:sz w:val="21"/>
                <w:szCs w:val="21"/>
                <w:highlight w:val="none"/>
                <w:lang w:val="en-US" w:eastAsia="zh-CN"/>
              </w:rPr>
              <w:t>负荷</w:t>
            </w:r>
            <w:r>
              <w:rPr>
                <w:rFonts w:hint="eastAsia" w:ascii="仿宋_GB2312" w:hAnsi="仿宋_GB2312" w:eastAsia="仿宋_GB2312" w:cs="仿宋_GB2312"/>
                <w:b w:val="0"/>
                <w:bCs w:val="0"/>
                <w:color w:val="auto"/>
                <w:sz w:val="21"/>
                <w:szCs w:val="21"/>
                <w:highlight w:val="none"/>
              </w:rPr>
              <w:t>检测系统</w:t>
            </w:r>
          </w:p>
        </w:tc>
        <w:tc>
          <w:tcPr>
            <w:tcW w:w="0" w:type="auto"/>
            <w:shd w:val="clear" w:color="auto" w:fill="auto"/>
            <w:vAlign w:val="top"/>
          </w:tcPr>
          <w:p w14:paraId="4C7D70AC">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w:t>
            </w:r>
            <w:r>
              <w:rPr>
                <w:rFonts w:hint="eastAsia" w:ascii="仿宋_GB2312" w:hAnsi="仿宋_GB2312" w:eastAsia="仿宋_GB2312" w:cs="仿宋_GB2312"/>
                <w:b w:val="0"/>
                <w:bCs w:val="0"/>
                <w:color w:val="auto"/>
                <w:sz w:val="21"/>
                <w:szCs w:val="21"/>
                <w:highlight w:val="none"/>
                <w:shd w:val="clear" w:color="auto" w:fill="FFFFFF"/>
                <w:lang w:val="en-US" w:eastAsia="zh-CN"/>
              </w:rPr>
              <w:t>班级学生管理，教师可以根据表格模板填写学生信息，按班级导入学生信息基础数据。</w:t>
            </w:r>
          </w:p>
          <w:p w14:paraId="45497ED2">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2、</w:t>
            </w:r>
            <w:r>
              <w:rPr>
                <w:rFonts w:hint="eastAsia" w:ascii="仿宋_GB2312" w:hAnsi="仿宋_GB2312" w:eastAsia="仿宋_GB2312" w:cs="仿宋_GB2312"/>
                <w:b w:val="0"/>
                <w:bCs w:val="0"/>
                <w:color w:val="auto"/>
                <w:sz w:val="21"/>
                <w:szCs w:val="21"/>
                <w:highlight w:val="none"/>
                <w:shd w:val="clear" w:color="auto" w:fill="FFFFFF"/>
                <w:lang w:val="en-US" w:eastAsia="zh-CN"/>
              </w:rPr>
              <w:t>臂带设备套组管理，教师可以通过模板表格录入臂带编号、MAC地址等设备信息，建立多个臂带设备组，展示臂带组别列表。可以设置每个班级同时配对一套设备，也可每个班级一对一配对设备。</w:t>
            </w:r>
          </w:p>
          <w:p w14:paraId="273EAADA">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3、</w:t>
            </w:r>
            <w:r>
              <w:rPr>
                <w:rFonts w:hint="eastAsia" w:ascii="仿宋_GB2312" w:hAnsi="仿宋_GB2312" w:eastAsia="仿宋_GB2312" w:cs="仿宋_GB2312"/>
                <w:b w:val="0"/>
                <w:bCs w:val="0"/>
                <w:color w:val="auto"/>
                <w:sz w:val="21"/>
                <w:szCs w:val="21"/>
                <w:highlight w:val="none"/>
                <w:shd w:val="clear" w:color="auto" w:fill="FFFFFF"/>
                <w:lang w:val="en-US" w:eastAsia="zh-CN"/>
              </w:rPr>
              <w:t>一套臂带设备组支持匹配多个学生班级，训练时选取班级上课，即可进行学生和臂带快速绑定，臂带监测数据与学生进行一对一匹配。</w:t>
            </w:r>
          </w:p>
          <w:p w14:paraId="20A0D8A8">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4、</w:t>
            </w:r>
            <w:r>
              <w:rPr>
                <w:rFonts w:hint="eastAsia" w:ascii="仿宋_GB2312" w:hAnsi="仿宋_GB2312" w:eastAsia="仿宋_GB2312" w:cs="仿宋_GB2312"/>
                <w:b w:val="0"/>
                <w:bCs w:val="0"/>
                <w:color w:val="auto"/>
                <w:sz w:val="21"/>
                <w:szCs w:val="21"/>
                <w:highlight w:val="none"/>
                <w:shd w:val="clear" w:color="auto" w:fill="FFFFFF"/>
                <w:lang w:val="en-US" w:eastAsia="zh-CN"/>
              </w:rPr>
              <w:t>教师可以查看体育课、大课间、兴趣班等类型课堂报告，支持选择上课时间快速搜索查看课堂报告。</w:t>
            </w:r>
          </w:p>
          <w:p w14:paraId="6D0C8246">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5、</w:t>
            </w:r>
            <w:r>
              <w:rPr>
                <w:rFonts w:hint="eastAsia" w:ascii="仿宋_GB2312" w:hAnsi="仿宋_GB2312" w:eastAsia="仿宋_GB2312" w:cs="仿宋_GB2312"/>
                <w:b w:val="0"/>
                <w:bCs w:val="0"/>
                <w:color w:val="auto"/>
                <w:sz w:val="21"/>
                <w:szCs w:val="21"/>
                <w:highlight w:val="none"/>
                <w:shd w:val="clear" w:color="auto" w:fill="FFFFFF"/>
                <w:lang w:val="en-US" w:eastAsia="zh-CN"/>
              </w:rPr>
              <w:t>班级训练结束后，系统自动生成班级课堂报告，报告展示课堂总体情况概述，展示班级信息、上课时间、参与人数，分析平均心率持续时间与课程时间占比、分析运动质量、分析最高心率和出现时间、分析运动强度和运动密度是否符合预期，以及分析课堂平均心率变化发展情况是否符合预期。</w:t>
            </w:r>
            <w:r>
              <w:rPr>
                <w:rFonts w:hint="eastAsia" w:ascii="仿宋_GB2312" w:hAnsi="仿宋_GB2312" w:eastAsia="仿宋_GB2312" w:cs="仿宋_GB2312"/>
                <w:b w:val="0"/>
                <w:bCs w:val="0"/>
                <w:color w:val="auto"/>
                <w:sz w:val="21"/>
                <w:szCs w:val="21"/>
                <w:highlight w:val="none"/>
              </w:rPr>
              <w:t>（提供证明材料</w:t>
            </w:r>
            <w:r>
              <w:rPr>
                <w:rFonts w:hint="eastAsia" w:ascii="仿宋_GB2312" w:hAnsi="仿宋_GB2312" w:eastAsia="仿宋_GB2312" w:cs="仿宋_GB2312"/>
                <w:b w:val="0"/>
                <w:bCs w:val="0"/>
                <w:color w:val="auto"/>
                <w:sz w:val="21"/>
                <w:szCs w:val="21"/>
                <w:highlight w:val="none"/>
                <w:lang w:val="en-US" w:eastAsia="zh-CN"/>
              </w:rPr>
              <w:t>及真实系统现场演示</w:t>
            </w:r>
            <w:r>
              <w:rPr>
                <w:rFonts w:hint="eastAsia" w:ascii="仿宋_GB2312" w:hAnsi="仿宋_GB2312" w:eastAsia="仿宋_GB2312" w:cs="仿宋_GB2312"/>
                <w:b w:val="0"/>
                <w:bCs w:val="0"/>
                <w:color w:val="auto"/>
                <w:sz w:val="21"/>
                <w:szCs w:val="21"/>
                <w:highlight w:val="none"/>
              </w:rPr>
              <w:t>）</w:t>
            </w:r>
          </w:p>
          <w:p w14:paraId="105540ED">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6、</w:t>
            </w:r>
            <w:r>
              <w:rPr>
                <w:rFonts w:hint="eastAsia" w:ascii="仿宋_GB2312" w:hAnsi="仿宋_GB2312" w:eastAsia="仿宋_GB2312" w:cs="仿宋_GB2312"/>
                <w:b w:val="0"/>
                <w:bCs w:val="0"/>
                <w:color w:val="auto"/>
                <w:sz w:val="21"/>
                <w:szCs w:val="21"/>
                <w:highlight w:val="none"/>
                <w:shd w:val="clear" w:color="auto" w:fill="FFFFFF"/>
                <w:lang w:val="en-US" w:eastAsia="zh-CN"/>
              </w:rPr>
              <w:t>班级课堂报告分析内容具体包含班级运动强度、运动密度、平均心率、最高心率、最低心率、心率高于120持续时间、平均步数和卡路里，以及运动强度、运动密度、平均心率等预期达成情况、达标人数和达标率。</w:t>
            </w:r>
          </w:p>
          <w:p w14:paraId="069AB856">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7、</w:t>
            </w:r>
            <w:r>
              <w:rPr>
                <w:rFonts w:hint="eastAsia" w:ascii="仿宋_GB2312" w:hAnsi="仿宋_GB2312" w:eastAsia="仿宋_GB2312" w:cs="仿宋_GB2312"/>
                <w:b w:val="0"/>
                <w:bCs w:val="0"/>
                <w:color w:val="auto"/>
                <w:sz w:val="21"/>
                <w:szCs w:val="21"/>
                <w:highlight w:val="none"/>
                <w:shd w:val="clear" w:color="auto" w:fill="FFFFFF"/>
                <w:lang w:val="en-US" w:eastAsia="zh-CN"/>
              </w:rPr>
              <w:t>班级课堂报告展示班级心率运动曲线、班级平均心率分布、运动强度分布、班级运动强度指数、运动密度分布、班级平均步数、班级平均消耗卡路里、心率异常学生名单和设备未使用学生名单，以及学生个人心率曲线图、步数、卡路里、最高心率、最低心率、平均心率、运动强度和运动密度。</w:t>
            </w:r>
          </w:p>
          <w:p w14:paraId="4BAB385E">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8、</w:t>
            </w:r>
            <w:r>
              <w:rPr>
                <w:rFonts w:hint="eastAsia" w:ascii="仿宋_GB2312" w:hAnsi="仿宋_GB2312" w:eastAsia="仿宋_GB2312" w:cs="仿宋_GB2312"/>
                <w:b w:val="0"/>
                <w:bCs w:val="0"/>
                <w:color w:val="auto"/>
                <w:sz w:val="21"/>
                <w:szCs w:val="21"/>
                <w:highlight w:val="none"/>
                <w:shd w:val="clear" w:color="auto" w:fill="FFFFFF"/>
                <w:lang w:val="en-US" w:eastAsia="zh-CN"/>
              </w:rPr>
              <w:t>教师可以浏览、打印班级课堂报告。</w:t>
            </w:r>
          </w:p>
          <w:p w14:paraId="0481A8FC">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9、</w:t>
            </w:r>
            <w:r>
              <w:rPr>
                <w:rFonts w:hint="eastAsia" w:ascii="仿宋_GB2312" w:hAnsi="仿宋_GB2312" w:eastAsia="仿宋_GB2312" w:cs="仿宋_GB2312"/>
                <w:b w:val="0"/>
                <w:bCs w:val="0"/>
                <w:color w:val="auto"/>
                <w:sz w:val="21"/>
                <w:szCs w:val="21"/>
                <w:highlight w:val="none"/>
                <w:shd w:val="clear" w:color="auto" w:fill="FFFFFF"/>
                <w:lang w:val="en-US" w:eastAsia="zh-CN"/>
              </w:rPr>
              <w:t>支持统计分析学生日常锻炼的数据，以学生报告形式展示。</w:t>
            </w:r>
          </w:p>
          <w:p w14:paraId="554BDCD5">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10、</w:t>
            </w:r>
            <w:r>
              <w:rPr>
                <w:rFonts w:hint="eastAsia" w:ascii="仿宋_GB2312" w:hAnsi="仿宋_GB2312" w:eastAsia="仿宋_GB2312" w:cs="仿宋_GB2312"/>
                <w:b w:val="0"/>
                <w:bCs w:val="0"/>
                <w:color w:val="auto"/>
                <w:sz w:val="21"/>
                <w:szCs w:val="21"/>
                <w:highlight w:val="none"/>
                <w:shd w:val="clear" w:color="auto" w:fill="FFFFFF"/>
                <w:lang w:val="en-US" w:eastAsia="zh-CN"/>
              </w:rPr>
              <w:t>班级训练结束后，系统自动生成学生个人报告，报告展示学生基础信息，包括姓名、年龄、性别、班级。</w:t>
            </w:r>
          </w:p>
          <w:p w14:paraId="4D665923">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11、</w:t>
            </w:r>
            <w:r>
              <w:rPr>
                <w:rFonts w:hint="eastAsia" w:ascii="仿宋_GB2312" w:hAnsi="仿宋_GB2312" w:eastAsia="仿宋_GB2312" w:cs="仿宋_GB2312"/>
                <w:b w:val="0"/>
                <w:bCs w:val="0"/>
                <w:color w:val="auto"/>
                <w:sz w:val="21"/>
                <w:szCs w:val="21"/>
                <w:highlight w:val="none"/>
                <w:shd w:val="clear" w:color="auto" w:fill="FFFFFF"/>
                <w:lang w:val="en-US" w:eastAsia="zh-CN"/>
              </w:rPr>
              <w:t>学生个人报告展示运动强度数值与预设的期望区间、训练密度数值与预设的期望区间、平均心率数值与预设的期望区间、最低心率数值和最高心率数值，并通过进度条形式展示学生运动强度、训练密度和心率数据。</w:t>
            </w:r>
          </w:p>
          <w:p w14:paraId="73802298">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12、</w:t>
            </w:r>
            <w:r>
              <w:rPr>
                <w:rFonts w:hint="eastAsia" w:ascii="仿宋_GB2312" w:hAnsi="仿宋_GB2312" w:eastAsia="仿宋_GB2312" w:cs="仿宋_GB2312"/>
                <w:b w:val="0"/>
                <w:bCs w:val="0"/>
                <w:color w:val="auto"/>
                <w:sz w:val="21"/>
                <w:szCs w:val="21"/>
                <w:highlight w:val="none"/>
                <w:shd w:val="clear" w:color="auto" w:fill="FFFFFF"/>
                <w:lang w:val="en-US" w:eastAsia="zh-CN"/>
              </w:rPr>
              <w:t>学生个人报告展示学生个人平均心率超过120时间、课程持续时间和班级排名，总体步数、班级平均步数和班级排名，卡路里、班级平均卡路里和班级排名。</w:t>
            </w:r>
          </w:p>
          <w:p w14:paraId="13990EEB">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13、</w:t>
            </w:r>
            <w:r>
              <w:rPr>
                <w:rFonts w:hint="eastAsia" w:ascii="仿宋_GB2312" w:hAnsi="仿宋_GB2312" w:eastAsia="仿宋_GB2312" w:cs="仿宋_GB2312"/>
                <w:b w:val="0"/>
                <w:bCs w:val="0"/>
                <w:color w:val="auto"/>
                <w:sz w:val="21"/>
                <w:szCs w:val="21"/>
                <w:highlight w:val="none"/>
                <w:shd w:val="clear" w:color="auto" w:fill="FFFFFF"/>
                <w:lang w:val="en-US" w:eastAsia="zh-CN"/>
              </w:rPr>
              <w:t>学生个人报告展示学生个人平均心率曲线和班级平均心率曲线，曲线分别从开始、准备、基本和结束四个阶段展示，并文字描述学生个人平均心率曲线四个阶段的走势程度，以及总体走势是否超过预期值。</w:t>
            </w:r>
          </w:p>
          <w:p w14:paraId="28C92342">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14、</w:t>
            </w:r>
            <w:r>
              <w:rPr>
                <w:rFonts w:hint="eastAsia" w:ascii="仿宋_GB2312" w:hAnsi="仿宋_GB2312" w:eastAsia="仿宋_GB2312" w:cs="仿宋_GB2312"/>
                <w:b w:val="0"/>
                <w:bCs w:val="0"/>
                <w:color w:val="auto"/>
                <w:sz w:val="21"/>
                <w:szCs w:val="21"/>
                <w:highlight w:val="none"/>
                <w:shd w:val="clear" w:color="auto" w:fill="FFFFFF"/>
                <w:lang w:val="en-US" w:eastAsia="zh-CN"/>
              </w:rPr>
              <w:t>学生个人报告展示学生个人运动强度时间，以条状图形式展示学生在体育课堂上的五大心率区间[0,119]，[120,139]，[140,159]，[160,179]，[180+]所占时间。</w:t>
            </w:r>
          </w:p>
          <w:p w14:paraId="5C970ADC">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15、</w:t>
            </w:r>
            <w:r>
              <w:rPr>
                <w:rFonts w:hint="eastAsia" w:ascii="仿宋_GB2312" w:hAnsi="仿宋_GB2312" w:eastAsia="仿宋_GB2312" w:cs="仿宋_GB2312"/>
                <w:b w:val="0"/>
                <w:bCs w:val="0"/>
                <w:color w:val="auto"/>
                <w:sz w:val="21"/>
                <w:szCs w:val="21"/>
                <w:highlight w:val="none"/>
                <w:shd w:val="clear" w:color="auto" w:fill="FFFFFF"/>
                <w:lang w:val="en-US" w:eastAsia="zh-CN"/>
              </w:rPr>
              <w:t>学生个人报告展示学生个人步数和卡路里曲线，曲线分别从开始、准备、基本和结束四个阶段展现学生个人的步数和卡路里数据。</w:t>
            </w:r>
          </w:p>
          <w:p w14:paraId="1710DE40">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16、</w:t>
            </w:r>
            <w:r>
              <w:rPr>
                <w:rFonts w:hint="eastAsia" w:ascii="仿宋_GB2312" w:hAnsi="仿宋_GB2312" w:eastAsia="仿宋_GB2312" w:cs="仿宋_GB2312"/>
                <w:b w:val="0"/>
                <w:bCs w:val="0"/>
                <w:color w:val="auto"/>
                <w:sz w:val="21"/>
                <w:szCs w:val="21"/>
                <w:highlight w:val="none"/>
                <w:shd w:val="clear" w:color="auto" w:fill="FFFFFF"/>
                <w:lang w:val="en-US" w:eastAsia="zh-CN"/>
              </w:rPr>
              <w:t>学生个人报告提供综合分析与建议，根据学生个人的心率、步数、卡路里数据提供学生专属运动建议与指导，包含运动强度、持续时间、运动频度和运动动作说明。</w:t>
            </w:r>
          </w:p>
          <w:p w14:paraId="0031AF86">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17、</w:t>
            </w:r>
            <w:r>
              <w:rPr>
                <w:rFonts w:hint="eastAsia" w:ascii="仿宋_GB2312" w:hAnsi="仿宋_GB2312" w:eastAsia="仿宋_GB2312" w:cs="仿宋_GB2312"/>
                <w:b w:val="0"/>
                <w:bCs w:val="0"/>
                <w:color w:val="auto"/>
                <w:sz w:val="21"/>
                <w:szCs w:val="21"/>
                <w:highlight w:val="none"/>
                <w:shd w:val="clear" w:color="auto" w:fill="FFFFFF"/>
                <w:lang w:val="en-US" w:eastAsia="zh-CN"/>
              </w:rPr>
              <w:t>支持按学年、学期查看心率数据分析，展示心率监测课时、心率监测班级、总体平均心率、心率≥120平均时间，并以图形形式展示课时数对比、平均心率、心率大于等于120的平均时间、累计运动强度、累计运动密度统计。</w:t>
            </w:r>
          </w:p>
          <w:p w14:paraId="35DE2516">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18、</w:t>
            </w:r>
            <w:r>
              <w:rPr>
                <w:rFonts w:hint="eastAsia" w:ascii="仿宋_GB2312" w:hAnsi="仿宋_GB2312" w:eastAsia="仿宋_GB2312" w:cs="仿宋_GB2312"/>
                <w:b w:val="0"/>
                <w:bCs w:val="0"/>
                <w:color w:val="auto"/>
                <w:sz w:val="21"/>
                <w:szCs w:val="21"/>
                <w:highlight w:val="none"/>
                <w:shd w:val="clear" w:color="auto" w:fill="FFFFFF"/>
                <w:lang w:val="en-US" w:eastAsia="zh-CN"/>
              </w:rPr>
              <w:t>心率数据年级统计结果以表格形式，分性别统计平均心率、平均运动强度、平均运动密度、平均步数、平均卡路里、心率≥120平均时间、最高心率。</w:t>
            </w:r>
          </w:p>
          <w:p w14:paraId="11907FE4">
            <w:pPr>
              <w:pStyle w:val="10"/>
              <w:numPr>
                <w:ilvl w:val="0"/>
                <w:numId w:val="0"/>
              </w:numPr>
              <w:rPr>
                <w:rFonts w:hint="eastAsia" w:ascii="仿宋_GB2312" w:hAnsi="仿宋_GB2312" w:eastAsia="仿宋_GB2312" w:cs="仿宋_GB2312"/>
                <w:b w:val="0"/>
                <w:bCs w:val="0"/>
                <w:snapToGrid w:val="0"/>
                <w:color w:val="auto"/>
                <w:kern w:val="0"/>
                <w:sz w:val="21"/>
                <w:szCs w:val="21"/>
                <w:highlight w:val="none"/>
                <w:vertAlign w:val="baseline"/>
                <w:lang w:val="en-US" w:eastAsia="zh-CN" w:bidi="ar-SA"/>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19、</w:t>
            </w:r>
            <w:r>
              <w:rPr>
                <w:rFonts w:hint="eastAsia" w:ascii="仿宋_GB2312" w:hAnsi="仿宋_GB2312" w:eastAsia="仿宋_GB2312" w:cs="仿宋_GB2312"/>
                <w:b w:val="0"/>
                <w:bCs w:val="0"/>
                <w:color w:val="auto"/>
                <w:sz w:val="21"/>
                <w:szCs w:val="21"/>
                <w:highlight w:val="none"/>
                <w:shd w:val="clear" w:color="auto" w:fill="FFFFFF"/>
                <w:lang w:val="en-US" w:eastAsia="zh-CN"/>
              </w:rPr>
              <w:t>心率数据班级统计，支持按学年、学期查询</w:t>
            </w:r>
            <w:r>
              <w:rPr>
                <w:rFonts w:hint="eastAsia" w:ascii="仿宋_GB2312" w:hAnsi="仿宋_GB2312" w:eastAsia="仿宋_GB2312" w:cs="仿宋_GB2312"/>
                <w:b w:val="0"/>
                <w:bCs w:val="0"/>
                <w:color w:val="auto"/>
                <w:sz w:val="21"/>
                <w:szCs w:val="21"/>
                <w:highlight w:val="none"/>
              </w:rPr>
              <w:t>平均心率</w:t>
            </w:r>
            <w:r>
              <w:rPr>
                <w:rFonts w:hint="eastAsia" w:ascii="仿宋_GB2312" w:hAnsi="仿宋_GB2312" w:eastAsia="仿宋_GB2312" w:cs="仿宋_GB2312"/>
                <w:b w:val="0"/>
                <w:bCs w:val="0"/>
                <w:color w:val="auto"/>
                <w:sz w:val="21"/>
                <w:szCs w:val="21"/>
                <w:highlight w:val="none"/>
                <w:lang w:eastAsia="zh-CN"/>
              </w:rPr>
              <w:t>、</w:t>
            </w:r>
            <w:r>
              <w:rPr>
                <w:rFonts w:hint="eastAsia" w:ascii="仿宋_GB2312" w:hAnsi="仿宋_GB2312" w:eastAsia="仿宋_GB2312" w:cs="仿宋_GB2312"/>
                <w:b w:val="0"/>
                <w:bCs w:val="0"/>
                <w:color w:val="auto"/>
                <w:sz w:val="21"/>
                <w:szCs w:val="21"/>
                <w:highlight w:val="none"/>
              </w:rPr>
              <w:t>心率≥120的平均时间</w:t>
            </w:r>
            <w:r>
              <w:rPr>
                <w:rFonts w:hint="eastAsia" w:ascii="仿宋_GB2312" w:hAnsi="仿宋_GB2312" w:eastAsia="仿宋_GB2312" w:cs="仿宋_GB2312"/>
                <w:b w:val="0"/>
                <w:bCs w:val="0"/>
                <w:color w:val="auto"/>
                <w:sz w:val="21"/>
                <w:szCs w:val="21"/>
                <w:highlight w:val="none"/>
                <w:lang w:eastAsia="zh-CN"/>
              </w:rPr>
              <w:t>、</w:t>
            </w:r>
            <w:r>
              <w:rPr>
                <w:rFonts w:hint="eastAsia" w:ascii="仿宋_GB2312" w:hAnsi="仿宋_GB2312" w:eastAsia="仿宋_GB2312" w:cs="仿宋_GB2312"/>
                <w:b w:val="0"/>
                <w:bCs w:val="0"/>
                <w:color w:val="auto"/>
                <w:sz w:val="21"/>
                <w:szCs w:val="21"/>
                <w:highlight w:val="none"/>
              </w:rPr>
              <w:t>运动强度及运动密度</w:t>
            </w:r>
            <w:r>
              <w:rPr>
                <w:rFonts w:hint="eastAsia" w:ascii="仿宋_GB2312" w:hAnsi="仿宋_GB2312" w:eastAsia="仿宋_GB2312" w:cs="仿宋_GB2312"/>
                <w:b w:val="0"/>
                <w:bCs w:val="0"/>
                <w:color w:val="auto"/>
                <w:sz w:val="21"/>
                <w:szCs w:val="21"/>
                <w:highlight w:val="none"/>
                <w:lang w:eastAsia="zh-CN"/>
              </w:rPr>
              <w:t>，统计数据均以图形形式展示。</w:t>
            </w:r>
          </w:p>
        </w:tc>
        <w:tc>
          <w:tcPr>
            <w:tcW w:w="0" w:type="auto"/>
            <w:shd w:val="clear" w:color="auto" w:fill="auto"/>
            <w:vAlign w:val="center"/>
          </w:tcPr>
          <w:p w14:paraId="0297E946">
            <w:pPr>
              <w:pStyle w:val="10"/>
              <w:numPr>
                <w:ilvl w:val="0"/>
                <w:numId w:val="0"/>
              </w:numPr>
              <w:jc w:val="center"/>
              <w:rPr>
                <w:rFonts w:hint="eastAsia" w:ascii="仿宋_GB2312" w:hAnsi="仿宋_GB2312" w:eastAsia="仿宋_GB2312" w:cs="仿宋_GB2312"/>
                <w:b w:val="0"/>
                <w:bCs w:val="0"/>
                <w:color w:val="auto"/>
                <w:kern w:val="2"/>
                <w:sz w:val="21"/>
                <w:szCs w:val="21"/>
                <w:highlight w:val="none"/>
                <w:shd w:val="clear" w:fill="FFFFFF"/>
                <w:lang w:val="en-US" w:eastAsia="zh-CN" w:bidi="ar-SA"/>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w:t>
            </w:r>
          </w:p>
        </w:tc>
        <w:tc>
          <w:tcPr>
            <w:tcW w:w="0" w:type="auto"/>
            <w:shd w:val="clear" w:color="auto" w:fill="auto"/>
            <w:vAlign w:val="center"/>
          </w:tcPr>
          <w:p w14:paraId="0B84D623">
            <w:pPr>
              <w:pStyle w:val="10"/>
              <w:numPr>
                <w:ilvl w:val="0"/>
                <w:numId w:val="0"/>
              </w:numPr>
              <w:jc w:val="center"/>
              <w:rPr>
                <w:rFonts w:hint="eastAsia" w:ascii="仿宋_GB2312" w:hAnsi="仿宋_GB2312" w:eastAsia="仿宋_GB2312" w:cs="仿宋_GB2312"/>
                <w:b w:val="0"/>
                <w:bCs w:val="0"/>
                <w:color w:val="auto"/>
                <w:kern w:val="2"/>
                <w:sz w:val="21"/>
                <w:szCs w:val="21"/>
                <w:highlight w:val="none"/>
                <w:shd w:val="clear" w:fill="FFFFFF"/>
                <w:lang w:val="en-US" w:eastAsia="zh-CN" w:bidi="ar-SA"/>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套</w:t>
            </w:r>
          </w:p>
        </w:tc>
      </w:tr>
      <w:tr w14:paraId="66A54D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vAlign w:val="center"/>
          </w:tcPr>
          <w:p w14:paraId="4CFBB646">
            <w:pPr>
              <w:pStyle w:val="8"/>
              <w:spacing w:before="78" w:line="315" w:lineRule="exact"/>
              <w:ind w:left="134"/>
              <w:jc w:val="center"/>
              <w:rPr>
                <w:rFonts w:hint="default" w:ascii="仿宋_GB2312" w:hAnsi="仿宋_GB2312" w:eastAsia="仿宋_GB2312" w:cs="仿宋_GB2312"/>
                <w:b w:val="0"/>
                <w:bCs w:val="0"/>
                <w:color w:val="auto"/>
                <w:position w:val="1"/>
                <w:sz w:val="21"/>
                <w:szCs w:val="21"/>
                <w:highlight w:val="none"/>
                <w:lang w:val="en-US" w:eastAsia="zh-CN"/>
              </w:rPr>
            </w:pPr>
            <w:r>
              <w:rPr>
                <w:rFonts w:hint="eastAsia" w:ascii="仿宋_GB2312" w:hAnsi="仿宋_GB2312" w:eastAsia="仿宋_GB2312" w:cs="仿宋_GB2312"/>
                <w:b w:val="0"/>
                <w:bCs w:val="0"/>
                <w:color w:val="auto"/>
                <w:position w:val="1"/>
                <w:sz w:val="21"/>
                <w:szCs w:val="21"/>
                <w:highlight w:val="none"/>
                <w:lang w:val="en-US" w:eastAsia="zh-CN"/>
              </w:rPr>
              <w:t>4</w:t>
            </w:r>
          </w:p>
        </w:tc>
        <w:tc>
          <w:tcPr>
            <w:tcW w:w="0" w:type="auto"/>
            <w:vMerge w:val="continue"/>
            <w:vAlign w:val="center"/>
          </w:tcPr>
          <w:p w14:paraId="1D2CFB80">
            <w:pPr>
              <w:pStyle w:val="8"/>
              <w:spacing w:before="23" w:line="223" w:lineRule="auto"/>
              <w:ind w:left="118"/>
              <w:jc w:val="center"/>
              <w:rPr>
                <w:rFonts w:hint="eastAsia" w:ascii="仿宋_GB2312" w:hAnsi="仿宋_GB2312" w:eastAsia="仿宋_GB2312" w:cs="仿宋_GB2312"/>
                <w:b w:val="0"/>
                <w:bCs w:val="0"/>
                <w:color w:val="auto"/>
                <w:spacing w:val="-1"/>
                <w:sz w:val="21"/>
                <w:szCs w:val="21"/>
                <w:highlight w:val="none"/>
              </w:rPr>
            </w:pPr>
          </w:p>
        </w:tc>
        <w:tc>
          <w:tcPr>
            <w:tcW w:w="0" w:type="auto"/>
            <w:vAlign w:val="center"/>
          </w:tcPr>
          <w:p w14:paraId="526D69D3">
            <w:pPr>
              <w:pStyle w:val="8"/>
              <w:spacing w:before="1" w:line="220" w:lineRule="auto"/>
              <w:ind w:left="120"/>
              <w:jc w:val="cente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采集器软件系统</w:t>
            </w:r>
          </w:p>
        </w:tc>
        <w:tc>
          <w:tcPr>
            <w:tcW w:w="0" w:type="auto"/>
            <w:shd w:val="clear" w:color="auto" w:fill="auto"/>
            <w:vAlign w:val="top"/>
          </w:tcPr>
          <w:p w14:paraId="28484D2D">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w:t>
            </w:r>
            <w:r>
              <w:rPr>
                <w:rFonts w:hint="eastAsia" w:ascii="仿宋_GB2312" w:hAnsi="仿宋_GB2312" w:eastAsia="仿宋_GB2312" w:cs="仿宋_GB2312"/>
                <w:b w:val="0"/>
                <w:bCs w:val="0"/>
                <w:color w:val="auto"/>
                <w:sz w:val="21"/>
                <w:szCs w:val="21"/>
                <w:highlight w:val="none"/>
                <w:shd w:val="clear" w:color="auto" w:fill="FFFFFF"/>
                <w:lang w:val="en-US" w:eastAsia="zh-CN"/>
              </w:rPr>
              <w:t>采集学生运动训练过程中的心率、步数、运动强度等运动数据。</w:t>
            </w:r>
          </w:p>
          <w:p w14:paraId="57F07637">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2、</w:t>
            </w:r>
            <w:r>
              <w:rPr>
                <w:rFonts w:hint="eastAsia" w:ascii="仿宋_GB2312" w:hAnsi="仿宋_GB2312" w:eastAsia="仿宋_GB2312" w:cs="仿宋_GB2312"/>
                <w:b w:val="0"/>
                <w:bCs w:val="0"/>
                <w:color w:val="auto"/>
                <w:sz w:val="21"/>
                <w:szCs w:val="21"/>
                <w:highlight w:val="none"/>
                <w:shd w:val="clear" w:color="auto" w:fill="FFFFFF"/>
                <w:lang w:val="en-US" w:eastAsia="zh-CN"/>
              </w:rPr>
              <w:t>数据通过无线技术上传至服务器，进行存储、分析、反馈。</w:t>
            </w:r>
          </w:p>
          <w:p w14:paraId="5FC8E6A5">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3、</w:t>
            </w:r>
            <w:r>
              <w:rPr>
                <w:rFonts w:hint="eastAsia" w:ascii="仿宋_GB2312" w:hAnsi="仿宋_GB2312" w:eastAsia="仿宋_GB2312" w:cs="仿宋_GB2312"/>
                <w:b w:val="0"/>
                <w:bCs w:val="0"/>
                <w:color w:val="auto"/>
                <w:sz w:val="21"/>
                <w:szCs w:val="21"/>
                <w:highlight w:val="none"/>
                <w:shd w:val="clear" w:color="auto" w:fill="FFFFFF"/>
                <w:lang w:val="en-US" w:eastAsia="zh-CN"/>
              </w:rPr>
              <w:t>支持智能化考勤，自动统计出勤、缺勤学生名单，教师可设置缺勤学生为请假状态，实时生成考勤历史记录。</w:t>
            </w:r>
          </w:p>
          <w:p w14:paraId="2FBDCDBD">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4、</w:t>
            </w:r>
            <w:r>
              <w:rPr>
                <w:rFonts w:hint="eastAsia" w:ascii="仿宋_GB2312" w:hAnsi="仿宋_GB2312" w:eastAsia="仿宋_GB2312" w:cs="仿宋_GB2312"/>
                <w:b w:val="0"/>
                <w:bCs w:val="0"/>
                <w:color w:val="auto"/>
                <w:sz w:val="21"/>
                <w:szCs w:val="21"/>
                <w:highlight w:val="none"/>
                <w:shd w:val="clear" w:color="auto" w:fill="FFFFFF"/>
                <w:lang w:val="en-US" w:eastAsia="zh-CN"/>
              </w:rPr>
              <w:t>可查看考勤历史，包含班级、考勤时间，以及出勤、缺勤、请假学生人数与名单。</w:t>
            </w:r>
          </w:p>
          <w:p w14:paraId="35CB1815">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5、</w:t>
            </w:r>
            <w:r>
              <w:rPr>
                <w:rFonts w:hint="eastAsia" w:ascii="仿宋_GB2312" w:hAnsi="仿宋_GB2312" w:eastAsia="仿宋_GB2312" w:cs="仿宋_GB2312"/>
                <w:b w:val="0"/>
                <w:bCs w:val="0"/>
                <w:color w:val="auto"/>
                <w:sz w:val="21"/>
                <w:szCs w:val="21"/>
                <w:highlight w:val="none"/>
                <w:shd w:val="clear" w:color="auto" w:fill="FFFFFF"/>
                <w:lang w:val="en-US" w:eastAsia="zh-CN"/>
              </w:rPr>
              <w:t>体育课监测支持选择上课班级，快速完成换班。</w:t>
            </w:r>
          </w:p>
          <w:p w14:paraId="58625D90">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6、</w:t>
            </w:r>
            <w:r>
              <w:rPr>
                <w:rFonts w:hint="eastAsia" w:ascii="仿宋_GB2312" w:hAnsi="仿宋_GB2312" w:eastAsia="仿宋_GB2312" w:cs="仿宋_GB2312"/>
                <w:b w:val="0"/>
                <w:bCs w:val="0"/>
                <w:color w:val="auto"/>
                <w:sz w:val="21"/>
                <w:szCs w:val="21"/>
                <w:highlight w:val="none"/>
                <w:shd w:val="clear" w:color="auto" w:fill="FFFFFF"/>
                <w:lang w:val="en-US" w:eastAsia="zh-CN"/>
              </w:rPr>
              <w:t>训练前可以设置每次课堂的训练期望值，包含包含体育课上课时长（0-100分钟）、运动强度设计值（0-100）、训练密度设计值（0-100）、平均心率区间（50-200），训练结束后期望值与实际值进行对比。</w:t>
            </w:r>
          </w:p>
          <w:p w14:paraId="011096CE">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7、</w:t>
            </w:r>
            <w:r>
              <w:rPr>
                <w:rFonts w:hint="eastAsia" w:ascii="仿宋_GB2312" w:hAnsi="仿宋_GB2312" w:eastAsia="仿宋_GB2312" w:cs="仿宋_GB2312"/>
                <w:b w:val="0"/>
                <w:bCs w:val="0"/>
                <w:color w:val="auto"/>
                <w:sz w:val="21"/>
                <w:szCs w:val="21"/>
                <w:highlight w:val="none"/>
                <w:shd w:val="clear" w:color="auto" w:fill="FFFFFF"/>
                <w:lang w:val="en-US" w:eastAsia="zh-CN"/>
              </w:rPr>
              <w:t>教师可以控制体育课堂开始和结束，实时查看班级信息、体育课时长和倒计时时间。</w:t>
            </w:r>
          </w:p>
          <w:p w14:paraId="7029393E">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8、</w:t>
            </w:r>
            <w:r>
              <w:rPr>
                <w:rFonts w:hint="eastAsia" w:ascii="仿宋_GB2312" w:hAnsi="仿宋_GB2312" w:eastAsia="仿宋_GB2312" w:cs="仿宋_GB2312"/>
                <w:b w:val="0"/>
                <w:bCs w:val="0"/>
                <w:color w:val="auto"/>
                <w:sz w:val="21"/>
                <w:szCs w:val="21"/>
                <w:highlight w:val="none"/>
                <w:shd w:val="clear" w:color="auto" w:fill="FFFFFF"/>
                <w:lang w:val="en-US" w:eastAsia="zh-CN"/>
              </w:rPr>
              <w:t>在手持设备上可以进行心率、步数、强度、卡路里实时数据查看。</w:t>
            </w:r>
          </w:p>
          <w:p w14:paraId="0CBE876C">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9、</w:t>
            </w:r>
            <w:r>
              <w:rPr>
                <w:rFonts w:hint="eastAsia" w:ascii="仿宋_GB2312" w:hAnsi="仿宋_GB2312" w:eastAsia="仿宋_GB2312" w:cs="仿宋_GB2312"/>
                <w:b w:val="0"/>
                <w:bCs w:val="0"/>
                <w:color w:val="auto"/>
                <w:sz w:val="21"/>
                <w:szCs w:val="21"/>
                <w:highlight w:val="none"/>
                <w:shd w:val="clear" w:color="auto" w:fill="FFFFFF"/>
                <w:lang w:val="en-US" w:eastAsia="zh-CN"/>
              </w:rPr>
              <w:t>监测软件一屏展示≥40个心率数据，心率展示从高到低，心率区间以颜色进行区分。</w:t>
            </w:r>
          </w:p>
          <w:p w14:paraId="1383CE12">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10、</w:t>
            </w:r>
            <w:r>
              <w:rPr>
                <w:rFonts w:hint="eastAsia" w:ascii="仿宋_GB2312" w:hAnsi="仿宋_GB2312" w:eastAsia="仿宋_GB2312" w:cs="仿宋_GB2312"/>
                <w:b w:val="0"/>
                <w:bCs w:val="0"/>
                <w:color w:val="auto"/>
                <w:sz w:val="21"/>
                <w:szCs w:val="21"/>
                <w:highlight w:val="none"/>
                <w:shd w:val="clear" w:color="auto" w:fill="FFFFFF"/>
                <w:lang w:val="en-US" w:eastAsia="zh-CN"/>
              </w:rPr>
              <w:t>心率、步数、强度、卡路里实时数据可以投射到大显示屏。</w:t>
            </w:r>
          </w:p>
          <w:p w14:paraId="5335A1B2">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11、</w:t>
            </w:r>
            <w:r>
              <w:rPr>
                <w:rFonts w:hint="eastAsia" w:ascii="仿宋_GB2312" w:hAnsi="仿宋_GB2312" w:eastAsia="仿宋_GB2312" w:cs="仿宋_GB2312"/>
                <w:b w:val="0"/>
                <w:bCs w:val="0"/>
                <w:color w:val="auto"/>
                <w:sz w:val="21"/>
                <w:szCs w:val="21"/>
                <w:highlight w:val="none"/>
                <w:shd w:val="clear" w:color="auto" w:fill="FFFFFF"/>
                <w:lang w:val="en-US" w:eastAsia="zh-CN"/>
              </w:rPr>
              <w:t>支持实时查看班级整体的监测统计数据，包含运动强度、运动密度、平均心率、最高心率、最低心率、心率高于120时间、平均步数和平均卡路里等。</w:t>
            </w:r>
          </w:p>
          <w:p w14:paraId="4CDC5AC3">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12、</w:t>
            </w:r>
            <w:r>
              <w:rPr>
                <w:rFonts w:hint="eastAsia" w:ascii="仿宋_GB2312" w:hAnsi="仿宋_GB2312" w:eastAsia="仿宋_GB2312" w:cs="仿宋_GB2312"/>
                <w:b w:val="0"/>
                <w:bCs w:val="0"/>
                <w:color w:val="auto"/>
                <w:sz w:val="21"/>
                <w:szCs w:val="21"/>
                <w:highlight w:val="none"/>
                <w:shd w:val="clear" w:color="auto" w:fill="FFFFFF"/>
                <w:lang w:val="en-US" w:eastAsia="zh-CN"/>
              </w:rPr>
              <w:t>支持查看班级整体、男生、女生实时平均心率曲线。</w:t>
            </w:r>
          </w:p>
          <w:p w14:paraId="75FF9536">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13、</w:t>
            </w:r>
            <w:r>
              <w:rPr>
                <w:rFonts w:hint="eastAsia" w:ascii="仿宋_GB2312" w:hAnsi="仿宋_GB2312" w:eastAsia="仿宋_GB2312" w:cs="仿宋_GB2312"/>
                <w:b w:val="0"/>
                <w:bCs w:val="0"/>
                <w:color w:val="auto"/>
                <w:sz w:val="21"/>
                <w:szCs w:val="21"/>
                <w:highlight w:val="none"/>
                <w:shd w:val="clear" w:color="auto" w:fill="FFFFFF"/>
                <w:lang w:val="en-US" w:eastAsia="zh-CN"/>
              </w:rPr>
              <w:t>支持实时查看运动强度分布和五区间人数分布图等统计数据。</w:t>
            </w:r>
          </w:p>
          <w:p w14:paraId="4DA74D9B">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14、</w:t>
            </w:r>
            <w:r>
              <w:rPr>
                <w:rFonts w:hint="eastAsia" w:ascii="仿宋_GB2312" w:hAnsi="仿宋_GB2312" w:eastAsia="仿宋_GB2312" w:cs="仿宋_GB2312"/>
                <w:b w:val="0"/>
                <w:bCs w:val="0"/>
                <w:color w:val="auto"/>
                <w:sz w:val="21"/>
                <w:szCs w:val="21"/>
                <w:highlight w:val="none"/>
                <w:shd w:val="clear" w:color="auto" w:fill="FFFFFF"/>
                <w:lang w:val="en-US" w:eastAsia="zh-CN"/>
              </w:rPr>
              <w:t>教师可以查看任意一节体育课的臂带课堂报告。</w:t>
            </w:r>
          </w:p>
          <w:p w14:paraId="31D2A30D">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15、</w:t>
            </w:r>
            <w:r>
              <w:rPr>
                <w:rFonts w:hint="eastAsia" w:ascii="仿宋_GB2312" w:hAnsi="仿宋_GB2312" w:eastAsia="仿宋_GB2312" w:cs="仿宋_GB2312"/>
                <w:b w:val="0"/>
                <w:bCs w:val="0"/>
                <w:color w:val="auto"/>
                <w:sz w:val="21"/>
                <w:szCs w:val="21"/>
                <w:highlight w:val="none"/>
                <w:shd w:val="clear" w:color="auto" w:fill="FFFFFF"/>
                <w:lang w:val="en-US" w:eastAsia="zh-CN"/>
              </w:rPr>
              <w:t>班级训练结束后，自动生成训练报告，报告内容包含班级运动强度、运动密度、平均心率、最高心率、最低心率、平均步数、平均消耗卡路里的分析结果，班级、男生、女生平均心率曲线图，运动强度区间人员分布图，缺勤人员名单，心率异常人员名单。</w:t>
            </w:r>
            <w:r>
              <w:rPr>
                <w:rFonts w:hint="eastAsia" w:ascii="仿宋_GB2312" w:hAnsi="仿宋_GB2312" w:eastAsia="仿宋_GB2312" w:cs="仿宋_GB2312"/>
                <w:b w:val="0"/>
                <w:bCs w:val="0"/>
                <w:color w:val="auto"/>
                <w:sz w:val="21"/>
                <w:szCs w:val="21"/>
                <w:highlight w:val="none"/>
              </w:rPr>
              <w:t>（提供证明材料</w:t>
            </w:r>
            <w:r>
              <w:rPr>
                <w:rFonts w:hint="eastAsia" w:ascii="仿宋_GB2312" w:hAnsi="仿宋_GB2312" w:eastAsia="仿宋_GB2312" w:cs="仿宋_GB2312"/>
                <w:b w:val="0"/>
                <w:bCs w:val="0"/>
                <w:color w:val="auto"/>
                <w:sz w:val="21"/>
                <w:szCs w:val="21"/>
                <w:highlight w:val="none"/>
                <w:lang w:val="en-US" w:eastAsia="zh-CN"/>
              </w:rPr>
              <w:t>及真实系统现场演示</w:t>
            </w:r>
            <w:r>
              <w:rPr>
                <w:rFonts w:hint="eastAsia" w:ascii="仿宋_GB2312" w:hAnsi="仿宋_GB2312" w:eastAsia="仿宋_GB2312" w:cs="仿宋_GB2312"/>
                <w:b w:val="0"/>
                <w:bCs w:val="0"/>
                <w:color w:val="auto"/>
                <w:sz w:val="21"/>
                <w:szCs w:val="21"/>
                <w:highlight w:val="none"/>
              </w:rPr>
              <w:t>）</w:t>
            </w:r>
          </w:p>
          <w:p w14:paraId="47DBD361">
            <w:pPr>
              <w:pStyle w:val="10"/>
              <w:numPr>
                <w:ilvl w:val="0"/>
                <w:numId w:val="0"/>
              </w:numPr>
              <w:rPr>
                <w:rFonts w:hint="eastAsia" w:ascii="仿宋_GB2312" w:hAnsi="仿宋_GB2312" w:eastAsia="仿宋_GB2312" w:cs="仿宋_GB2312"/>
                <w:b w:val="0"/>
                <w:bCs w:val="0"/>
                <w:color w:val="auto"/>
                <w:kern w:val="2"/>
                <w:sz w:val="21"/>
                <w:szCs w:val="21"/>
                <w:highlight w:val="none"/>
                <w:shd w:val="clear" w:fill="FFFFFF"/>
                <w:lang w:val="en-US" w:eastAsia="zh-CN" w:bidi="ar-SA"/>
              </w:rPr>
            </w:pPr>
            <w:r>
              <w:rPr>
                <w:rFonts w:hint="eastAsia" w:ascii="仿宋_GB2312" w:hAnsi="仿宋_GB2312" w:eastAsia="仿宋_GB2312" w:cs="仿宋_GB2312"/>
                <w:b w:val="0"/>
                <w:bCs w:val="0"/>
                <w:color w:val="auto"/>
                <w:kern w:val="2"/>
                <w:sz w:val="21"/>
                <w:szCs w:val="21"/>
                <w:highlight w:val="none"/>
                <w:shd w:val="clear" w:color="auto" w:fill="FFFFFF"/>
                <w:lang w:val="en-US" w:eastAsia="zh-CN" w:bidi="ar-SA"/>
              </w:rPr>
              <w:t>16、学生个人训练数据报告，包含心率曲线图、步数、卡路里、最高心率、最低心率、平均心率。</w:t>
            </w:r>
          </w:p>
        </w:tc>
        <w:tc>
          <w:tcPr>
            <w:tcW w:w="0" w:type="auto"/>
            <w:shd w:val="clear" w:color="auto" w:fill="auto"/>
            <w:vAlign w:val="center"/>
          </w:tcPr>
          <w:p w14:paraId="0E79A20C">
            <w:pPr>
              <w:pStyle w:val="10"/>
              <w:numPr>
                <w:ilvl w:val="0"/>
                <w:numId w:val="0"/>
              </w:numPr>
              <w:jc w:val="center"/>
              <w:rPr>
                <w:rFonts w:hint="eastAsia" w:ascii="仿宋_GB2312" w:hAnsi="仿宋_GB2312" w:eastAsia="仿宋_GB2312" w:cs="仿宋_GB2312"/>
                <w:b w:val="0"/>
                <w:bCs w:val="0"/>
                <w:color w:val="auto"/>
                <w:kern w:val="2"/>
                <w:sz w:val="21"/>
                <w:szCs w:val="21"/>
                <w:highlight w:val="none"/>
                <w:shd w:val="clear" w:fill="FFFFFF"/>
                <w:lang w:val="en-US" w:eastAsia="zh-CN" w:bidi="ar-SA"/>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w:t>
            </w:r>
          </w:p>
        </w:tc>
        <w:tc>
          <w:tcPr>
            <w:tcW w:w="0" w:type="auto"/>
            <w:shd w:val="clear" w:color="auto" w:fill="auto"/>
            <w:vAlign w:val="center"/>
          </w:tcPr>
          <w:p w14:paraId="3411E7CF">
            <w:pPr>
              <w:pStyle w:val="10"/>
              <w:numPr>
                <w:ilvl w:val="0"/>
                <w:numId w:val="0"/>
              </w:numPr>
              <w:jc w:val="center"/>
              <w:rPr>
                <w:rFonts w:hint="eastAsia" w:ascii="仿宋_GB2312" w:hAnsi="仿宋_GB2312" w:eastAsia="仿宋_GB2312" w:cs="仿宋_GB2312"/>
                <w:b w:val="0"/>
                <w:bCs w:val="0"/>
                <w:color w:val="auto"/>
                <w:kern w:val="2"/>
                <w:sz w:val="21"/>
                <w:szCs w:val="21"/>
                <w:highlight w:val="none"/>
                <w:shd w:val="clear" w:fill="FFFFFF"/>
                <w:lang w:val="en-US" w:eastAsia="zh-CN" w:bidi="ar-SA"/>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套</w:t>
            </w:r>
          </w:p>
        </w:tc>
      </w:tr>
      <w:tr w14:paraId="541F54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vAlign w:val="center"/>
          </w:tcPr>
          <w:p w14:paraId="6EC75C95">
            <w:pPr>
              <w:pStyle w:val="8"/>
              <w:spacing w:before="78" w:line="315" w:lineRule="exact"/>
              <w:ind w:left="134"/>
              <w:jc w:val="center"/>
              <w:rPr>
                <w:rFonts w:hint="default" w:ascii="仿宋_GB2312" w:hAnsi="仿宋_GB2312" w:eastAsia="仿宋_GB2312" w:cs="仿宋_GB2312"/>
                <w:b w:val="0"/>
                <w:bCs w:val="0"/>
                <w:color w:val="auto"/>
                <w:position w:val="1"/>
                <w:sz w:val="21"/>
                <w:szCs w:val="21"/>
                <w:highlight w:val="none"/>
                <w:lang w:val="en-US" w:eastAsia="zh-CN"/>
              </w:rPr>
            </w:pPr>
            <w:r>
              <w:rPr>
                <w:rFonts w:hint="eastAsia" w:ascii="仿宋_GB2312" w:hAnsi="仿宋_GB2312" w:eastAsia="仿宋_GB2312" w:cs="仿宋_GB2312"/>
                <w:b w:val="0"/>
                <w:bCs w:val="0"/>
                <w:color w:val="auto"/>
                <w:position w:val="1"/>
                <w:sz w:val="21"/>
                <w:szCs w:val="21"/>
                <w:highlight w:val="none"/>
                <w:lang w:val="en-US" w:eastAsia="zh-CN"/>
              </w:rPr>
              <w:t>5</w:t>
            </w:r>
          </w:p>
        </w:tc>
        <w:tc>
          <w:tcPr>
            <w:tcW w:w="0" w:type="auto"/>
            <w:vMerge w:val="continue"/>
            <w:vAlign w:val="center"/>
          </w:tcPr>
          <w:p w14:paraId="13185201">
            <w:pPr>
              <w:pStyle w:val="8"/>
              <w:spacing w:before="23" w:line="223" w:lineRule="auto"/>
              <w:ind w:left="118"/>
              <w:jc w:val="center"/>
              <w:rPr>
                <w:rFonts w:hint="eastAsia" w:ascii="仿宋_GB2312" w:hAnsi="仿宋_GB2312" w:eastAsia="仿宋_GB2312" w:cs="仿宋_GB2312"/>
                <w:b w:val="0"/>
                <w:bCs w:val="0"/>
                <w:color w:val="auto"/>
                <w:spacing w:val="-1"/>
                <w:sz w:val="21"/>
                <w:szCs w:val="21"/>
                <w:highlight w:val="none"/>
              </w:rPr>
            </w:pPr>
          </w:p>
        </w:tc>
        <w:tc>
          <w:tcPr>
            <w:tcW w:w="0" w:type="auto"/>
            <w:vAlign w:val="center"/>
          </w:tcPr>
          <w:p w14:paraId="4FD86658">
            <w:pPr>
              <w:pStyle w:val="8"/>
              <w:spacing w:before="1" w:line="220" w:lineRule="auto"/>
              <w:ind w:left="120"/>
              <w:jc w:val="center"/>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体质健康系统</w:t>
            </w:r>
          </w:p>
        </w:tc>
        <w:tc>
          <w:tcPr>
            <w:tcW w:w="0" w:type="auto"/>
            <w:shd w:val="clear" w:color="auto" w:fill="auto"/>
            <w:vAlign w:val="top"/>
          </w:tcPr>
          <w:p w14:paraId="5DBF5E04">
            <w:pPr>
              <w:pStyle w:val="10"/>
              <w:numPr>
                <w:ilvl w:val="0"/>
                <w:numId w:val="1"/>
              </w:numPr>
              <w:rPr>
                <w:rFonts w:hint="eastAsia" w:ascii="仿宋_GB2312" w:hAnsi="仿宋_GB2312" w:eastAsia="仿宋_GB2312" w:cs="仿宋_GB2312"/>
                <w:b w:val="0"/>
                <w:bCs w:val="0"/>
                <w:color w:val="auto"/>
                <w:kern w:val="2"/>
                <w:sz w:val="21"/>
                <w:szCs w:val="21"/>
                <w:highlight w:val="none"/>
                <w:shd w:val="clear" w:fill="FFFFFF"/>
                <w:lang w:val="en-US" w:eastAsia="zh-CN" w:bidi="ar-SA"/>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体质测试结果不需要电脑中转直接实时上传至体质健康数据平台云端，系统采用B/S结构，无需在客户端安装应用程序，支持主流的浏览器。</w:t>
            </w:r>
          </w:p>
          <w:p w14:paraId="72738823">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2、支持导入当前成绩、历史成绩，可按照年级批量导入学生成绩；多维度分析体测各项指标成绩，分班级、年级、项目、男女等，持续多年跟踪学生身体发展趋势；</w:t>
            </w:r>
            <w:r>
              <w:rPr>
                <w:rFonts w:hint="eastAsia" w:ascii="仿宋_GB2312" w:hAnsi="仿宋_GB2312" w:eastAsia="仿宋_GB2312" w:cs="仿宋_GB2312"/>
                <w:b w:val="0"/>
                <w:bCs w:val="0"/>
                <w:color w:val="auto"/>
                <w:sz w:val="21"/>
                <w:szCs w:val="21"/>
                <w:highlight w:val="none"/>
              </w:rPr>
              <w:t>（提供证明材料</w:t>
            </w:r>
            <w:r>
              <w:rPr>
                <w:rFonts w:hint="eastAsia" w:ascii="仿宋_GB2312" w:hAnsi="仿宋_GB2312" w:eastAsia="仿宋_GB2312" w:cs="仿宋_GB2312"/>
                <w:b w:val="0"/>
                <w:bCs w:val="0"/>
                <w:color w:val="auto"/>
                <w:sz w:val="21"/>
                <w:szCs w:val="21"/>
                <w:highlight w:val="none"/>
                <w:lang w:val="en-US" w:eastAsia="zh-CN"/>
              </w:rPr>
              <w:t>及真实系统现场演示</w:t>
            </w:r>
            <w:r>
              <w:rPr>
                <w:rFonts w:hint="eastAsia" w:ascii="仿宋_GB2312" w:hAnsi="仿宋_GB2312" w:eastAsia="仿宋_GB2312" w:cs="仿宋_GB2312"/>
                <w:b w:val="0"/>
                <w:bCs w:val="0"/>
                <w:color w:val="auto"/>
                <w:sz w:val="21"/>
                <w:szCs w:val="21"/>
                <w:highlight w:val="none"/>
              </w:rPr>
              <w:t>）</w:t>
            </w:r>
          </w:p>
          <w:p w14:paraId="3575407A">
            <w:pPr>
              <w:pStyle w:val="10"/>
              <w:numPr>
                <w:ilvl w:val="0"/>
                <w:numId w:val="0"/>
              </w:numPr>
              <w:rPr>
                <w:rFonts w:hint="eastAsia" w:ascii="仿宋_GB2312" w:hAnsi="仿宋_GB2312" w:eastAsia="仿宋_GB2312" w:cs="仿宋_GB2312"/>
                <w:b w:val="0"/>
                <w:bCs w:val="0"/>
                <w:color w:val="auto"/>
                <w:sz w:val="21"/>
                <w:szCs w:val="21"/>
                <w:highlight w:val="none"/>
                <w:shd w:val="clear" w:color="auto" w:fill="FFFFFF"/>
                <w:lang w:val="en-US" w:eastAsia="zh-CN"/>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3、学生健康档案展示学生信息、综合评分、素质统计图、单项指标、学生单项素质多年成绩对比折线图等，支持打印；</w:t>
            </w:r>
            <w:r>
              <w:rPr>
                <w:rFonts w:hint="eastAsia" w:ascii="仿宋_GB2312" w:hAnsi="仿宋_GB2312" w:eastAsia="仿宋_GB2312" w:cs="仿宋_GB2312"/>
                <w:b w:val="0"/>
                <w:bCs w:val="0"/>
                <w:color w:val="auto"/>
                <w:sz w:val="21"/>
                <w:szCs w:val="21"/>
                <w:highlight w:val="none"/>
              </w:rPr>
              <w:t>（提供证明材料</w:t>
            </w:r>
            <w:r>
              <w:rPr>
                <w:rFonts w:hint="eastAsia" w:ascii="仿宋_GB2312" w:hAnsi="仿宋_GB2312" w:eastAsia="仿宋_GB2312" w:cs="仿宋_GB2312"/>
                <w:b w:val="0"/>
                <w:bCs w:val="0"/>
                <w:color w:val="auto"/>
                <w:sz w:val="21"/>
                <w:szCs w:val="21"/>
                <w:highlight w:val="none"/>
                <w:lang w:val="en-US" w:eastAsia="zh-CN"/>
              </w:rPr>
              <w:t>及真实系统现场演示</w:t>
            </w:r>
            <w:r>
              <w:rPr>
                <w:rFonts w:hint="eastAsia" w:ascii="仿宋_GB2312" w:hAnsi="仿宋_GB2312" w:eastAsia="仿宋_GB2312" w:cs="仿宋_GB2312"/>
                <w:b w:val="0"/>
                <w:bCs w:val="0"/>
                <w:color w:val="auto"/>
                <w:sz w:val="21"/>
                <w:szCs w:val="21"/>
                <w:highlight w:val="none"/>
              </w:rPr>
              <w:t>）</w:t>
            </w:r>
          </w:p>
          <w:p w14:paraId="4636BCD9">
            <w:pPr>
              <w:pStyle w:val="10"/>
              <w:numPr>
                <w:ilvl w:val="0"/>
                <w:numId w:val="0"/>
              </w:numPr>
              <w:rPr>
                <w:rFonts w:hint="eastAsia" w:ascii="仿宋_GB2312" w:hAnsi="仿宋_GB2312" w:eastAsia="仿宋_GB2312" w:cs="仿宋_GB2312"/>
                <w:b w:val="0"/>
                <w:bCs w:val="0"/>
                <w:color w:val="auto"/>
                <w:kern w:val="2"/>
                <w:sz w:val="21"/>
                <w:szCs w:val="21"/>
                <w:highlight w:val="none"/>
                <w:shd w:val="clear" w:fill="FFFFFF"/>
                <w:lang w:val="en-US" w:eastAsia="zh-CN" w:bidi="ar-SA"/>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4、支持下载体质健康数据，包含原始成绩、成绩得分和成绩等级；同时支持导出国家体质健康数据标准表（仅体测数据）；</w:t>
            </w:r>
          </w:p>
          <w:p w14:paraId="5D2530CA">
            <w:pPr>
              <w:pStyle w:val="10"/>
              <w:numPr>
                <w:ilvl w:val="0"/>
                <w:numId w:val="0"/>
              </w:numPr>
              <w:rPr>
                <w:rFonts w:hint="eastAsia" w:ascii="仿宋_GB2312" w:hAnsi="仿宋_GB2312" w:eastAsia="仿宋_GB2312" w:cs="仿宋_GB2312"/>
                <w:b w:val="0"/>
                <w:bCs w:val="0"/>
                <w:color w:val="auto"/>
                <w:kern w:val="2"/>
                <w:sz w:val="21"/>
                <w:szCs w:val="21"/>
                <w:highlight w:val="none"/>
                <w:shd w:val="clear" w:fill="FFFFFF"/>
                <w:lang w:val="en-US" w:eastAsia="zh-CN" w:bidi="ar-SA"/>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5、支持打印班级学生体质报告，包含学生信息、综合评分、素质统计图、单项体质指标、体质综合评测、运动建议、膳食建议；</w:t>
            </w:r>
          </w:p>
          <w:p w14:paraId="26D537F0">
            <w:pPr>
              <w:pStyle w:val="10"/>
              <w:numPr>
                <w:ilvl w:val="0"/>
                <w:numId w:val="0"/>
              </w:numPr>
              <w:rPr>
                <w:rFonts w:hint="eastAsia" w:ascii="仿宋_GB2312" w:hAnsi="仿宋_GB2312" w:eastAsia="仿宋_GB2312" w:cs="仿宋_GB2312"/>
                <w:b w:val="0"/>
                <w:bCs w:val="0"/>
                <w:color w:val="auto"/>
                <w:kern w:val="2"/>
                <w:sz w:val="21"/>
                <w:szCs w:val="21"/>
                <w:highlight w:val="none"/>
                <w:shd w:val="clear" w:fill="FFFFFF"/>
                <w:lang w:val="en-US" w:eastAsia="zh-CN" w:bidi="ar-SA"/>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6、自由组合查询，按照查询条件展示班级、年级或全校学生的单项素质分析及总成绩各等级统计人数，支持查看下载优秀、良好、及格和不及格等群体学生名单；</w:t>
            </w:r>
          </w:p>
          <w:p w14:paraId="2FDD891B">
            <w:pPr>
              <w:pStyle w:val="10"/>
              <w:numPr>
                <w:ilvl w:val="0"/>
                <w:numId w:val="0"/>
              </w:numPr>
              <w:rPr>
                <w:rFonts w:hint="eastAsia" w:ascii="仿宋_GB2312" w:hAnsi="仿宋_GB2312" w:eastAsia="仿宋_GB2312" w:cs="仿宋_GB2312"/>
                <w:b w:val="0"/>
                <w:bCs w:val="0"/>
                <w:color w:val="auto"/>
                <w:kern w:val="2"/>
                <w:sz w:val="21"/>
                <w:szCs w:val="21"/>
                <w:highlight w:val="none"/>
                <w:shd w:val="clear" w:fill="FFFFFF"/>
                <w:lang w:val="en-US" w:eastAsia="zh-CN" w:bidi="ar-SA"/>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7、系统自动生成体质测试总成绩和各分项分析数据结果，按全校、年级统计总人数、优秀人数和优秀率、良好人数和良好率、及格人数和及格率、不及格人数和不及格率等，支持下载分析数据表格，支持切换列表、图表、性别查看统计数据，支持历年体质统计数据对比分析。</w:t>
            </w:r>
          </w:p>
          <w:p w14:paraId="1940552A">
            <w:pPr>
              <w:pStyle w:val="10"/>
              <w:numPr>
                <w:ilvl w:val="0"/>
                <w:numId w:val="0"/>
              </w:numPr>
              <w:rPr>
                <w:rFonts w:hint="eastAsia" w:ascii="仿宋_GB2312" w:hAnsi="仿宋_GB2312" w:eastAsia="仿宋_GB2312" w:cs="仿宋_GB2312"/>
                <w:b w:val="0"/>
                <w:bCs w:val="0"/>
                <w:color w:val="auto"/>
                <w:kern w:val="2"/>
                <w:sz w:val="21"/>
                <w:szCs w:val="21"/>
                <w:highlight w:val="none"/>
                <w:shd w:val="clear" w:fill="FFFFFF"/>
                <w:lang w:val="en-US" w:eastAsia="zh-CN" w:bidi="ar-SA"/>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8、系统可以下载体测成绩分析数据表格。以全校整体为单位，可以导出总成绩分析数据，统计分析全校整体和各年级总成绩的等级人数和等级占比；以年级为单位，可以导出整体单项成绩分析数据，统计分析每个年级各项目的等级人数和等级占比；以班级为单位，可以导出整体单项成绩分析数据，统计分析每个班级各项目的等级人数和等级占比。</w:t>
            </w:r>
          </w:p>
          <w:p w14:paraId="5F1F8B84">
            <w:pPr>
              <w:pStyle w:val="10"/>
              <w:numPr>
                <w:ilvl w:val="0"/>
                <w:numId w:val="0"/>
              </w:numPr>
              <w:rPr>
                <w:rFonts w:hint="eastAsia" w:ascii="仿宋_GB2312" w:hAnsi="仿宋_GB2312" w:eastAsia="仿宋_GB2312" w:cs="仿宋_GB2312"/>
                <w:b w:val="0"/>
                <w:bCs w:val="0"/>
                <w:color w:val="auto"/>
                <w:kern w:val="2"/>
                <w:sz w:val="21"/>
                <w:szCs w:val="21"/>
                <w:highlight w:val="none"/>
                <w:shd w:val="clear" w:fill="FFFFFF"/>
                <w:lang w:val="en-US" w:eastAsia="zh-CN" w:bidi="ar-SA"/>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9、系统通过下达定时任务生成体质健康报告，报告可以查看和导出。</w:t>
            </w:r>
          </w:p>
          <w:p w14:paraId="316F385A">
            <w:pPr>
              <w:pStyle w:val="10"/>
              <w:numPr>
                <w:ilvl w:val="0"/>
                <w:numId w:val="0"/>
              </w:numPr>
              <w:rPr>
                <w:rFonts w:hint="eastAsia" w:ascii="仿宋_GB2312" w:hAnsi="仿宋_GB2312" w:eastAsia="仿宋_GB2312" w:cs="仿宋_GB2312"/>
                <w:b w:val="0"/>
                <w:bCs w:val="0"/>
                <w:color w:val="auto"/>
                <w:kern w:val="2"/>
                <w:sz w:val="21"/>
                <w:szCs w:val="21"/>
                <w:highlight w:val="none"/>
                <w:shd w:val="clear" w:fill="FFFFFF"/>
                <w:lang w:val="en-US" w:eastAsia="zh-CN" w:bidi="ar-SA"/>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10、体质健康报告以图文形式展现，内容包含前言、测试内容与评价标准、测试对象与测试方法、测试结果与分析、年级数据、身体形态发育状况、身体技能发展状况和身体素质发展状况等分析结果，分年级、分项目、分男女进行体质健康数据分析，并统计平均成绩、标准差、优秀率、良好率、及格率和不及格率等，还与往年成绩进行对比分析。</w:t>
            </w:r>
          </w:p>
          <w:p w14:paraId="330E724C">
            <w:pPr>
              <w:pStyle w:val="10"/>
              <w:numPr>
                <w:ilvl w:val="0"/>
                <w:numId w:val="0"/>
              </w:numPr>
              <w:rPr>
                <w:rFonts w:hint="eastAsia" w:ascii="仿宋_GB2312" w:hAnsi="仿宋_GB2312" w:eastAsia="仿宋_GB2312" w:cs="仿宋_GB2312"/>
                <w:b w:val="0"/>
                <w:bCs w:val="0"/>
                <w:color w:val="auto"/>
                <w:kern w:val="2"/>
                <w:sz w:val="21"/>
                <w:szCs w:val="21"/>
                <w:highlight w:val="none"/>
                <w:shd w:val="clear" w:fill="FFFFFF"/>
                <w:lang w:val="en-US" w:eastAsia="zh-CN" w:bidi="ar-SA"/>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11、支持打印下载历年体质健康报告。</w:t>
            </w:r>
          </w:p>
          <w:p w14:paraId="506A6739">
            <w:pPr>
              <w:pStyle w:val="10"/>
              <w:numPr>
                <w:ilvl w:val="0"/>
                <w:numId w:val="0"/>
              </w:numPr>
              <w:rPr>
                <w:rFonts w:hint="eastAsia" w:ascii="仿宋_GB2312" w:hAnsi="仿宋_GB2312" w:eastAsia="仿宋_GB2312" w:cs="仿宋_GB2312"/>
                <w:b w:val="0"/>
                <w:bCs w:val="0"/>
                <w:color w:val="auto"/>
                <w:kern w:val="2"/>
                <w:sz w:val="21"/>
                <w:szCs w:val="21"/>
                <w:highlight w:val="none"/>
                <w:shd w:val="clear" w:fill="FFFFFF"/>
                <w:lang w:val="en-US" w:eastAsia="zh-CN" w:bidi="ar-SA"/>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12、体质健康原始成绩支持移动端数据提交与审核，可以下载导出提交审核数据表格，同时按照模板导入评测临时数据进行审核，审核通过后系统自动统计分析体质数据，未通过返回修改数据再次审核。</w:t>
            </w:r>
          </w:p>
          <w:p w14:paraId="7BE840DF">
            <w:pPr>
              <w:pStyle w:val="10"/>
              <w:numPr>
                <w:ilvl w:val="0"/>
                <w:numId w:val="0"/>
              </w:numPr>
              <w:rPr>
                <w:rFonts w:hint="eastAsia" w:ascii="仿宋_GB2312" w:hAnsi="仿宋_GB2312" w:eastAsia="仿宋_GB2312" w:cs="仿宋_GB2312"/>
                <w:b w:val="0"/>
                <w:bCs w:val="0"/>
                <w:color w:val="auto"/>
                <w:kern w:val="2"/>
                <w:sz w:val="21"/>
                <w:szCs w:val="21"/>
                <w:highlight w:val="none"/>
                <w:shd w:val="clear" w:fill="FFFFFF"/>
                <w:lang w:val="en-US" w:eastAsia="zh-CN" w:bidi="ar-SA"/>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13、支持根据国家学生体质健康网学生体质模板填充体质数据，系统按国网体质数据模板学生名单顺序一一匹配体质成绩，并修正表格格式，生成可以直接上传至国网的学校体质健康数据表格。</w:t>
            </w:r>
          </w:p>
          <w:p w14:paraId="3ADF1EDF">
            <w:pPr>
              <w:pStyle w:val="10"/>
              <w:numPr>
                <w:ilvl w:val="0"/>
                <w:numId w:val="0"/>
              </w:numPr>
              <w:rPr>
                <w:rFonts w:hint="eastAsia" w:ascii="仿宋_GB2312" w:hAnsi="仿宋_GB2312" w:eastAsia="仿宋_GB2312" w:cs="仿宋_GB2312"/>
                <w:b w:val="0"/>
                <w:bCs w:val="0"/>
                <w:color w:val="auto"/>
                <w:kern w:val="2"/>
                <w:sz w:val="21"/>
                <w:szCs w:val="21"/>
                <w:highlight w:val="none"/>
                <w:shd w:val="clear" w:fill="FFFFFF"/>
                <w:lang w:val="en-US" w:eastAsia="zh-CN" w:bidi="ar-SA"/>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14、系统提供体质健康原始成绩数据排查功能，排查重复数据、体质不合理数据（BMI:小于等于10，大于等于35；肺活量小于500，大于8000；50米跑：小于等于6秒，大于20秒；50*8往返跑：小于等于1'00，大于5'00；800米跑：小于等于3'00，大于10'00；1000米跑：小于等于3'00，大于10'00），选择学校、组合两个项目查询学生重复数据，选择学校查询体质不合理数据，增加与往年体质成绩对比存在不合理的数据分析，支持直接下载存在重复或数据不合理的分析表格。</w:t>
            </w:r>
          </w:p>
          <w:p w14:paraId="72160BD9">
            <w:pPr>
              <w:pStyle w:val="10"/>
              <w:numPr>
                <w:ilvl w:val="0"/>
                <w:numId w:val="0"/>
              </w:numPr>
              <w:rPr>
                <w:rFonts w:hint="eastAsia" w:ascii="仿宋_GB2312" w:hAnsi="仿宋_GB2312" w:eastAsia="仿宋_GB2312" w:cs="仿宋_GB2312"/>
                <w:b w:val="0"/>
                <w:bCs w:val="0"/>
                <w:color w:val="auto"/>
                <w:kern w:val="2"/>
                <w:sz w:val="21"/>
                <w:szCs w:val="21"/>
                <w:highlight w:val="none"/>
                <w:shd w:val="clear" w:color="auto" w:fill="FFFFFF"/>
                <w:lang w:val="en-US" w:eastAsia="zh-CN" w:bidi="ar-SA"/>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15、提供区域数据上报功能，可直接上报体质数据和视力数据给区级监管平台，支持撤销上报、删除记录等操作。</w:t>
            </w:r>
          </w:p>
        </w:tc>
        <w:tc>
          <w:tcPr>
            <w:tcW w:w="0" w:type="auto"/>
            <w:shd w:val="clear" w:color="auto" w:fill="auto"/>
            <w:vAlign w:val="center"/>
          </w:tcPr>
          <w:p w14:paraId="497B9DC1">
            <w:pPr>
              <w:pStyle w:val="10"/>
              <w:numPr>
                <w:ilvl w:val="0"/>
                <w:numId w:val="0"/>
              </w:numPr>
              <w:jc w:val="center"/>
              <w:rPr>
                <w:rFonts w:hint="eastAsia" w:ascii="仿宋_GB2312" w:hAnsi="仿宋_GB2312" w:eastAsia="仿宋_GB2312" w:cs="仿宋_GB2312"/>
                <w:b w:val="0"/>
                <w:bCs w:val="0"/>
                <w:color w:val="auto"/>
                <w:kern w:val="2"/>
                <w:sz w:val="21"/>
                <w:szCs w:val="21"/>
                <w:highlight w:val="none"/>
                <w:shd w:val="clear" w:fill="FFFFFF"/>
                <w:lang w:val="en-US" w:eastAsia="zh-CN" w:bidi="ar-SA"/>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1</w:t>
            </w:r>
          </w:p>
        </w:tc>
        <w:tc>
          <w:tcPr>
            <w:tcW w:w="0" w:type="auto"/>
            <w:shd w:val="clear" w:color="auto" w:fill="auto"/>
            <w:vAlign w:val="center"/>
          </w:tcPr>
          <w:p w14:paraId="660BF099">
            <w:pPr>
              <w:pStyle w:val="10"/>
              <w:numPr>
                <w:ilvl w:val="0"/>
                <w:numId w:val="0"/>
              </w:numPr>
              <w:jc w:val="center"/>
              <w:rPr>
                <w:rFonts w:hint="eastAsia" w:ascii="仿宋_GB2312" w:hAnsi="仿宋_GB2312" w:eastAsia="仿宋_GB2312" w:cs="仿宋_GB2312"/>
                <w:b w:val="0"/>
                <w:bCs w:val="0"/>
                <w:color w:val="auto"/>
                <w:kern w:val="2"/>
                <w:sz w:val="21"/>
                <w:szCs w:val="21"/>
                <w:highlight w:val="none"/>
                <w:shd w:val="clear" w:fill="FFFFFF"/>
                <w:lang w:val="en-US" w:eastAsia="zh-CN" w:bidi="ar-SA"/>
              </w:rPr>
            </w:pPr>
            <w:r>
              <w:rPr>
                <w:rFonts w:hint="eastAsia" w:ascii="仿宋_GB2312" w:hAnsi="仿宋_GB2312" w:eastAsia="仿宋_GB2312" w:cs="仿宋_GB2312"/>
                <w:b w:val="0"/>
                <w:bCs w:val="0"/>
                <w:color w:val="auto"/>
                <w:kern w:val="2"/>
                <w:sz w:val="21"/>
                <w:szCs w:val="21"/>
                <w:highlight w:val="none"/>
                <w:shd w:val="clear" w:fill="FFFFFF"/>
                <w:lang w:val="en-US" w:eastAsia="zh-CN" w:bidi="ar-SA"/>
              </w:rPr>
              <w:t>套</w:t>
            </w:r>
          </w:p>
        </w:tc>
      </w:tr>
      <w:tr w14:paraId="35A93D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vAlign w:val="center"/>
          </w:tcPr>
          <w:p w14:paraId="75023880">
            <w:pPr>
              <w:pStyle w:val="8"/>
              <w:spacing w:before="78" w:line="315" w:lineRule="exact"/>
              <w:ind w:left="134"/>
              <w:jc w:val="center"/>
              <w:rPr>
                <w:rFonts w:hint="default" w:ascii="仿宋_GB2312" w:hAnsi="仿宋_GB2312" w:eastAsia="仿宋_GB2312" w:cs="仿宋_GB2312"/>
                <w:b w:val="0"/>
                <w:bCs w:val="0"/>
                <w:color w:val="auto"/>
                <w:position w:val="1"/>
                <w:sz w:val="21"/>
                <w:szCs w:val="21"/>
                <w:highlight w:val="none"/>
                <w:lang w:val="en-US" w:eastAsia="zh-CN"/>
              </w:rPr>
            </w:pPr>
            <w:r>
              <w:rPr>
                <w:rFonts w:hint="eastAsia" w:ascii="仿宋_GB2312" w:hAnsi="仿宋_GB2312" w:eastAsia="仿宋_GB2312" w:cs="仿宋_GB2312"/>
                <w:b w:val="0"/>
                <w:bCs w:val="0"/>
                <w:color w:val="auto"/>
                <w:position w:val="1"/>
                <w:sz w:val="21"/>
                <w:szCs w:val="21"/>
                <w:highlight w:val="none"/>
                <w:lang w:val="en-US" w:eastAsia="zh-CN"/>
              </w:rPr>
              <w:t>6</w:t>
            </w:r>
          </w:p>
        </w:tc>
        <w:tc>
          <w:tcPr>
            <w:tcW w:w="0" w:type="auto"/>
            <w:vMerge w:val="continue"/>
            <w:vAlign w:val="center"/>
          </w:tcPr>
          <w:p w14:paraId="61745B4F">
            <w:pPr>
              <w:pStyle w:val="8"/>
              <w:spacing w:before="23" w:line="223" w:lineRule="auto"/>
              <w:ind w:left="118"/>
              <w:jc w:val="center"/>
              <w:rPr>
                <w:rFonts w:hint="eastAsia" w:ascii="仿宋_GB2312" w:hAnsi="仿宋_GB2312" w:eastAsia="仿宋_GB2312" w:cs="仿宋_GB2312"/>
                <w:b w:val="0"/>
                <w:bCs w:val="0"/>
                <w:color w:val="auto"/>
                <w:spacing w:val="-1"/>
                <w:sz w:val="21"/>
                <w:szCs w:val="21"/>
                <w:highlight w:val="none"/>
              </w:rPr>
            </w:pPr>
          </w:p>
        </w:tc>
        <w:tc>
          <w:tcPr>
            <w:tcW w:w="0" w:type="auto"/>
            <w:vAlign w:val="center"/>
          </w:tcPr>
          <w:p w14:paraId="14D4BB57">
            <w:pPr>
              <w:pStyle w:val="8"/>
              <w:spacing w:before="1" w:line="220" w:lineRule="auto"/>
              <w:ind w:left="120"/>
              <w:jc w:val="cente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rPr>
              <w:t>臂带</w:t>
            </w:r>
          </w:p>
        </w:tc>
        <w:tc>
          <w:tcPr>
            <w:tcW w:w="0" w:type="auto"/>
            <w:vAlign w:val="top"/>
          </w:tcPr>
          <w:p w14:paraId="4A60D470">
            <w:pPr>
              <w:pStyle w:val="8"/>
              <w:spacing w:before="23" w:line="223" w:lineRule="auto"/>
              <w:ind w:left="139" w:right="107" w:hanging="25"/>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防水等级：≥IP67；供电电池：≥90mAh；充电输入电压:5V；</w:t>
            </w:r>
          </w:p>
          <w:p w14:paraId="51CACDCC">
            <w:pPr>
              <w:pStyle w:val="8"/>
              <w:spacing w:before="23" w:line="223" w:lineRule="auto"/>
              <w:ind w:left="139" w:right="107" w:hanging="25"/>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通讯方式：BLE5.0；心率区间范围：30至240；</w:t>
            </w:r>
          </w:p>
        </w:tc>
        <w:tc>
          <w:tcPr>
            <w:tcW w:w="0" w:type="auto"/>
            <w:vAlign w:val="center"/>
          </w:tcPr>
          <w:p w14:paraId="4B6DD981">
            <w:pPr>
              <w:pStyle w:val="8"/>
              <w:spacing w:before="23" w:line="223" w:lineRule="auto"/>
              <w:ind w:left="139" w:right="107" w:hanging="25"/>
              <w:jc w:val="center"/>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240</w:t>
            </w:r>
          </w:p>
        </w:tc>
        <w:tc>
          <w:tcPr>
            <w:tcW w:w="0" w:type="auto"/>
            <w:vAlign w:val="center"/>
          </w:tcPr>
          <w:p w14:paraId="41BF70A0">
            <w:pPr>
              <w:pStyle w:val="8"/>
              <w:spacing w:before="23" w:line="223" w:lineRule="auto"/>
              <w:ind w:left="139" w:right="107" w:hanging="25"/>
              <w:jc w:val="center"/>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只</w:t>
            </w:r>
          </w:p>
        </w:tc>
      </w:tr>
      <w:tr w14:paraId="15FB37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vAlign w:val="center"/>
          </w:tcPr>
          <w:p w14:paraId="388D4E57">
            <w:pPr>
              <w:pStyle w:val="8"/>
              <w:spacing w:before="78" w:line="315" w:lineRule="exact"/>
              <w:ind w:left="134"/>
              <w:jc w:val="center"/>
              <w:rPr>
                <w:rFonts w:hint="default" w:ascii="仿宋_GB2312" w:hAnsi="仿宋_GB2312" w:eastAsia="仿宋_GB2312" w:cs="仿宋_GB2312"/>
                <w:b w:val="0"/>
                <w:bCs w:val="0"/>
                <w:color w:val="auto"/>
                <w:position w:val="1"/>
                <w:sz w:val="21"/>
                <w:szCs w:val="21"/>
                <w:highlight w:val="none"/>
                <w:lang w:val="en-US" w:eastAsia="zh-CN"/>
              </w:rPr>
            </w:pPr>
            <w:r>
              <w:rPr>
                <w:rFonts w:hint="eastAsia" w:ascii="仿宋_GB2312" w:hAnsi="仿宋_GB2312" w:eastAsia="仿宋_GB2312" w:cs="仿宋_GB2312"/>
                <w:b w:val="0"/>
                <w:bCs w:val="0"/>
                <w:color w:val="auto"/>
                <w:position w:val="1"/>
                <w:sz w:val="21"/>
                <w:szCs w:val="21"/>
                <w:highlight w:val="none"/>
                <w:lang w:val="en-US" w:eastAsia="zh-CN"/>
              </w:rPr>
              <w:t>7</w:t>
            </w:r>
          </w:p>
        </w:tc>
        <w:tc>
          <w:tcPr>
            <w:tcW w:w="0" w:type="auto"/>
            <w:vMerge w:val="continue"/>
            <w:vAlign w:val="center"/>
          </w:tcPr>
          <w:p w14:paraId="3C957308">
            <w:pPr>
              <w:pStyle w:val="8"/>
              <w:spacing w:before="23" w:line="223" w:lineRule="auto"/>
              <w:ind w:left="118"/>
              <w:jc w:val="center"/>
              <w:rPr>
                <w:rFonts w:hint="eastAsia" w:ascii="仿宋_GB2312" w:hAnsi="仿宋_GB2312" w:eastAsia="仿宋_GB2312" w:cs="仿宋_GB2312"/>
                <w:b w:val="0"/>
                <w:bCs w:val="0"/>
                <w:color w:val="auto"/>
                <w:spacing w:val="-1"/>
                <w:sz w:val="21"/>
                <w:szCs w:val="21"/>
                <w:highlight w:val="none"/>
              </w:rPr>
            </w:pPr>
          </w:p>
        </w:tc>
        <w:tc>
          <w:tcPr>
            <w:tcW w:w="0" w:type="auto"/>
            <w:vAlign w:val="center"/>
          </w:tcPr>
          <w:p w14:paraId="5D5BBBA3">
            <w:pPr>
              <w:pStyle w:val="8"/>
              <w:spacing w:before="1" w:line="220" w:lineRule="auto"/>
              <w:ind w:left="120"/>
              <w:jc w:val="cente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rPr>
              <w:t>采集器</w:t>
            </w:r>
          </w:p>
        </w:tc>
        <w:tc>
          <w:tcPr>
            <w:tcW w:w="0" w:type="auto"/>
            <w:vAlign w:val="top"/>
          </w:tcPr>
          <w:p w14:paraId="4E95FCD7">
            <w:pPr>
              <w:pStyle w:val="8"/>
              <w:spacing w:before="23" w:line="223" w:lineRule="auto"/>
              <w:ind w:left="139" w:right="107" w:hanging="25"/>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系统内存≥4GB；存储容量≥128GB；屏幕尺寸≥12英寸；屏幕分辨率≥2000*1200；屏幕类型：IPS、支持多点触控触摸屏；摄像头≥500万像素；电池类型：锂离子聚合物电池；电池容量：≥7000mAh；包括且不限于Type-C等数据接口；支持WIFI功能、蓝牙功能、OTG功能、无线投屏功能；支持加速度传感器、环境光传感器。</w:t>
            </w:r>
          </w:p>
        </w:tc>
        <w:tc>
          <w:tcPr>
            <w:tcW w:w="0" w:type="auto"/>
            <w:vAlign w:val="center"/>
          </w:tcPr>
          <w:p w14:paraId="07FD6E75">
            <w:pPr>
              <w:pStyle w:val="8"/>
              <w:spacing w:before="23" w:line="223" w:lineRule="auto"/>
              <w:ind w:left="139" w:right="107" w:hanging="25"/>
              <w:jc w:val="center"/>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4</w:t>
            </w:r>
          </w:p>
        </w:tc>
        <w:tc>
          <w:tcPr>
            <w:tcW w:w="0" w:type="auto"/>
            <w:vAlign w:val="center"/>
          </w:tcPr>
          <w:p w14:paraId="50476589">
            <w:pPr>
              <w:pStyle w:val="8"/>
              <w:spacing w:before="23" w:line="223" w:lineRule="auto"/>
              <w:ind w:left="139" w:right="107" w:hanging="25"/>
              <w:jc w:val="center"/>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台</w:t>
            </w:r>
          </w:p>
        </w:tc>
      </w:tr>
      <w:tr w14:paraId="32DC41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vAlign w:val="center"/>
          </w:tcPr>
          <w:p w14:paraId="3568315A">
            <w:pPr>
              <w:pStyle w:val="8"/>
              <w:spacing w:before="78" w:line="315" w:lineRule="exact"/>
              <w:ind w:left="134"/>
              <w:jc w:val="center"/>
              <w:rPr>
                <w:rFonts w:hint="default" w:ascii="仿宋_GB2312" w:hAnsi="仿宋_GB2312" w:eastAsia="仿宋_GB2312" w:cs="仿宋_GB2312"/>
                <w:b w:val="0"/>
                <w:bCs w:val="0"/>
                <w:color w:val="auto"/>
                <w:position w:val="1"/>
                <w:sz w:val="21"/>
                <w:szCs w:val="21"/>
                <w:highlight w:val="none"/>
                <w:lang w:val="en-US" w:eastAsia="zh-CN"/>
              </w:rPr>
            </w:pPr>
            <w:r>
              <w:rPr>
                <w:rFonts w:hint="eastAsia" w:ascii="仿宋_GB2312" w:hAnsi="仿宋_GB2312" w:eastAsia="仿宋_GB2312" w:cs="仿宋_GB2312"/>
                <w:b w:val="0"/>
                <w:bCs w:val="0"/>
                <w:color w:val="auto"/>
                <w:position w:val="1"/>
                <w:sz w:val="21"/>
                <w:szCs w:val="21"/>
                <w:highlight w:val="none"/>
                <w:lang w:val="en-US" w:eastAsia="zh-CN"/>
              </w:rPr>
              <w:t>8</w:t>
            </w:r>
          </w:p>
        </w:tc>
        <w:tc>
          <w:tcPr>
            <w:tcW w:w="0" w:type="auto"/>
            <w:vMerge w:val="continue"/>
            <w:vAlign w:val="center"/>
          </w:tcPr>
          <w:p w14:paraId="111F33A6">
            <w:pPr>
              <w:pStyle w:val="8"/>
              <w:spacing w:before="23" w:line="223" w:lineRule="auto"/>
              <w:ind w:left="118"/>
              <w:jc w:val="center"/>
              <w:rPr>
                <w:rFonts w:hint="eastAsia" w:ascii="仿宋_GB2312" w:hAnsi="仿宋_GB2312" w:eastAsia="仿宋_GB2312" w:cs="仿宋_GB2312"/>
                <w:b w:val="0"/>
                <w:bCs w:val="0"/>
                <w:color w:val="auto"/>
                <w:spacing w:val="-1"/>
                <w:sz w:val="21"/>
                <w:szCs w:val="21"/>
                <w:highlight w:val="none"/>
              </w:rPr>
            </w:pPr>
          </w:p>
        </w:tc>
        <w:tc>
          <w:tcPr>
            <w:tcW w:w="0" w:type="auto"/>
            <w:vAlign w:val="center"/>
          </w:tcPr>
          <w:p w14:paraId="6B97DAC2">
            <w:pPr>
              <w:pStyle w:val="8"/>
              <w:spacing w:before="1" w:line="220" w:lineRule="auto"/>
              <w:ind w:left="120"/>
              <w:jc w:val="cente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rPr>
              <w:t>臂带充电箱</w:t>
            </w:r>
          </w:p>
        </w:tc>
        <w:tc>
          <w:tcPr>
            <w:tcW w:w="0" w:type="auto"/>
            <w:vAlign w:val="top"/>
          </w:tcPr>
          <w:p w14:paraId="7BDCDD26">
            <w:pPr>
              <w:pStyle w:val="8"/>
              <w:spacing w:before="23" w:line="223" w:lineRule="auto"/>
              <w:ind w:left="139" w:right="107" w:hanging="25"/>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输入电压:DC12V/3A；充电数量:≥64台</w:t>
            </w:r>
          </w:p>
        </w:tc>
        <w:tc>
          <w:tcPr>
            <w:tcW w:w="0" w:type="auto"/>
            <w:vAlign w:val="center"/>
          </w:tcPr>
          <w:p w14:paraId="59E3EA01">
            <w:pPr>
              <w:pStyle w:val="8"/>
              <w:spacing w:before="23" w:line="223" w:lineRule="auto"/>
              <w:ind w:left="139" w:right="107" w:hanging="25"/>
              <w:jc w:val="center"/>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4</w:t>
            </w:r>
          </w:p>
        </w:tc>
        <w:tc>
          <w:tcPr>
            <w:tcW w:w="0" w:type="auto"/>
            <w:vAlign w:val="center"/>
          </w:tcPr>
          <w:p w14:paraId="0A89195D">
            <w:pPr>
              <w:pStyle w:val="8"/>
              <w:spacing w:before="23" w:line="223" w:lineRule="auto"/>
              <w:ind w:left="139" w:right="107" w:hanging="25"/>
              <w:jc w:val="center"/>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台</w:t>
            </w:r>
          </w:p>
        </w:tc>
      </w:tr>
      <w:tr w14:paraId="1C6E28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vAlign w:val="center"/>
          </w:tcPr>
          <w:p w14:paraId="0152CEF6">
            <w:pPr>
              <w:pStyle w:val="8"/>
              <w:spacing w:before="78" w:line="315" w:lineRule="exact"/>
              <w:ind w:left="134"/>
              <w:jc w:val="center"/>
              <w:rPr>
                <w:rFonts w:hint="default" w:ascii="仿宋_GB2312" w:hAnsi="仿宋_GB2312" w:eastAsia="仿宋_GB2312" w:cs="仿宋_GB2312"/>
                <w:b w:val="0"/>
                <w:bCs w:val="0"/>
                <w:color w:val="auto"/>
                <w:position w:val="1"/>
                <w:sz w:val="21"/>
                <w:szCs w:val="21"/>
                <w:highlight w:val="none"/>
                <w:lang w:val="en-US" w:eastAsia="zh-CN"/>
              </w:rPr>
            </w:pPr>
            <w:r>
              <w:rPr>
                <w:rFonts w:hint="eastAsia" w:ascii="仿宋_GB2312" w:hAnsi="仿宋_GB2312" w:eastAsia="仿宋_GB2312" w:cs="仿宋_GB2312"/>
                <w:b w:val="0"/>
                <w:bCs w:val="0"/>
                <w:color w:val="auto"/>
                <w:position w:val="1"/>
                <w:sz w:val="21"/>
                <w:szCs w:val="21"/>
                <w:highlight w:val="none"/>
                <w:lang w:val="en-US" w:eastAsia="zh-CN"/>
              </w:rPr>
              <w:t>9</w:t>
            </w:r>
          </w:p>
        </w:tc>
        <w:tc>
          <w:tcPr>
            <w:tcW w:w="0" w:type="auto"/>
            <w:vMerge w:val="restart"/>
            <w:vAlign w:val="center"/>
          </w:tcPr>
          <w:p w14:paraId="55D6C693">
            <w:pPr>
              <w:pStyle w:val="8"/>
              <w:spacing w:before="23" w:line="223" w:lineRule="auto"/>
              <w:ind w:left="118"/>
              <w:jc w:val="center"/>
              <w:rPr>
                <w:rFonts w:hint="eastAsia" w:ascii="仿宋_GB2312" w:hAnsi="仿宋_GB2312" w:eastAsia="仿宋_GB2312" w:cs="仿宋_GB2312"/>
                <w:b w:val="0"/>
                <w:bCs w:val="0"/>
                <w:color w:val="auto"/>
                <w:spacing w:val="-1"/>
                <w:sz w:val="21"/>
                <w:szCs w:val="21"/>
                <w:highlight w:val="none"/>
              </w:rPr>
            </w:pPr>
            <w:r>
              <w:rPr>
                <w:rFonts w:hint="eastAsia" w:ascii="仿宋_GB2312" w:hAnsi="仿宋_GB2312" w:eastAsia="仿宋_GB2312" w:cs="仿宋_GB2312"/>
                <w:b w:val="0"/>
                <w:bCs w:val="0"/>
                <w:color w:val="auto"/>
                <w:spacing w:val="-1"/>
                <w:sz w:val="21"/>
                <w:szCs w:val="21"/>
                <w:highlight w:val="none"/>
              </w:rPr>
              <w:t>UPS电源套装</w:t>
            </w:r>
          </w:p>
        </w:tc>
        <w:tc>
          <w:tcPr>
            <w:tcW w:w="0" w:type="auto"/>
            <w:vAlign w:val="center"/>
          </w:tcPr>
          <w:p w14:paraId="429E536C">
            <w:pPr>
              <w:pStyle w:val="8"/>
              <w:spacing w:before="1" w:line="220" w:lineRule="auto"/>
              <w:ind w:left="120"/>
              <w:jc w:val="cente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微机教室UPS电源</w:t>
            </w:r>
          </w:p>
        </w:tc>
        <w:tc>
          <w:tcPr>
            <w:tcW w:w="0" w:type="auto"/>
            <w:vAlign w:val="top"/>
          </w:tcPr>
          <w:p w14:paraId="2549015A">
            <w:pPr>
              <w:pStyle w:val="8"/>
              <w:spacing w:before="23" w:line="223" w:lineRule="auto"/>
              <w:ind w:left="139" w:right="107" w:hanging="25"/>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1.容量：30KVA/24KW；</w:t>
            </w:r>
          </w:p>
          <w:p w14:paraId="167259B4">
            <w:pPr>
              <w:pStyle w:val="8"/>
              <w:spacing w:before="23" w:line="223" w:lineRule="auto"/>
              <w:ind w:left="139" w:right="107" w:hanging="25"/>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2.输入：额定电压：三相五线制；电压范围：宽电压适应范围（50%负载）；标准三相输入范围（100%负载）；频率范围：支持多种电网频率标准；功率因数：≥0.99；</w:t>
            </w:r>
          </w:p>
          <w:p w14:paraId="2B87AAE8">
            <w:pPr>
              <w:pStyle w:val="8"/>
              <w:spacing w:before="23" w:line="223" w:lineRule="auto"/>
              <w:ind w:left="139" w:right="107" w:hanging="25"/>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3.输出：输出电压：三相四线制，支持多种常规电压等级可调；频率范围（同步校正范围）：高精度稳压稳频；频率范围（电池模式）：高精度独立输出；转换时间：0中断；</w:t>
            </w:r>
          </w:p>
          <w:p w14:paraId="181F3098">
            <w:pPr>
              <w:pStyle w:val="8"/>
              <w:spacing w:before="23" w:line="223" w:lineRule="auto"/>
              <w:ind w:left="139" w:right="107" w:hanging="25"/>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4.效率：市电模式：≥95%；ECO模式：≥98%；电池模式：≥92%；</w:t>
            </w:r>
          </w:p>
          <w:p w14:paraId="07DB558F">
            <w:pPr>
              <w:pStyle w:val="8"/>
              <w:spacing w:before="23" w:line="223" w:lineRule="auto"/>
              <w:ind w:left="139" w:right="107" w:hanging="25"/>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5.人机交互与报警：显示功能：需支持LCD显示，实时显示系统状态、负载大小，电池容量、运行模式（市电/电池/旁路）、输入/出电压及故障指示等关键信息；报警功能：具备声光报警机制，涵盖电池供电、低电量、过载及系统错误等异常状态；</w:t>
            </w:r>
          </w:p>
          <w:p w14:paraId="04CA09B6">
            <w:pPr>
              <w:pStyle w:val="8"/>
              <w:spacing w:before="23" w:line="223" w:lineRule="auto"/>
              <w:ind w:left="139" w:right="107" w:hanging="25"/>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6.控制管理：通信接口：标配智能RS-232/USB通信接口；系统兼容:兼容主流桌面及服务器操作系统。</w:t>
            </w:r>
          </w:p>
        </w:tc>
        <w:tc>
          <w:tcPr>
            <w:tcW w:w="0" w:type="auto"/>
            <w:vAlign w:val="center"/>
          </w:tcPr>
          <w:p w14:paraId="158A2793">
            <w:pPr>
              <w:pStyle w:val="8"/>
              <w:spacing w:before="23" w:line="223" w:lineRule="auto"/>
              <w:ind w:left="139" w:right="107" w:hanging="25"/>
              <w:jc w:val="center"/>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1</w:t>
            </w:r>
          </w:p>
        </w:tc>
        <w:tc>
          <w:tcPr>
            <w:tcW w:w="0" w:type="auto"/>
            <w:vAlign w:val="center"/>
          </w:tcPr>
          <w:p w14:paraId="00877370">
            <w:pPr>
              <w:pStyle w:val="8"/>
              <w:spacing w:before="23" w:line="223" w:lineRule="auto"/>
              <w:ind w:left="139" w:right="107" w:hanging="25"/>
              <w:jc w:val="center"/>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套</w:t>
            </w:r>
          </w:p>
        </w:tc>
      </w:tr>
      <w:tr w14:paraId="72B737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vAlign w:val="center"/>
          </w:tcPr>
          <w:p w14:paraId="569A7837">
            <w:pPr>
              <w:pStyle w:val="8"/>
              <w:spacing w:before="78" w:line="315" w:lineRule="exact"/>
              <w:ind w:left="134"/>
              <w:jc w:val="center"/>
              <w:rPr>
                <w:rFonts w:hint="default" w:ascii="仿宋_GB2312" w:hAnsi="仿宋_GB2312" w:eastAsia="仿宋_GB2312" w:cs="仿宋_GB2312"/>
                <w:b w:val="0"/>
                <w:bCs w:val="0"/>
                <w:color w:val="auto"/>
                <w:position w:val="1"/>
                <w:sz w:val="21"/>
                <w:szCs w:val="21"/>
                <w:highlight w:val="none"/>
                <w:lang w:val="en-US" w:eastAsia="zh-CN"/>
              </w:rPr>
            </w:pPr>
            <w:r>
              <w:rPr>
                <w:rFonts w:hint="eastAsia" w:ascii="仿宋_GB2312" w:hAnsi="仿宋_GB2312" w:eastAsia="仿宋_GB2312" w:cs="仿宋_GB2312"/>
                <w:b w:val="0"/>
                <w:bCs w:val="0"/>
                <w:color w:val="auto"/>
                <w:position w:val="1"/>
                <w:sz w:val="21"/>
                <w:szCs w:val="21"/>
                <w:highlight w:val="none"/>
                <w:lang w:val="en-US" w:eastAsia="zh-CN"/>
              </w:rPr>
              <w:t>10</w:t>
            </w:r>
          </w:p>
        </w:tc>
        <w:tc>
          <w:tcPr>
            <w:tcW w:w="0" w:type="auto"/>
            <w:vMerge w:val="continue"/>
            <w:vAlign w:val="center"/>
          </w:tcPr>
          <w:p w14:paraId="70D08351">
            <w:pPr>
              <w:pStyle w:val="8"/>
              <w:spacing w:before="23" w:line="223" w:lineRule="auto"/>
              <w:ind w:left="118"/>
              <w:jc w:val="center"/>
              <w:rPr>
                <w:rFonts w:hint="eastAsia" w:ascii="仿宋_GB2312" w:hAnsi="仿宋_GB2312" w:eastAsia="仿宋_GB2312" w:cs="仿宋_GB2312"/>
                <w:b w:val="0"/>
                <w:bCs w:val="0"/>
                <w:color w:val="auto"/>
                <w:spacing w:val="-1"/>
                <w:sz w:val="21"/>
                <w:szCs w:val="21"/>
                <w:highlight w:val="none"/>
              </w:rPr>
            </w:pPr>
          </w:p>
        </w:tc>
        <w:tc>
          <w:tcPr>
            <w:tcW w:w="0" w:type="auto"/>
            <w:vAlign w:val="center"/>
          </w:tcPr>
          <w:p w14:paraId="4537296D">
            <w:pPr>
              <w:pStyle w:val="8"/>
              <w:spacing w:before="1" w:line="220" w:lineRule="auto"/>
              <w:ind w:left="120"/>
              <w:jc w:val="center"/>
              <w:rPr>
                <w:rFonts w:hint="eastAsia"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b w:val="0"/>
                <w:bCs w:val="0"/>
                <w:color w:val="auto"/>
                <w:sz w:val="21"/>
                <w:szCs w:val="21"/>
                <w:highlight w:val="none"/>
                <w:lang w:val="en-US" w:eastAsia="zh-CN"/>
              </w:rPr>
              <w:t>机房UPS电源</w:t>
            </w:r>
          </w:p>
        </w:tc>
        <w:tc>
          <w:tcPr>
            <w:tcW w:w="0" w:type="auto"/>
            <w:vAlign w:val="top"/>
          </w:tcPr>
          <w:p w14:paraId="794679B2">
            <w:pPr>
              <w:pStyle w:val="8"/>
              <w:spacing w:before="23" w:line="223" w:lineRule="auto"/>
              <w:ind w:left="139" w:right="107" w:hanging="25"/>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1.容量：6KVA/4.8KW；</w:t>
            </w:r>
          </w:p>
          <w:p w14:paraId="4D144CD4">
            <w:pPr>
              <w:pStyle w:val="8"/>
              <w:spacing w:before="23" w:line="223" w:lineRule="auto"/>
              <w:ind w:left="139" w:right="107" w:hanging="25"/>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2.输入：输入电压：208/220/230/240VAC；电压范围：110～300VAC（50%负载）；176～300VAC（100%负载）；频率范围：支持多种电网频率标准；功率因数：≥0.99；</w:t>
            </w:r>
          </w:p>
          <w:p w14:paraId="30B1B740">
            <w:pPr>
              <w:pStyle w:val="8"/>
              <w:spacing w:before="23" w:line="223" w:lineRule="auto"/>
              <w:ind w:left="139" w:right="107" w:hanging="25"/>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3.输出：输出电压：208/220/230/240VAC；频率范围（同步校正范围）：高精度稳压稳频；频率范围（电池模式）：高精度独立输出；转换时间：0中断；</w:t>
            </w:r>
          </w:p>
          <w:p w14:paraId="1F084BC1">
            <w:pPr>
              <w:pStyle w:val="8"/>
              <w:spacing w:before="23" w:line="223" w:lineRule="auto"/>
              <w:ind w:left="139" w:right="107" w:hanging="25"/>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4.效率：市电模式：≥93%；电池模式：≥91%；</w:t>
            </w:r>
          </w:p>
          <w:p w14:paraId="680F50E0">
            <w:pPr>
              <w:pStyle w:val="8"/>
              <w:spacing w:before="23" w:line="223" w:lineRule="auto"/>
              <w:ind w:left="139" w:right="107" w:hanging="25"/>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5.人机交互与报警：显示功能：需支持LCD显示，实时显示系统状态、负载大小，电池容量、运行模式（市电/电池/旁路）、输入/出电压及故障指示等关键信息；报警功能：具备声光报警机制，涵盖电池供电、低电量、过载及系统错误等异常状态；</w:t>
            </w:r>
          </w:p>
          <w:p w14:paraId="7EB073CF">
            <w:pPr>
              <w:pStyle w:val="8"/>
              <w:spacing w:before="23" w:line="223" w:lineRule="auto"/>
              <w:ind w:left="139" w:right="107" w:hanging="25"/>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6.控制管理：通信接口：标配智能RS-232/USB通信接口；系统兼容:兼容主流桌面及服务器操作系统。</w:t>
            </w:r>
          </w:p>
        </w:tc>
        <w:tc>
          <w:tcPr>
            <w:tcW w:w="0" w:type="auto"/>
            <w:vAlign w:val="center"/>
          </w:tcPr>
          <w:p w14:paraId="42BE8FE7">
            <w:pPr>
              <w:pStyle w:val="8"/>
              <w:spacing w:before="23" w:line="223" w:lineRule="auto"/>
              <w:ind w:left="139" w:right="107" w:hanging="25"/>
              <w:jc w:val="center"/>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1</w:t>
            </w:r>
          </w:p>
        </w:tc>
        <w:tc>
          <w:tcPr>
            <w:tcW w:w="0" w:type="auto"/>
            <w:vAlign w:val="center"/>
          </w:tcPr>
          <w:p w14:paraId="5C211869">
            <w:pPr>
              <w:pStyle w:val="8"/>
              <w:spacing w:before="23" w:line="223" w:lineRule="auto"/>
              <w:ind w:left="139" w:right="107" w:hanging="25"/>
              <w:jc w:val="center"/>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套</w:t>
            </w:r>
          </w:p>
        </w:tc>
      </w:tr>
      <w:tr w14:paraId="16F541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vAlign w:val="center"/>
          </w:tcPr>
          <w:p w14:paraId="37C0ACC0">
            <w:pPr>
              <w:pStyle w:val="8"/>
              <w:spacing w:before="78" w:line="315" w:lineRule="exact"/>
              <w:ind w:left="134"/>
              <w:jc w:val="center"/>
              <w:rPr>
                <w:rFonts w:hint="default" w:ascii="仿宋_GB2312" w:hAnsi="仿宋_GB2312" w:eastAsia="仿宋_GB2312" w:cs="仿宋_GB2312"/>
                <w:b w:val="0"/>
                <w:bCs w:val="0"/>
                <w:color w:val="auto"/>
                <w:position w:val="1"/>
                <w:sz w:val="21"/>
                <w:szCs w:val="21"/>
                <w:highlight w:val="none"/>
                <w:lang w:val="en-US" w:eastAsia="zh-CN"/>
              </w:rPr>
            </w:pPr>
            <w:r>
              <w:rPr>
                <w:rFonts w:hint="eastAsia" w:ascii="仿宋_GB2312" w:hAnsi="仿宋_GB2312" w:eastAsia="仿宋_GB2312" w:cs="仿宋_GB2312"/>
                <w:b w:val="0"/>
                <w:bCs w:val="0"/>
                <w:color w:val="auto"/>
                <w:position w:val="1"/>
                <w:sz w:val="21"/>
                <w:szCs w:val="21"/>
                <w:highlight w:val="none"/>
                <w:lang w:val="en-US" w:eastAsia="zh-CN"/>
              </w:rPr>
              <w:t>11</w:t>
            </w:r>
          </w:p>
        </w:tc>
        <w:tc>
          <w:tcPr>
            <w:tcW w:w="0" w:type="auto"/>
            <w:vMerge w:val="continue"/>
            <w:vAlign w:val="center"/>
          </w:tcPr>
          <w:p w14:paraId="6E290D95">
            <w:pPr>
              <w:pStyle w:val="8"/>
              <w:spacing w:before="23" w:line="223" w:lineRule="auto"/>
              <w:ind w:left="118"/>
              <w:jc w:val="center"/>
              <w:rPr>
                <w:rFonts w:hint="eastAsia" w:ascii="仿宋_GB2312" w:hAnsi="仿宋_GB2312" w:eastAsia="仿宋_GB2312" w:cs="仿宋_GB2312"/>
                <w:b w:val="0"/>
                <w:bCs w:val="0"/>
                <w:color w:val="auto"/>
                <w:spacing w:val="-1"/>
                <w:sz w:val="21"/>
                <w:szCs w:val="21"/>
                <w:highlight w:val="none"/>
              </w:rPr>
            </w:pPr>
          </w:p>
        </w:tc>
        <w:tc>
          <w:tcPr>
            <w:tcW w:w="0" w:type="auto"/>
            <w:vAlign w:val="center"/>
          </w:tcPr>
          <w:p w14:paraId="258DF8F3">
            <w:pPr>
              <w:pStyle w:val="8"/>
              <w:spacing w:before="1" w:line="220" w:lineRule="auto"/>
              <w:ind w:left="120"/>
              <w:jc w:val="center"/>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电池柜</w:t>
            </w:r>
          </w:p>
        </w:tc>
        <w:tc>
          <w:tcPr>
            <w:tcW w:w="0" w:type="auto"/>
            <w:vAlign w:val="top"/>
          </w:tcPr>
          <w:p w14:paraId="63C5838C">
            <w:pPr>
              <w:pStyle w:val="8"/>
              <w:spacing w:before="23" w:line="223" w:lineRule="auto"/>
              <w:ind w:left="139" w:right="107" w:hanging="25"/>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优质材料，主流工艺，每套可安装≥40只12V65AH电池。</w:t>
            </w:r>
          </w:p>
        </w:tc>
        <w:tc>
          <w:tcPr>
            <w:tcW w:w="0" w:type="auto"/>
            <w:vAlign w:val="center"/>
          </w:tcPr>
          <w:p w14:paraId="1B568F33">
            <w:pPr>
              <w:pStyle w:val="8"/>
              <w:spacing w:before="23" w:line="223" w:lineRule="auto"/>
              <w:ind w:left="139" w:right="107" w:hanging="25"/>
              <w:jc w:val="center"/>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3</w:t>
            </w:r>
          </w:p>
        </w:tc>
        <w:tc>
          <w:tcPr>
            <w:tcW w:w="0" w:type="auto"/>
            <w:vAlign w:val="center"/>
          </w:tcPr>
          <w:p w14:paraId="6E35B992">
            <w:pPr>
              <w:pStyle w:val="8"/>
              <w:spacing w:before="23" w:line="223" w:lineRule="auto"/>
              <w:ind w:left="139" w:right="107" w:hanging="25"/>
              <w:jc w:val="center"/>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台</w:t>
            </w:r>
          </w:p>
        </w:tc>
      </w:tr>
      <w:tr w14:paraId="7779DD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vAlign w:val="center"/>
          </w:tcPr>
          <w:p w14:paraId="777CB82C">
            <w:pPr>
              <w:pStyle w:val="8"/>
              <w:spacing w:before="78" w:line="315" w:lineRule="exact"/>
              <w:ind w:left="134"/>
              <w:jc w:val="center"/>
              <w:rPr>
                <w:rFonts w:hint="default" w:ascii="仿宋_GB2312" w:hAnsi="仿宋_GB2312" w:eastAsia="仿宋_GB2312" w:cs="仿宋_GB2312"/>
                <w:b w:val="0"/>
                <w:bCs w:val="0"/>
                <w:color w:val="auto"/>
                <w:position w:val="1"/>
                <w:sz w:val="21"/>
                <w:szCs w:val="21"/>
                <w:highlight w:val="none"/>
                <w:lang w:val="en-US" w:eastAsia="zh-CN"/>
              </w:rPr>
            </w:pPr>
            <w:r>
              <w:rPr>
                <w:rFonts w:hint="eastAsia" w:ascii="仿宋_GB2312" w:hAnsi="仿宋_GB2312" w:eastAsia="仿宋_GB2312" w:cs="仿宋_GB2312"/>
                <w:b w:val="0"/>
                <w:bCs w:val="0"/>
                <w:color w:val="auto"/>
                <w:position w:val="1"/>
                <w:sz w:val="21"/>
                <w:szCs w:val="21"/>
                <w:highlight w:val="none"/>
                <w:lang w:val="en-US" w:eastAsia="zh-CN"/>
              </w:rPr>
              <w:t>12</w:t>
            </w:r>
          </w:p>
        </w:tc>
        <w:tc>
          <w:tcPr>
            <w:tcW w:w="0" w:type="auto"/>
            <w:vMerge w:val="continue"/>
            <w:vAlign w:val="center"/>
          </w:tcPr>
          <w:p w14:paraId="675F0FA7">
            <w:pPr>
              <w:pStyle w:val="8"/>
              <w:spacing w:before="23" w:line="223" w:lineRule="auto"/>
              <w:ind w:left="118"/>
              <w:jc w:val="center"/>
              <w:rPr>
                <w:rFonts w:hint="eastAsia" w:ascii="仿宋_GB2312" w:hAnsi="仿宋_GB2312" w:eastAsia="仿宋_GB2312" w:cs="仿宋_GB2312"/>
                <w:b w:val="0"/>
                <w:bCs w:val="0"/>
                <w:color w:val="auto"/>
                <w:spacing w:val="-1"/>
                <w:sz w:val="21"/>
                <w:szCs w:val="21"/>
                <w:highlight w:val="none"/>
              </w:rPr>
            </w:pPr>
          </w:p>
        </w:tc>
        <w:tc>
          <w:tcPr>
            <w:tcW w:w="0" w:type="auto"/>
            <w:vAlign w:val="center"/>
          </w:tcPr>
          <w:p w14:paraId="4B2699E7">
            <w:pPr>
              <w:pStyle w:val="8"/>
              <w:spacing w:before="1" w:line="220" w:lineRule="auto"/>
              <w:ind w:left="120"/>
              <w:jc w:val="center"/>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蓄电池</w:t>
            </w:r>
          </w:p>
        </w:tc>
        <w:tc>
          <w:tcPr>
            <w:tcW w:w="0" w:type="auto"/>
            <w:vAlign w:val="top"/>
          </w:tcPr>
          <w:p w14:paraId="169EAEB1">
            <w:pPr>
              <w:pStyle w:val="8"/>
              <w:spacing w:before="23" w:line="223" w:lineRule="auto"/>
              <w:ind w:left="139" w:right="107" w:hanging="25"/>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电压：12V；额定容量：≥65AH；</w:t>
            </w:r>
          </w:p>
          <w:p w14:paraId="1C51E180">
            <w:pPr>
              <w:pStyle w:val="8"/>
              <w:spacing w:before="23" w:line="223" w:lineRule="auto"/>
              <w:ind w:left="139" w:right="107" w:hanging="25"/>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电池槽、盖采用高强度材料，结构紧凑，具备优良的耐冲击和抗震动性能；极板合金板栅内阻小、耐腐蚀性好且充电接受能力强；活性物质利用率高；自放电率低；电池无泄漏，保障运行安全可靠。</w:t>
            </w:r>
          </w:p>
        </w:tc>
        <w:tc>
          <w:tcPr>
            <w:tcW w:w="0" w:type="auto"/>
            <w:vAlign w:val="center"/>
          </w:tcPr>
          <w:p w14:paraId="28E5D1EB">
            <w:pPr>
              <w:pStyle w:val="8"/>
              <w:spacing w:before="23" w:line="223" w:lineRule="auto"/>
              <w:ind w:left="139" w:right="107" w:hanging="25"/>
              <w:jc w:val="center"/>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120</w:t>
            </w:r>
          </w:p>
        </w:tc>
        <w:tc>
          <w:tcPr>
            <w:tcW w:w="0" w:type="auto"/>
            <w:vAlign w:val="center"/>
          </w:tcPr>
          <w:p w14:paraId="782A74B8">
            <w:pPr>
              <w:pStyle w:val="8"/>
              <w:spacing w:before="23" w:line="223" w:lineRule="auto"/>
              <w:ind w:left="139" w:right="107" w:hanging="25"/>
              <w:jc w:val="center"/>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b w:val="0"/>
                <w:bCs w:val="0"/>
                <w:color w:val="auto"/>
                <w:sz w:val="21"/>
                <w:szCs w:val="21"/>
                <w:highlight w:val="none"/>
                <w:lang w:val="en-US" w:eastAsia="zh-CN"/>
              </w:rPr>
              <w:t>只</w:t>
            </w:r>
          </w:p>
        </w:tc>
      </w:tr>
      <w:bookmarkEnd w:id="0"/>
    </w:tbl>
    <w:p w14:paraId="1E2AA994">
      <w:pPr>
        <w:jc w:val="center"/>
        <w:rPr>
          <w:rFonts w:hint="default"/>
          <w:sz w:val="40"/>
          <w:szCs w:val="40"/>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6D1B87"/>
    <w:multiLevelType w:val="singleLevel"/>
    <w:tmpl w:val="976D1B8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C2207B"/>
    <w:rsid w:val="185B7540"/>
    <w:rsid w:val="213E2F0F"/>
    <w:rsid w:val="26841133"/>
    <w:rsid w:val="33BC7D4B"/>
    <w:rsid w:val="3E754C90"/>
    <w:rsid w:val="3F81343C"/>
    <w:rsid w:val="4D723D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left"/>
    </w:pPr>
    <w:rPr>
      <w:rFonts w:ascii="宋体" w:hAnsi="宋体" w:eastAsia="宋体" w:cs="宋体"/>
      <w:b/>
      <w:kern w:val="2"/>
      <w:sz w:val="28"/>
      <w:szCs w:val="28"/>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next w:val="1"/>
    <w:uiPriority w:val="0"/>
    <w:pPr>
      <w:wordWrap w:val="0"/>
      <w:adjustRightInd w:val="0"/>
      <w:snapToGrid w:val="0"/>
      <w:spacing w:line="480" w:lineRule="auto"/>
    </w:pPr>
    <w:rPr>
      <w:rFonts w:ascii="宋体" w:hAnsi="宋体" w:eastAsia="宋体" w:cs="宋体"/>
      <w:sz w:val="28"/>
      <w:szCs w:val="28"/>
    </w:rPr>
  </w:style>
  <w:style w:type="paragraph" w:customStyle="1" w:styleId="5">
    <w:name w:val="表格-左对齐"/>
    <w:basedOn w:val="1"/>
    <w:qFormat/>
    <w:uiPriority w:val="0"/>
    <w:pPr>
      <w:wordWrap w:val="0"/>
      <w:adjustRightInd w:val="0"/>
      <w:snapToGrid w:val="0"/>
      <w:spacing w:line="360" w:lineRule="auto"/>
      <w:jc w:val="center"/>
    </w:pPr>
    <w:rPr>
      <w:rFonts w:hint="eastAsia" w:ascii="宋体" w:hAnsi="宋体" w:eastAsia="宋体" w:cs="宋体"/>
      <w:sz w:val="24"/>
      <w:szCs w:val="24"/>
    </w:rPr>
  </w:style>
  <w:style w:type="paragraph" w:customStyle="1" w:styleId="6">
    <w:name w:val="表格"/>
    <w:basedOn w:val="1"/>
    <w:autoRedefine/>
    <w:qFormat/>
    <w:uiPriority w:val="0"/>
    <w:pPr>
      <w:adjustRightInd w:val="0"/>
      <w:snapToGrid w:val="0"/>
      <w:spacing w:line="240" w:lineRule="auto"/>
      <w:jc w:val="center"/>
    </w:pPr>
    <w:rPr>
      <w:rFonts w:ascii="宋体" w:hAnsi="宋体" w:eastAsia="宋体" w:cs="宋体"/>
      <w:sz w:val="24"/>
      <w:szCs w:val="24"/>
      <w:u w:val="none"/>
    </w:rPr>
  </w:style>
  <w:style w:type="paragraph" w:customStyle="1" w:styleId="7">
    <w:name w:val="null3"/>
    <w:hidden/>
    <w:qFormat/>
    <w:uiPriority w:val="0"/>
    <w:rPr>
      <w:rFonts w:hint="eastAsia" w:asciiTheme="minorHAnsi" w:hAnsiTheme="minorHAnsi" w:eastAsiaTheme="minorEastAsia" w:cstheme="minorBidi"/>
      <w:lang w:val="en-US" w:eastAsia="zh-Hans" w:bidi="ar-SA"/>
    </w:rPr>
  </w:style>
  <w:style w:type="paragraph" w:customStyle="1" w:styleId="8">
    <w:name w:val="Table Text"/>
    <w:basedOn w:val="1"/>
    <w:semiHidden/>
    <w:qFormat/>
    <w:uiPriority w:val="0"/>
    <w:rPr>
      <w:rFonts w:ascii="仿宋" w:hAnsi="仿宋" w:eastAsia="仿宋" w:cs="仿宋"/>
      <w:sz w:val="24"/>
      <w:szCs w:val="24"/>
      <w:lang w:val="en-US" w:eastAsia="en-US" w:bidi="ar-SA"/>
    </w:r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无间隔1"/>
    <w:qFormat/>
    <w:uiPriority w:val="1"/>
    <w:pPr>
      <w:widowControl w:val="0"/>
      <w:jc w:val="both"/>
    </w:pPr>
    <w:rPr>
      <w:rFonts w:ascii="Calibri" w:hAnsi="Calibri" w:eastAsia="等线"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2025-02-24T07:26:00Z</dcterms:created>
  <dc:creator>admin</dc:creator>
  <cp:lastModifiedBy>w..</cp:lastModifiedBy>
  <dcterms:modified xsi:type="dcterms:W3CDTF">2026-06-12T10:11:41Z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50DBD70EEBF74746A7EEF8B5DC19B0B3_12</vt:lpwstr>
  </property>
  <property fmtid="{D5CDD505-2E9C-101B-9397-08002B2CF9AE}" pid="4" name="KSOTemplateDocerSaveRecord">
    <vt:lpwstr>eyJoZGlkIjoiMzM4ODMwNjNiZWE4OGJkYzJkNWI1MjZhMjg0MGY0NWEiLCJ1c2VySWQiOiIyOTcwOTk0MDcifQ==</vt:lpwstr>
  </property>
</Properties>
</file>