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780FE">
      <w:pPr>
        <w:keepNext w:val="0"/>
        <w:keepLines w:val="0"/>
        <w:widowControl/>
        <w:numPr>
          <w:ilvl w:val="0"/>
          <w:numId w:val="0"/>
        </w:numPr>
        <w:suppressLineNumbers w:val="0"/>
        <w:ind w:firstLine="2570" w:firstLineChars="800"/>
        <w:jc w:val="left"/>
        <w:rPr>
          <w:rFonts w:hint="eastAsia" w:ascii="黑体" w:hAnsi="黑体" w:eastAsia="黑体" w:cs="黑体"/>
          <w:b/>
          <w:bCs/>
          <w:color w:val="000000"/>
          <w:kern w:val="0"/>
          <w:sz w:val="32"/>
          <w:szCs w:val="32"/>
          <w:lang w:val="en-US" w:eastAsia="zh-CN" w:bidi="ar"/>
        </w:rPr>
      </w:pPr>
      <w:r>
        <w:rPr>
          <w:rFonts w:hint="eastAsia" w:ascii="黑体" w:hAnsi="黑体" w:eastAsia="黑体" w:cs="黑体"/>
          <w:b/>
          <w:bCs/>
          <w:color w:val="000000"/>
          <w:kern w:val="0"/>
          <w:sz w:val="32"/>
          <w:szCs w:val="32"/>
          <w:lang w:val="en-US" w:eastAsia="zh-CN" w:bidi="ar"/>
        </w:rPr>
        <w:t>招标内容及采购要求</w:t>
      </w:r>
    </w:p>
    <w:p w14:paraId="2AB7B112">
      <w:pPr>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auto"/>
          <w:sz w:val="28"/>
          <w:szCs w:val="28"/>
          <w:lang w:eastAsia="zh-CN"/>
        </w:rPr>
      </w:pPr>
    </w:p>
    <w:p w14:paraId="23DDFE25">
      <w:pPr>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lang w:eastAsia="zh-CN"/>
        </w:rPr>
        <w:t>（一）电梯</w:t>
      </w:r>
      <w:r>
        <w:rPr>
          <w:rFonts w:hint="eastAsia" w:ascii="仿宋_GB2312" w:hAnsi="仿宋_GB2312" w:eastAsia="仿宋_GB2312" w:cs="仿宋_GB2312"/>
          <w:b/>
          <w:bCs/>
          <w:color w:val="auto"/>
          <w:sz w:val="28"/>
          <w:szCs w:val="28"/>
        </w:rPr>
        <w:t>基本技术参数：</w:t>
      </w:r>
    </w:p>
    <w:tbl>
      <w:tblPr>
        <w:tblStyle w:val="2"/>
        <w:tblW w:w="9055" w:type="dxa"/>
        <w:tblInd w:w="0" w:type="dxa"/>
        <w:tblLayout w:type="fixed"/>
        <w:tblCellMar>
          <w:top w:w="0" w:type="dxa"/>
          <w:left w:w="108" w:type="dxa"/>
          <w:bottom w:w="0" w:type="dxa"/>
          <w:right w:w="108" w:type="dxa"/>
        </w:tblCellMar>
      </w:tblPr>
      <w:tblGrid>
        <w:gridCol w:w="1296"/>
        <w:gridCol w:w="2115"/>
        <w:gridCol w:w="5644"/>
      </w:tblGrid>
      <w:tr w14:paraId="3C4EE9C1">
        <w:tblPrEx>
          <w:tblCellMar>
            <w:top w:w="0" w:type="dxa"/>
            <w:left w:w="108" w:type="dxa"/>
            <w:bottom w:w="0" w:type="dxa"/>
            <w:right w:w="108" w:type="dxa"/>
          </w:tblCellMar>
        </w:tblPrEx>
        <w:trPr>
          <w:trHeight w:val="322" w:hRule="atLeast"/>
        </w:trPr>
        <w:tc>
          <w:tcPr>
            <w:tcW w:w="1296" w:type="dxa"/>
            <w:tcBorders>
              <w:top w:val="single" w:color="000000" w:sz="4" w:space="0"/>
              <w:left w:val="single" w:color="000000" w:sz="4" w:space="0"/>
              <w:bottom w:val="single" w:color="000000" w:sz="4" w:space="0"/>
              <w:right w:val="single" w:color="auto" w:sz="4" w:space="0"/>
            </w:tcBorders>
            <w:noWrap w:val="0"/>
            <w:vAlign w:val="center"/>
          </w:tcPr>
          <w:p w14:paraId="3F045EF8">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标注</w:t>
            </w:r>
          </w:p>
        </w:tc>
        <w:tc>
          <w:tcPr>
            <w:tcW w:w="2115" w:type="dxa"/>
            <w:tcBorders>
              <w:top w:val="single" w:color="000000" w:sz="4" w:space="0"/>
              <w:left w:val="single" w:color="auto" w:sz="4" w:space="0"/>
              <w:bottom w:val="single" w:color="000000" w:sz="4" w:space="0"/>
              <w:right w:val="nil"/>
            </w:tcBorders>
            <w:noWrap w:val="0"/>
            <w:vAlign w:val="center"/>
          </w:tcPr>
          <w:p w14:paraId="3F286586">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val="en-US" w:eastAsia="zh-CN"/>
              </w:rPr>
              <w:t>数    量</w:t>
            </w:r>
          </w:p>
        </w:tc>
        <w:tc>
          <w:tcPr>
            <w:tcW w:w="5644" w:type="dxa"/>
            <w:tcBorders>
              <w:top w:val="single" w:color="000000" w:sz="4" w:space="0"/>
              <w:left w:val="single" w:color="000000" w:sz="4" w:space="0"/>
              <w:bottom w:val="single" w:color="000000" w:sz="4" w:space="0"/>
              <w:right w:val="single" w:color="auto" w:sz="4" w:space="0"/>
            </w:tcBorders>
            <w:noWrap w:val="0"/>
            <w:vAlign w:val="center"/>
          </w:tcPr>
          <w:p w14:paraId="058B40F2">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1 台</w:t>
            </w:r>
          </w:p>
        </w:tc>
      </w:tr>
      <w:tr w14:paraId="4FA3A69B">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2731E6EC">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eastAsia="zh-CN"/>
              </w:rPr>
            </w:pPr>
            <w:r>
              <w:rPr>
                <w:rFonts w:hint="eastAsia" w:ascii="宋体" w:hAnsi="宋体" w:eastAsia="宋体" w:cs="宋体"/>
                <w:b/>
                <w:color w:val="auto"/>
                <w:sz w:val="24"/>
                <w:lang w:val="zh-CN"/>
              </w:rPr>
              <w:t>★</w:t>
            </w:r>
          </w:p>
        </w:tc>
        <w:tc>
          <w:tcPr>
            <w:tcW w:w="2115" w:type="dxa"/>
            <w:tcBorders>
              <w:top w:val="nil"/>
              <w:left w:val="single" w:color="auto" w:sz="4" w:space="0"/>
              <w:bottom w:val="single" w:color="000000" w:sz="4" w:space="0"/>
              <w:right w:val="nil"/>
            </w:tcBorders>
            <w:noWrap w:val="0"/>
            <w:vAlign w:val="center"/>
          </w:tcPr>
          <w:p w14:paraId="05E0C455">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eastAsia="zh-CN"/>
              </w:rPr>
              <w:t>类    型</w:t>
            </w:r>
          </w:p>
        </w:tc>
        <w:tc>
          <w:tcPr>
            <w:tcW w:w="5644" w:type="dxa"/>
            <w:tcBorders>
              <w:top w:val="nil"/>
              <w:left w:val="single" w:color="000000" w:sz="4" w:space="0"/>
              <w:bottom w:val="single" w:color="000000" w:sz="4" w:space="0"/>
              <w:right w:val="single" w:color="auto" w:sz="4" w:space="0"/>
            </w:tcBorders>
            <w:noWrap w:val="0"/>
            <w:vAlign w:val="center"/>
          </w:tcPr>
          <w:p w14:paraId="009DEA21">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乘客电梯</w:t>
            </w:r>
          </w:p>
        </w:tc>
      </w:tr>
      <w:tr w14:paraId="3B26E31C">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72AA2E09">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eastAsia="zh-CN"/>
              </w:rPr>
            </w:pPr>
            <w:r>
              <w:rPr>
                <w:rFonts w:hint="eastAsia" w:ascii="仿宋_GB2312" w:hAnsi="仿宋_GB2312" w:eastAsia="仿宋_GB2312" w:cs="仿宋_GB2312"/>
                <w:b w:val="0"/>
                <w:bCs/>
                <w:color w:val="auto"/>
                <w:sz w:val="28"/>
                <w:szCs w:val="28"/>
                <w:lang w:eastAsia="zh-CN"/>
              </w:rPr>
              <w:t>▲</w:t>
            </w:r>
          </w:p>
        </w:tc>
        <w:tc>
          <w:tcPr>
            <w:tcW w:w="2115" w:type="dxa"/>
            <w:tcBorders>
              <w:top w:val="nil"/>
              <w:left w:val="single" w:color="auto" w:sz="4" w:space="0"/>
              <w:bottom w:val="single" w:color="000000" w:sz="4" w:space="0"/>
              <w:right w:val="nil"/>
            </w:tcBorders>
            <w:noWrap w:val="0"/>
            <w:vAlign w:val="center"/>
          </w:tcPr>
          <w:p w14:paraId="649C6F15">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eastAsia="zh-CN"/>
              </w:rPr>
              <w:t>载    重</w:t>
            </w:r>
          </w:p>
        </w:tc>
        <w:tc>
          <w:tcPr>
            <w:tcW w:w="5644" w:type="dxa"/>
            <w:tcBorders>
              <w:top w:val="nil"/>
              <w:left w:val="single" w:color="000000" w:sz="4" w:space="0"/>
              <w:bottom w:val="single" w:color="000000" w:sz="4" w:space="0"/>
              <w:right w:val="single" w:color="auto" w:sz="4" w:space="0"/>
            </w:tcBorders>
            <w:noWrap w:val="0"/>
            <w:vAlign w:val="center"/>
          </w:tcPr>
          <w:p w14:paraId="6F40FB53">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eastAsia="zh-CN"/>
              </w:rPr>
            </w:pPr>
            <w:r>
              <w:rPr>
                <w:rFonts w:hint="eastAsia" w:ascii="仿宋_GB2312" w:hAnsi="仿宋_GB2312" w:eastAsia="仿宋_GB2312" w:cs="仿宋_GB2312"/>
                <w:b w:val="0"/>
                <w:bCs/>
                <w:color w:val="auto"/>
                <w:sz w:val="28"/>
                <w:szCs w:val="28"/>
                <w:lang w:eastAsia="zh-CN"/>
              </w:rPr>
              <w:t>≧</w:t>
            </w:r>
            <w:r>
              <w:rPr>
                <w:rFonts w:hint="eastAsia" w:ascii="仿宋_GB2312" w:hAnsi="仿宋_GB2312" w:eastAsia="仿宋_GB2312" w:cs="仿宋_GB2312"/>
                <w:b w:val="0"/>
                <w:bCs/>
                <w:color w:val="auto"/>
                <w:sz w:val="28"/>
                <w:szCs w:val="28"/>
                <w:lang w:val="en-US" w:eastAsia="zh-CN"/>
              </w:rPr>
              <w:t>1000</w:t>
            </w:r>
            <w:r>
              <w:rPr>
                <w:rFonts w:hint="eastAsia" w:ascii="仿宋_GB2312" w:hAnsi="仿宋_GB2312" w:eastAsia="仿宋_GB2312" w:cs="仿宋_GB2312"/>
                <w:b w:val="0"/>
                <w:bCs/>
                <w:color w:val="auto"/>
                <w:sz w:val="28"/>
                <w:szCs w:val="28"/>
                <w:lang w:eastAsia="zh-CN"/>
              </w:rPr>
              <w:t>公斤</w:t>
            </w:r>
          </w:p>
        </w:tc>
      </w:tr>
      <w:tr w14:paraId="02BDD405">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4873B211">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eastAsia="zh-CN"/>
              </w:rPr>
            </w:pPr>
            <w:r>
              <w:rPr>
                <w:rFonts w:hint="eastAsia" w:ascii="仿宋_GB2312" w:hAnsi="仿宋_GB2312" w:eastAsia="仿宋_GB2312" w:cs="仿宋_GB2312"/>
                <w:b w:val="0"/>
                <w:bCs/>
                <w:color w:val="auto"/>
                <w:sz w:val="28"/>
                <w:szCs w:val="28"/>
                <w:lang w:eastAsia="zh-CN"/>
              </w:rPr>
              <w:t>▲</w:t>
            </w:r>
          </w:p>
        </w:tc>
        <w:tc>
          <w:tcPr>
            <w:tcW w:w="2115" w:type="dxa"/>
            <w:tcBorders>
              <w:top w:val="nil"/>
              <w:left w:val="single" w:color="auto" w:sz="4" w:space="0"/>
              <w:bottom w:val="single" w:color="000000" w:sz="4" w:space="0"/>
              <w:right w:val="nil"/>
            </w:tcBorders>
            <w:noWrap w:val="0"/>
            <w:vAlign w:val="center"/>
          </w:tcPr>
          <w:p w14:paraId="49E87D99">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eastAsia="zh-CN"/>
              </w:rPr>
              <w:t>速    度</w:t>
            </w:r>
          </w:p>
        </w:tc>
        <w:tc>
          <w:tcPr>
            <w:tcW w:w="5644" w:type="dxa"/>
            <w:tcBorders>
              <w:top w:val="nil"/>
              <w:left w:val="single" w:color="000000" w:sz="4" w:space="0"/>
              <w:bottom w:val="single" w:color="000000" w:sz="4" w:space="0"/>
              <w:right w:val="single" w:color="auto" w:sz="4" w:space="0"/>
            </w:tcBorders>
            <w:noWrap w:val="0"/>
            <w:vAlign w:val="center"/>
          </w:tcPr>
          <w:p w14:paraId="363D27F7">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eastAsia="zh-CN"/>
              </w:rPr>
            </w:pPr>
            <w:r>
              <w:rPr>
                <w:rFonts w:hint="eastAsia" w:ascii="仿宋_GB2312" w:hAnsi="仿宋_GB2312" w:eastAsia="仿宋_GB2312" w:cs="仿宋_GB2312"/>
                <w:b w:val="0"/>
                <w:bCs/>
                <w:color w:val="auto"/>
                <w:sz w:val="28"/>
                <w:szCs w:val="28"/>
                <w:lang w:eastAsia="zh-CN"/>
              </w:rPr>
              <w:t>≦</w:t>
            </w:r>
            <w:r>
              <w:rPr>
                <w:rFonts w:hint="eastAsia" w:ascii="仿宋_GB2312" w:hAnsi="仿宋_GB2312" w:eastAsia="仿宋_GB2312" w:cs="仿宋_GB2312"/>
                <w:b w:val="0"/>
                <w:bCs/>
                <w:color w:val="auto"/>
                <w:sz w:val="28"/>
                <w:szCs w:val="28"/>
                <w:lang w:val="en-US" w:eastAsia="zh-CN"/>
              </w:rPr>
              <w:t>1.0</w:t>
            </w:r>
            <w:r>
              <w:rPr>
                <w:rFonts w:hint="eastAsia" w:ascii="仿宋_GB2312" w:hAnsi="仿宋_GB2312" w:eastAsia="仿宋_GB2312" w:cs="仿宋_GB2312"/>
                <w:b w:val="0"/>
                <w:bCs/>
                <w:color w:val="auto"/>
                <w:sz w:val="28"/>
                <w:szCs w:val="28"/>
                <w:lang w:eastAsia="zh-CN"/>
              </w:rPr>
              <w:t>米/秒</w:t>
            </w:r>
          </w:p>
        </w:tc>
      </w:tr>
      <w:tr w14:paraId="235C4476">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04DA8152">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eastAsia="zh-CN"/>
              </w:rPr>
            </w:pPr>
            <w:r>
              <w:rPr>
                <w:rFonts w:hint="eastAsia" w:ascii="宋体" w:hAnsi="宋体" w:eastAsia="宋体" w:cs="宋体"/>
                <w:b/>
                <w:color w:val="auto"/>
                <w:sz w:val="24"/>
                <w:lang w:val="zh-CN"/>
              </w:rPr>
              <w:t>★</w:t>
            </w:r>
          </w:p>
        </w:tc>
        <w:tc>
          <w:tcPr>
            <w:tcW w:w="2115" w:type="dxa"/>
            <w:tcBorders>
              <w:top w:val="nil"/>
              <w:left w:val="single" w:color="auto" w:sz="4" w:space="0"/>
              <w:bottom w:val="single" w:color="000000" w:sz="4" w:space="0"/>
              <w:right w:val="nil"/>
            </w:tcBorders>
            <w:noWrap w:val="0"/>
            <w:vAlign w:val="center"/>
          </w:tcPr>
          <w:p w14:paraId="1A626C31">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eastAsia="zh-CN"/>
              </w:rPr>
              <w:t>层站门</w:t>
            </w:r>
          </w:p>
        </w:tc>
        <w:tc>
          <w:tcPr>
            <w:tcW w:w="5644" w:type="dxa"/>
            <w:tcBorders>
              <w:top w:val="nil"/>
              <w:left w:val="single" w:color="000000" w:sz="4" w:space="0"/>
              <w:bottom w:val="single" w:color="000000" w:sz="4" w:space="0"/>
              <w:right w:val="single" w:color="auto" w:sz="4" w:space="0"/>
            </w:tcBorders>
            <w:noWrap w:val="0"/>
            <w:vAlign w:val="center"/>
          </w:tcPr>
          <w:p w14:paraId="7F2032C7">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4/4/4</w:t>
            </w:r>
          </w:p>
        </w:tc>
      </w:tr>
      <w:tr w14:paraId="14B8190A">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7DDD8CAE">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w:t>
            </w:r>
          </w:p>
        </w:tc>
        <w:tc>
          <w:tcPr>
            <w:tcW w:w="2115" w:type="dxa"/>
            <w:tcBorders>
              <w:top w:val="nil"/>
              <w:left w:val="single" w:color="auto" w:sz="4" w:space="0"/>
              <w:bottom w:val="single" w:color="000000" w:sz="4" w:space="0"/>
              <w:right w:val="nil"/>
            </w:tcBorders>
            <w:noWrap w:val="0"/>
            <w:vAlign w:val="center"/>
          </w:tcPr>
          <w:p w14:paraId="2E4D2940">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val="en-US" w:eastAsia="zh-CN"/>
              </w:rPr>
              <w:t>提升高度</w:t>
            </w:r>
            <w:r>
              <w:rPr>
                <w:rFonts w:hint="eastAsia" w:ascii="仿宋_GB2312" w:hAnsi="仿宋_GB2312" w:eastAsia="仿宋_GB2312" w:cs="仿宋_GB2312"/>
                <w:b w:val="0"/>
                <w:bCs/>
                <w:color w:val="auto"/>
                <w:sz w:val="28"/>
                <w:szCs w:val="28"/>
                <w:lang w:eastAsia="zh-CN"/>
              </w:rPr>
              <w:t>（mm）</w:t>
            </w:r>
          </w:p>
        </w:tc>
        <w:tc>
          <w:tcPr>
            <w:tcW w:w="5644" w:type="dxa"/>
            <w:tcBorders>
              <w:top w:val="nil"/>
              <w:left w:val="single" w:color="000000" w:sz="4" w:space="0"/>
              <w:bottom w:val="single" w:color="000000" w:sz="4" w:space="0"/>
              <w:right w:val="single" w:color="auto" w:sz="4" w:space="0"/>
            </w:tcBorders>
            <w:noWrap w:val="0"/>
            <w:vAlign w:val="center"/>
          </w:tcPr>
          <w:p w14:paraId="643B0F3C">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 xml:space="preserve">11200（最终以现场实际测量为准） </w:t>
            </w:r>
          </w:p>
        </w:tc>
      </w:tr>
      <w:tr w14:paraId="1F20FE94">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2ADA9D80">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w:t>
            </w:r>
          </w:p>
        </w:tc>
        <w:tc>
          <w:tcPr>
            <w:tcW w:w="2115" w:type="dxa"/>
            <w:tcBorders>
              <w:top w:val="nil"/>
              <w:left w:val="single" w:color="auto" w:sz="4" w:space="0"/>
              <w:bottom w:val="single" w:color="000000" w:sz="4" w:space="0"/>
              <w:right w:val="nil"/>
            </w:tcBorders>
            <w:noWrap w:val="0"/>
            <w:vAlign w:val="center"/>
          </w:tcPr>
          <w:p w14:paraId="7A196D65">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val="en-US" w:eastAsia="zh-CN"/>
              </w:rPr>
              <w:t>顶层高度</w:t>
            </w:r>
            <w:r>
              <w:rPr>
                <w:rFonts w:hint="eastAsia" w:ascii="仿宋_GB2312" w:hAnsi="仿宋_GB2312" w:eastAsia="仿宋_GB2312" w:cs="仿宋_GB2312"/>
                <w:b w:val="0"/>
                <w:bCs/>
                <w:color w:val="auto"/>
                <w:sz w:val="28"/>
                <w:szCs w:val="28"/>
                <w:lang w:eastAsia="zh-CN"/>
              </w:rPr>
              <w:t>（mm）</w:t>
            </w:r>
          </w:p>
        </w:tc>
        <w:tc>
          <w:tcPr>
            <w:tcW w:w="5644" w:type="dxa"/>
            <w:tcBorders>
              <w:top w:val="nil"/>
              <w:left w:val="single" w:color="000000" w:sz="4" w:space="0"/>
              <w:bottom w:val="single" w:color="000000" w:sz="4" w:space="0"/>
              <w:right w:val="single" w:color="auto" w:sz="4" w:space="0"/>
            </w:tcBorders>
            <w:noWrap w:val="0"/>
            <w:vAlign w:val="center"/>
          </w:tcPr>
          <w:p w14:paraId="5C6052BB">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设计应≤4500</w:t>
            </w:r>
          </w:p>
        </w:tc>
      </w:tr>
      <w:tr w14:paraId="72710439">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3D4EB297">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w:t>
            </w:r>
          </w:p>
        </w:tc>
        <w:tc>
          <w:tcPr>
            <w:tcW w:w="2115" w:type="dxa"/>
            <w:tcBorders>
              <w:top w:val="nil"/>
              <w:left w:val="single" w:color="auto" w:sz="4" w:space="0"/>
              <w:bottom w:val="single" w:color="000000" w:sz="4" w:space="0"/>
              <w:right w:val="nil"/>
            </w:tcBorders>
            <w:noWrap w:val="0"/>
            <w:vAlign w:val="center"/>
          </w:tcPr>
          <w:p w14:paraId="419D34DB">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eastAsia="zh-CN"/>
              </w:rPr>
              <w:t>底坑</w:t>
            </w:r>
            <w:r>
              <w:rPr>
                <w:rFonts w:hint="eastAsia" w:ascii="仿宋_GB2312" w:hAnsi="仿宋_GB2312" w:eastAsia="仿宋_GB2312" w:cs="仿宋_GB2312"/>
                <w:b w:val="0"/>
                <w:bCs/>
                <w:color w:val="auto"/>
                <w:sz w:val="28"/>
                <w:szCs w:val="28"/>
                <w:lang w:val="en-US" w:eastAsia="zh-CN"/>
              </w:rPr>
              <w:t>深度</w:t>
            </w:r>
            <w:r>
              <w:rPr>
                <w:rFonts w:hint="eastAsia" w:ascii="仿宋_GB2312" w:hAnsi="仿宋_GB2312" w:eastAsia="仿宋_GB2312" w:cs="仿宋_GB2312"/>
                <w:b w:val="0"/>
                <w:bCs/>
                <w:color w:val="auto"/>
                <w:sz w:val="28"/>
                <w:szCs w:val="28"/>
                <w:lang w:eastAsia="zh-CN"/>
              </w:rPr>
              <w:t>（mm）</w:t>
            </w:r>
          </w:p>
        </w:tc>
        <w:tc>
          <w:tcPr>
            <w:tcW w:w="5644" w:type="dxa"/>
            <w:tcBorders>
              <w:top w:val="nil"/>
              <w:left w:val="single" w:color="000000" w:sz="4" w:space="0"/>
              <w:bottom w:val="single" w:color="000000" w:sz="4" w:space="0"/>
              <w:right w:val="single" w:color="auto" w:sz="4" w:space="0"/>
            </w:tcBorders>
            <w:noWrap w:val="0"/>
            <w:vAlign w:val="center"/>
          </w:tcPr>
          <w:p w14:paraId="526D747F">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设计应≤1500</w:t>
            </w:r>
          </w:p>
        </w:tc>
      </w:tr>
      <w:tr w14:paraId="0D091943">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3FFCE9E5">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eastAsia="zh-CN"/>
              </w:rPr>
            </w:pPr>
            <w:r>
              <w:rPr>
                <w:rFonts w:hint="eastAsia" w:ascii="宋体" w:hAnsi="宋体" w:eastAsia="宋体" w:cs="宋体"/>
                <w:b/>
                <w:color w:val="auto"/>
                <w:sz w:val="24"/>
                <w:lang w:val="zh-CN"/>
              </w:rPr>
              <w:t>★</w:t>
            </w:r>
          </w:p>
        </w:tc>
        <w:tc>
          <w:tcPr>
            <w:tcW w:w="2115" w:type="dxa"/>
            <w:tcBorders>
              <w:top w:val="nil"/>
              <w:left w:val="single" w:color="auto" w:sz="4" w:space="0"/>
              <w:bottom w:val="single" w:color="000000" w:sz="4" w:space="0"/>
              <w:right w:val="nil"/>
            </w:tcBorders>
            <w:noWrap w:val="0"/>
            <w:vAlign w:val="center"/>
          </w:tcPr>
          <w:p w14:paraId="4C2FD9E8">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eastAsia="zh-CN"/>
              </w:rPr>
              <w:t>机房（mm）</w:t>
            </w:r>
          </w:p>
        </w:tc>
        <w:tc>
          <w:tcPr>
            <w:tcW w:w="5644" w:type="dxa"/>
            <w:tcBorders>
              <w:top w:val="nil"/>
              <w:left w:val="single" w:color="000000" w:sz="4" w:space="0"/>
              <w:bottom w:val="single" w:color="000000" w:sz="4" w:space="0"/>
              <w:right w:val="single" w:color="auto" w:sz="4" w:space="0"/>
            </w:tcBorders>
            <w:noWrap w:val="0"/>
            <w:vAlign w:val="center"/>
          </w:tcPr>
          <w:p w14:paraId="77D36589">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无机房</w:t>
            </w:r>
          </w:p>
        </w:tc>
      </w:tr>
      <w:tr w14:paraId="6D618553">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0BE46F93">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eastAsia="zh-CN"/>
              </w:rPr>
            </w:pPr>
            <w:r>
              <w:rPr>
                <w:rFonts w:hint="eastAsia" w:ascii="仿宋_GB2312" w:hAnsi="仿宋_GB2312" w:eastAsia="仿宋_GB2312" w:cs="仿宋_GB2312"/>
                <w:b w:val="0"/>
                <w:bCs/>
                <w:color w:val="auto"/>
                <w:sz w:val="28"/>
                <w:szCs w:val="28"/>
                <w:lang w:eastAsia="zh-CN"/>
              </w:rPr>
              <w:t>▲</w:t>
            </w:r>
          </w:p>
        </w:tc>
        <w:tc>
          <w:tcPr>
            <w:tcW w:w="2115" w:type="dxa"/>
            <w:tcBorders>
              <w:top w:val="nil"/>
              <w:left w:val="single" w:color="auto" w:sz="4" w:space="0"/>
              <w:bottom w:val="single" w:color="000000" w:sz="4" w:space="0"/>
              <w:right w:val="nil"/>
            </w:tcBorders>
            <w:noWrap w:val="0"/>
            <w:vAlign w:val="center"/>
          </w:tcPr>
          <w:p w14:paraId="51D5EB18">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eastAsia="zh-CN"/>
              </w:rPr>
              <w:t>井道尺寸（</w:t>
            </w:r>
            <w:r>
              <w:rPr>
                <w:rFonts w:hint="eastAsia" w:ascii="仿宋_GB2312" w:hAnsi="仿宋_GB2312" w:eastAsia="仿宋_GB2312" w:cs="仿宋_GB2312"/>
                <w:b w:val="0"/>
                <w:bCs/>
                <w:color w:val="auto"/>
                <w:sz w:val="28"/>
                <w:szCs w:val="28"/>
                <w:lang w:val="en-US" w:eastAsia="zh-CN"/>
              </w:rPr>
              <w:t>mm</w:t>
            </w:r>
            <w:r>
              <w:rPr>
                <w:rFonts w:hint="eastAsia" w:ascii="仿宋_GB2312" w:hAnsi="仿宋_GB2312" w:eastAsia="仿宋_GB2312" w:cs="仿宋_GB2312"/>
                <w:b w:val="0"/>
                <w:bCs/>
                <w:color w:val="auto"/>
                <w:sz w:val="28"/>
                <w:szCs w:val="28"/>
                <w:lang w:eastAsia="zh-CN"/>
              </w:rPr>
              <w:t>）</w:t>
            </w:r>
          </w:p>
        </w:tc>
        <w:tc>
          <w:tcPr>
            <w:tcW w:w="5644" w:type="dxa"/>
            <w:tcBorders>
              <w:top w:val="nil"/>
              <w:left w:val="single" w:color="000000" w:sz="4" w:space="0"/>
              <w:bottom w:val="single" w:color="000000" w:sz="4" w:space="0"/>
              <w:right w:val="single" w:color="auto" w:sz="4" w:space="0"/>
            </w:tcBorders>
            <w:noWrap w:val="0"/>
            <w:vAlign w:val="center"/>
          </w:tcPr>
          <w:p w14:paraId="15849117">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eastAsia="zh-CN"/>
              </w:rPr>
              <w:t>≧</w:t>
            </w:r>
            <w:r>
              <w:rPr>
                <w:rFonts w:hint="eastAsia" w:ascii="仿宋_GB2312" w:hAnsi="仿宋_GB2312" w:eastAsia="仿宋_GB2312" w:cs="仿宋_GB2312"/>
                <w:b w:val="0"/>
                <w:bCs/>
                <w:color w:val="auto"/>
                <w:sz w:val="28"/>
                <w:szCs w:val="28"/>
                <w:lang w:val="en-US" w:eastAsia="zh-CN"/>
              </w:rPr>
              <w:t>2275宽*1800深</w:t>
            </w:r>
          </w:p>
        </w:tc>
      </w:tr>
      <w:tr w14:paraId="4C8EF4AD">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447986EB">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eastAsia="zh-CN"/>
              </w:rPr>
            </w:pPr>
            <w:r>
              <w:rPr>
                <w:rFonts w:hint="eastAsia" w:ascii="仿宋_GB2312" w:hAnsi="仿宋_GB2312" w:eastAsia="仿宋_GB2312" w:cs="仿宋_GB2312"/>
                <w:b w:val="0"/>
                <w:bCs/>
                <w:color w:val="auto"/>
                <w:sz w:val="28"/>
                <w:szCs w:val="28"/>
                <w:lang w:eastAsia="zh-CN"/>
              </w:rPr>
              <w:t>▲</w:t>
            </w:r>
          </w:p>
        </w:tc>
        <w:tc>
          <w:tcPr>
            <w:tcW w:w="2115" w:type="dxa"/>
            <w:tcBorders>
              <w:top w:val="nil"/>
              <w:left w:val="single" w:color="auto" w:sz="4" w:space="0"/>
              <w:bottom w:val="single" w:color="000000" w:sz="4" w:space="0"/>
              <w:right w:val="nil"/>
            </w:tcBorders>
            <w:noWrap w:val="0"/>
            <w:vAlign w:val="center"/>
          </w:tcPr>
          <w:p w14:paraId="12C1840E">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eastAsia="zh-CN"/>
              </w:rPr>
              <w:t>轿厢尺寸（</w:t>
            </w:r>
            <w:r>
              <w:rPr>
                <w:rFonts w:hint="eastAsia" w:ascii="仿宋_GB2312" w:hAnsi="仿宋_GB2312" w:eastAsia="仿宋_GB2312" w:cs="仿宋_GB2312"/>
                <w:b w:val="0"/>
                <w:bCs/>
                <w:color w:val="auto"/>
                <w:sz w:val="28"/>
                <w:szCs w:val="28"/>
                <w:lang w:val="en-US" w:eastAsia="zh-CN"/>
              </w:rPr>
              <w:t>mm</w:t>
            </w:r>
            <w:r>
              <w:rPr>
                <w:rFonts w:hint="eastAsia" w:ascii="仿宋_GB2312" w:hAnsi="仿宋_GB2312" w:eastAsia="仿宋_GB2312" w:cs="仿宋_GB2312"/>
                <w:b w:val="0"/>
                <w:bCs/>
                <w:color w:val="auto"/>
                <w:sz w:val="28"/>
                <w:szCs w:val="28"/>
                <w:lang w:eastAsia="zh-CN"/>
              </w:rPr>
              <w:t>）</w:t>
            </w:r>
          </w:p>
        </w:tc>
        <w:tc>
          <w:tcPr>
            <w:tcW w:w="5644" w:type="dxa"/>
            <w:tcBorders>
              <w:top w:val="nil"/>
              <w:left w:val="single" w:color="000000" w:sz="4" w:space="0"/>
              <w:bottom w:val="single" w:color="000000" w:sz="4" w:space="0"/>
              <w:right w:val="single" w:color="auto" w:sz="4" w:space="0"/>
            </w:tcBorders>
            <w:noWrap w:val="0"/>
            <w:vAlign w:val="center"/>
          </w:tcPr>
          <w:p w14:paraId="4CC888C5">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eastAsia="zh-CN"/>
              </w:rPr>
              <w:t>≧</w:t>
            </w:r>
            <w:r>
              <w:rPr>
                <w:rFonts w:hint="eastAsia" w:ascii="仿宋_GB2312" w:hAnsi="仿宋_GB2312" w:eastAsia="仿宋_GB2312" w:cs="仿宋_GB2312"/>
                <w:b w:val="0"/>
                <w:bCs/>
                <w:color w:val="auto"/>
                <w:sz w:val="28"/>
                <w:szCs w:val="28"/>
                <w:lang w:val="en-US" w:eastAsia="zh-CN"/>
              </w:rPr>
              <w:t>1600 *1400*2500高</w:t>
            </w:r>
          </w:p>
        </w:tc>
      </w:tr>
      <w:tr w14:paraId="76562CDF">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48F1D476">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w:t>
            </w:r>
          </w:p>
        </w:tc>
        <w:tc>
          <w:tcPr>
            <w:tcW w:w="2115" w:type="dxa"/>
            <w:tcBorders>
              <w:top w:val="nil"/>
              <w:left w:val="single" w:color="auto" w:sz="4" w:space="0"/>
              <w:bottom w:val="single" w:color="000000" w:sz="4" w:space="0"/>
              <w:right w:val="nil"/>
            </w:tcBorders>
            <w:noWrap w:val="0"/>
            <w:vAlign w:val="center"/>
          </w:tcPr>
          <w:p w14:paraId="37592A58">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val="en-US" w:eastAsia="zh-CN"/>
              </w:rPr>
              <w:t>开门尺寸（mm）</w:t>
            </w:r>
          </w:p>
        </w:tc>
        <w:tc>
          <w:tcPr>
            <w:tcW w:w="5644" w:type="dxa"/>
            <w:tcBorders>
              <w:top w:val="nil"/>
              <w:left w:val="single" w:color="000000" w:sz="4" w:space="0"/>
              <w:bottom w:val="single" w:color="000000" w:sz="4" w:space="0"/>
              <w:right w:val="single" w:color="auto" w:sz="4" w:space="0"/>
            </w:tcBorders>
            <w:noWrap w:val="0"/>
            <w:vAlign w:val="center"/>
          </w:tcPr>
          <w:p w14:paraId="31414178">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eastAsia="zh-CN"/>
              </w:rPr>
              <w:t>≧</w:t>
            </w:r>
            <w:r>
              <w:rPr>
                <w:rFonts w:hint="eastAsia" w:ascii="仿宋_GB2312" w:hAnsi="仿宋_GB2312" w:eastAsia="仿宋_GB2312" w:cs="仿宋_GB2312"/>
                <w:b w:val="0"/>
                <w:bCs/>
                <w:color w:val="auto"/>
                <w:sz w:val="28"/>
                <w:szCs w:val="28"/>
                <w:lang w:val="en-US" w:eastAsia="zh-CN"/>
              </w:rPr>
              <w:t>900*2100</w:t>
            </w:r>
          </w:p>
        </w:tc>
      </w:tr>
      <w:tr w14:paraId="6CDE46F8">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0CAF9FFB">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val="en-US" w:eastAsia="zh-CN"/>
              </w:rPr>
            </w:pPr>
            <w:r>
              <w:rPr>
                <w:rFonts w:hint="eastAsia" w:ascii="宋体" w:hAnsi="宋体" w:eastAsia="宋体" w:cs="宋体"/>
                <w:b/>
                <w:color w:val="auto"/>
                <w:sz w:val="24"/>
                <w:lang w:val="zh-CN"/>
              </w:rPr>
              <w:t>★</w:t>
            </w:r>
          </w:p>
        </w:tc>
        <w:tc>
          <w:tcPr>
            <w:tcW w:w="2115" w:type="dxa"/>
            <w:tcBorders>
              <w:top w:val="nil"/>
              <w:left w:val="single" w:color="auto" w:sz="4" w:space="0"/>
              <w:bottom w:val="single" w:color="000000" w:sz="4" w:space="0"/>
              <w:right w:val="nil"/>
            </w:tcBorders>
            <w:noWrap w:val="0"/>
            <w:vAlign w:val="center"/>
          </w:tcPr>
          <w:p w14:paraId="426F92E6">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val="en-US" w:eastAsia="zh-CN"/>
              </w:rPr>
              <w:t>开门方式</w:t>
            </w:r>
          </w:p>
        </w:tc>
        <w:tc>
          <w:tcPr>
            <w:tcW w:w="5644" w:type="dxa"/>
            <w:tcBorders>
              <w:top w:val="nil"/>
              <w:left w:val="single" w:color="000000" w:sz="4" w:space="0"/>
              <w:bottom w:val="single" w:color="000000" w:sz="4" w:space="0"/>
              <w:right w:val="single" w:color="auto" w:sz="4" w:space="0"/>
            </w:tcBorders>
            <w:noWrap w:val="0"/>
            <w:vAlign w:val="center"/>
          </w:tcPr>
          <w:p w14:paraId="7E3E5D6E">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中分门</w:t>
            </w:r>
          </w:p>
        </w:tc>
      </w:tr>
      <w:tr w14:paraId="6FBB5E6B">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000000" w:sz="4" w:space="0"/>
              <w:right w:val="single" w:color="auto" w:sz="4" w:space="0"/>
            </w:tcBorders>
            <w:noWrap w:val="0"/>
            <w:vAlign w:val="center"/>
          </w:tcPr>
          <w:p w14:paraId="0495B64C">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color w:val="auto"/>
                <w:sz w:val="24"/>
                <w:lang w:val="zh-CN"/>
              </w:rPr>
            </w:pPr>
            <w:r>
              <w:rPr>
                <w:rFonts w:hint="eastAsia" w:ascii="宋体" w:hAnsi="宋体" w:eastAsia="宋体" w:cs="宋体"/>
                <w:b/>
                <w:color w:val="auto"/>
                <w:sz w:val="24"/>
                <w:lang w:val="zh-CN"/>
              </w:rPr>
              <w:t>★</w:t>
            </w:r>
          </w:p>
        </w:tc>
        <w:tc>
          <w:tcPr>
            <w:tcW w:w="2115" w:type="dxa"/>
            <w:tcBorders>
              <w:top w:val="nil"/>
              <w:left w:val="single" w:color="auto" w:sz="4" w:space="0"/>
              <w:bottom w:val="single" w:color="000000" w:sz="4" w:space="0"/>
              <w:right w:val="nil"/>
            </w:tcBorders>
            <w:noWrap w:val="0"/>
            <w:vAlign w:val="center"/>
          </w:tcPr>
          <w:p w14:paraId="6DBB4F63">
            <w:pPr>
              <w:keepNext w:val="0"/>
              <w:keepLines w:val="0"/>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轿厢材质</w:t>
            </w:r>
          </w:p>
        </w:tc>
        <w:tc>
          <w:tcPr>
            <w:tcW w:w="5644" w:type="dxa"/>
            <w:tcBorders>
              <w:top w:val="nil"/>
              <w:left w:val="single" w:color="000000" w:sz="4" w:space="0"/>
              <w:bottom w:val="single" w:color="000000" w:sz="4" w:space="0"/>
              <w:right w:val="single" w:color="auto" w:sz="4" w:space="0"/>
            </w:tcBorders>
            <w:noWrap w:val="0"/>
            <w:vAlign w:val="center"/>
          </w:tcPr>
          <w:p w14:paraId="19124D51">
            <w:pPr>
              <w:keepNext w:val="0"/>
              <w:keepLines w:val="0"/>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发纹不锈钢</w:t>
            </w:r>
          </w:p>
        </w:tc>
      </w:tr>
      <w:tr w14:paraId="3B7655B5">
        <w:tblPrEx>
          <w:tblCellMar>
            <w:top w:w="0" w:type="dxa"/>
            <w:left w:w="108" w:type="dxa"/>
            <w:bottom w:w="0" w:type="dxa"/>
            <w:right w:w="108" w:type="dxa"/>
          </w:tblCellMar>
        </w:tblPrEx>
        <w:trPr>
          <w:trHeight w:val="322" w:hRule="atLeast"/>
        </w:trPr>
        <w:tc>
          <w:tcPr>
            <w:tcW w:w="1296" w:type="dxa"/>
            <w:tcBorders>
              <w:top w:val="nil"/>
              <w:left w:val="single" w:color="000000" w:sz="4" w:space="0"/>
              <w:bottom w:val="single" w:color="auto" w:sz="4" w:space="0"/>
              <w:right w:val="single" w:color="auto" w:sz="4" w:space="0"/>
            </w:tcBorders>
            <w:noWrap w:val="0"/>
            <w:vAlign w:val="center"/>
          </w:tcPr>
          <w:p w14:paraId="189186E1">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eastAsia="zh-CN"/>
              </w:rPr>
            </w:pPr>
            <w:r>
              <w:rPr>
                <w:rFonts w:hint="eastAsia" w:ascii="仿宋_GB2312" w:hAnsi="仿宋_GB2312" w:eastAsia="仿宋_GB2312" w:cs="仿宋_GB2312"/>
                <w:b w:val="0"/>
                <w:bCs/>
                <w:color w:val="auto"/>
                <w:sz w:val="28"/>
                <w:szCs w:val="28"/>
                <w:lang w:val="en-US" w:eastAsia="zh-CN"/>
              </w:rPr>
              <w:t>▲</w:t>
            </w:r>
          </w:p>
        </w:tc>
        <w:tc>
          <w:tcPr>
            <w:tcW w:w="2115" w:type="dxa"/>
            <w:tcBorders>
              <w:top w:val="nil"/>
              <w:left w:val="single" w:color="auto" w:sz="4" w:space="0"/>
              <w:bottom w:val="single" w:color="auto" w:sz="4" w:space="0"/>
              <w:right w:val="nil"/>
            </w:tcBorders>
            <w:noWrap w:val="0"/>
            <w:vAlign w:val="center"/>
          </w:tcPr>
          <w:p w14:paraId="3771612B">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eastAsia="zh-CN"/>
              </w:rPr>
              <w:t>控制方式</w:t>
            </w:r>
          </w:p>
        </w:tc>
        <w:tc>
          <w:tcPr>
            <w:tcW w:w="5644" w:type="dxa"/>
            <w:tcBorders>
              <w:top w:val="nil"/>
              <w:left w:val="single" w:color="000000" w:sz="4" w:space="0"/>
              <w:bottom w:val="single" w:color="auto" w:sz="4" w:space="0"/>
              <w:right w:val="single" w:color="auto" w:sz="4" w:space="0"/>
            </w:tcBorders>
            <w:noWrap w:val="0"/>
            <w:vAlign w:val="center"/>
          </w:tcPr>
          <w:p w14:paraId="56E182AB">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集选控制或其他同等质量效果方式</w:t>
            </w:r>
          </w:p>
        </w:tc>
      </w:tr>
      <w:tr w14:paraId="13A13ACA">
        <w:tblPrEx>
          <w:tblCellMar>
            <w:top w:w="0" w:type="dxa"/>
            <w:left w:w="108" w:type="dxa"/>
            <w:bottom w:w="0" w:type="dxa"/>
            <w:right w:w="108" w:type="dxa"/>
          </w:tblCellMar>
        </w:tblPrEx>
        <w:trPr>
          <w:trHeight w:val="322" w:hRule="atLeast"/>
        </w:trPr>
        <w:tc>
          <w:tcPr>
            <w:tcW w:w="1296" w:type="dxa"/>
            <w:tcBorders>
              <w:top w:val="single" w:color="auto" w:sz="4" w:space="0"/>
              <w:left w:val="single" w:color="auto" w:sz="4" w:space="0"/>
              <w:bottom w:val="single" w:color="auto" w:sz="4" w:space="0"/>
              <w:right w:val="single" w:color="auto" w:sz="4" w:space="0"/>
            </w:tcBorders>
            <w:noWrap w:val="0"/>
            <w:vAlign w:val="center"/>
          </w:tcPr>
          <w:p w14:paraId="3D8D19DC">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w:t>
            </w:r>
          </w:p>
        </w:tc>
        <w:tc>
          <w:tcPr>
            <w:tcW w:w="2115" w:type="dxa"/>
            <w:tcBorders>
              <w:top w:val="single" w:color="auto" w:sz="4" w:space="0"/>
              <w:left w:val="single" w:color="auto" w:sz="4" w:space="0"/>
              <w:bottom w:val="single" w:color="auto" w:sz="4" w:space="0"/>
              <w:right w:val="single" w:color="auto" w:sz="4" w:space="0"/>
            </w:tcBorders>
            <w:noWrap w:val="0"/>
            <w:vAlign w:val="center"/>
          </w:tcPr>
          <w:p w14:paraId="1D7571EA">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val="en-US" w:eastAsia="zh-CN"/>
              </w:rPr>
              <w:t>调速方式</w:t>
            </w:r>
          </w:p>
        </w:tc>
        <w:tc>
          <w:tcPr>
            <w:tcW w:w="5644" w:type="dxa"/>
            <w:tcBorders>
              <w:top w:val="single" w:color="auto" w:sz="4" w:space="0"/>
              <w:left w:val="single" w:color="auto" w:sz="4" w:space="0"/>
              <w:bottom w:val="single" w:color="auto" w:sz="4" w:space="0"/>
              <w:right w:val="single" w:color="auto" w:sz="4" w:space="0"/>
            </w:tcBorders>
            <w:noWrap w:val="0"/>
            <w:vAlign w:val="center"/>
          </w:tcPr>
          <w:p w14:paraId="16E7B2D4">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交流变频调速或其他同等质量效果方式</w:t>
            </w:r>
          </w:p>
        </w:tc>
      </w:tr>
      <w:tr w14:paraId="7D6C501F">
        <w:tblPrEx>
          <w:tblCellMar>
            <w:top w:w="0" w:type="dxa"/>
            <w:left w:w="108" w:type="dxa"/>
            <w:bottom w:w="0" w:type="dxa"/>
            <w:right w:w="108" w:type="dxa"/>
          </w:tblCellMar>
        </w:tblPrEx>
        <w:trPr>
          <w:trHeight w:val="322" w:hRule="atLeast"/>
        </w:trPr>
        <w:tc>
          <w:tcPr>
            <w:tcW w:w="1296" w:type="dxa"/>
            <w:tcBorders>
              <w:top w:val="single" w:color="auto" w:sz="4" w:space="0"/>
              <w:left w:val="single" w:color="auto" w:sz="4" w:space="0"/>
              <w:bottom w:val="single" w:color="auto" w:sz="4" w:space="0"/>
              <w:right w:val="single" w:color="auto" w:sz="4" w:space="0"/>
            </w:tcBorders>
            <w:noWrap w:val="0"/>
            <w:vAlign w:val="center"/>
          </w:tcPr>
          <w:p w14:paraId="73FE217A">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w:t>
            </w:r>
          </w:p>
        </w:tc>
        <w:tc>
          <w:tcPr>
            <w:tcW w:w="2115" w:type="dxa"/>
            <w:tcBorders>
              <w:top w:val="single" w:color="auto" w:sz="4" w:space="0"/>
              <w:left w:val="single" w:color="auto" w:sz="4" w:space="0"/>
              <w:bottom w:val="single" w:color="auto" w:sz="4" w:space="0"/>
              <w:right w:val="single" w:color="auto" w:sz="4" w:space="0"/>
            </w:tcBorders>
            <w:noWrap w:val="0"/>
            <w:vAlign w:val="center"/>
          </w:tcPr>
          <w:p w14:paraId="11155F00">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门控制功能</w:t>
            </w:r>
          </w:p>
        </w:tc>
        <w:tc>
          <w:tcPr>
            <w:tcW w:w="5644" w:type="dxa"/>
            <w:tcBorders>
              <w:top w:val="single" w:color="auto" w:sz="4" w:space="0"/>
              <w:left w:val="single" w:color="auto" w:sz="4" w:space="0"/>
              <w:bottom w:val="single" w:color="auto" w:sz="4" w:space="0"/>
              <w:right w:val="single" w:color="auto" w:sz="4" w:space="0"/>
            </w:tcBorders>
            <w:noWrap w:val="0"/>
            <w:vAlign w:val="center"/>
          </w:tcPr>
          <w:p w14:paraId="09B9BBD5">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color w:val="auto"/>
                <w:sz w:val="28"/>
                <w:szCs w:val="28"/>
                <w:lang w:val="en-US" w:eastAsia="zh-CN"/>
              </w:rPr>
              <w:t>每层层门配置IC卡、指纹功能</w:t>
            </w:r>
          </w:p>
        </w:tc>
      </w:tr>
    </w:tbl>
    <w:p w14:paraId="3C730193">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auto"/>
          <w:sz w:val="28"/>
          <w:szCs w:val="28"/>
          <w:lang w:eastAsia="zh-CN"/>
        </w:rPr>
      </w:pPr>
      <w:r>
        <w:rPr>
          <w:rFonts w:hint="eastAsia" w:ascii="仿宋_GB2312" w:hAnsi="仿宋_GB2312" w:eastAsia="仿宋_GB2312" w:cs="仿宋_GB2312"/>
          <w:b/>
          <w:bCs/>
          <w:color w:val="auto"/>
          <w:kern w:val="2"/>
          <w:sz w:val="28"/>
          <w:szCs w:val="28"/>
          <w:lang w:val="en-US" w:eastAsia="zh-CN" w:bidi="ar-SA"/>
        </w:rPr>
        <w:t>（二）</w:t>
      </w:r>
      <w:r>
        <w:rPr>
          <w:rFonts w:hint="eastAsia" w:ascii="仿宋_GB2312" w:hAnsi="仿宋_GB2312" w:eastAsia="仿宋_GB2312" w:cs="仿宋_GB2312"/>
          <w:b/>
          <w:bCs/>
          <w:color w:val="auto"/>
          <w:sz w:val="28"/>
          <w:szCs w:val="28"/>
          <w:lang w:val="en-US" w:eastAsia="zh-CN"/>
        </w:rPr>
        <w:t>电梯</w:t>
      </w:r>
      <w:r>
        <w:rPr>
          <w:rFonts w:hint="eastAsia" w:ascii="仿宋_GB2312" w:hAnsi="仿宋_GB2312" w:eastAsia="仿宋_GB2312" w:cs="仿宋_GB2312"/>
          <w:b/>
          <w:bCs/>
          <w:color w:val="auto"/>
          <w:sz w:val="28"/>
          <w:szCs w:val="28"/>
          <w:lang w:eastAsia="zh-CN"/>
        </w:rPr>
        <w:t>功能要求</w:t>
      </w:r>
    </w:p>
    <w:tbl>
      <w:tblPr>
        <w:tblStyle w:val="2"/>
        <w:tblW w:w="90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6"/>
        <w:gridCol w:w="1905"/>
        <w:gridCol w:w="496"/>
        <w:gridCol w:w="2520"/>
        <w:gridCol w:w="535"/>
        <w:gridCol w:w="3103"/>
      </w:tblGrid>
      <w:tr w14:paraId="6A709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496" w:type="dxa"/>
            <w:tcBorders>
              <w:top w:val="single" w:color="auto" w:sz="4" w:space="0"/>
              <w:left w:val="single" w:color="auto" w:sz="4" w:space="0"/>
              <w:bottom w:val="single" w:color="auto" w:sz="4" w:space="0"/>
              <w:right w:val="single" w:color="auto" w:sz="4" w:space="0"/>
            </w:tcBorders>
            <w:noWrap w:val="0"/>
            <w:vAlign w:val="center"/>
          </w:tcPr>
          <w:p w14:paraId="7B257D66">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1</w:t>
            </w:r>
          </w:p>
        </w:tc>
        <w:tc>
          <w:tcPr>
            <w:tcW w:w="1905" w:type="dxa"/>
            <w:tcBorders>
              <w:top w:val="single" w:color="auto" w:sz="4" w:space="0"/>
              <w:left w:val="single" w:color="auto" w:sz="4" w:space="0"/>
              <w:bottom w:val="single" w:color="auto" w:sz="4" w:space="0"/>
              <w:right w:val="single" w:color="auto" w:sz="4" w:space="0"/>
            </w:tcBorders>
            <w:noWrap w:val="0"/>
            <w:vAlign w:val="center"/>
          </w:tcPr>
          <w:p w14:paraId="63E4795C">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b w:val="0"/>
                <w:i w:val="0"/>
                <w:color w:val="auto"/>
                <w:sz w:val="28"/>
                <w:szCs w:val="28"/>
              </w:rPr>
              <w:t>超载保护</w:t>
            </w:r>
          </w:p>
        </w:tc>
        <w:tc>
          <w:tcPr>
            <w:tcW w:w="496" w:type="dxa"/>
            <w:tcBorders>
              <w:top w:val="single" w:color="auto" w:sz="4" w:space="0"/>
              <w:left w:val="single" w:color="auto" w:sz="4" w:space="0"/>
              <w:bottom w:val="single" w:color="auto" w:sz="4" w:space="0"/>
              <w:right w:val="single" w:color="auto" w:sz="4" w:space="0"/>
            </w:tcBorders>
            <w:noWrap w:val="0"/>
            <w:vAlign w:val="center"/>
          </w:tcPr>
          <w:p w14:paraId="780B15A9">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2</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5F64979B">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b w:val="0"/>
                <w:i w:val="0"/>
                <w:color w:val="auto"/>
                <w:sz w:val="28"/>
                <w:szCs w:val="28"/>
              </w:rPr>
              <w:t>超速保护</w:t>
            </w:r>
          </w:p>
        </w:tc>
        <w:tc>
          <w:tcPr>
            <w:tcW w:w="535" w:type="dxa"/>
            <w:tcBorders>
              <w:top w:val="single" w:color="auto" w:sz="4" w:space="0"/>
              <w:left w:val="single" w:color="auto" w:sz="4" w:space="0"/>
              <w:bottom w:val="single" w:color="auto" w:sz="4" w:space="0"/>
              <w:right w:val="single" w:color="auto" w:sz="4" w:space="0"/>
            </w:tcBorders>
            <w:noWrap w:val="0"/>
            <w:vAlign w:val="center"/>
          </w:tcPr>
          <w:p w14:paraId="1091B61A">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3</w:t>
            </w:r>
          </w:p>
        </w:tc>
        <w:tc>
          <w:tcPr>
            <w:tcW w:w="3103" w:type="dxa"/>
            <w:tcBorders>
              <w:top w:val="single" w:color="auto" w:sz="4" w:space="0"/>
              <w:left w:val="single" w:color="auto" w:sz="4" w:space="0"/>
              <w:bottom w:val="single" w:color="auto" w:sz="4" w:space="0"/>
              <w:right w:val="single" w:color="auto" w:sz="4" w:space="0"/>
            </w:tcBorders>
            <w:noWrap w:val="0"/>
            <w:vAlign w:val="center"/>
          </w:tcPr>
          <w:p w14:paraId="52901B87">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b w:val="0"/>
                <w:i w:val="0"/>
                <w:color w:val="auto"/>
                <w:sz w:val="28"/>
                <w:szCs w:val="28"/>
              </w:rPr>
              <w:t>平层开关故障保护</w:t>
            </w:r>
          </w:p>
        </w:tc>
      </w:tr>
      <w:tr w14:paraId="401F6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496" w:type="dxa"/>
            <w:tcBorders>
              <w:top w:val="single" w:color="auto" w:sz="4" w:space="0"/>
              <w:left w:val="single" w:color="auto" w:sz="4" w:space="0"/>
              <w:bottom w:val="single" w:color="auto" w:sz="4" w:space="0"/>
              <w:right w:val="single" w:color="auto" w:sz="4" w:space="0"/>
            </w:tcBorders>
            <w:noWrap w:val="0"/>
            <w:vAlign w:val="center"/>
          </w:tcPr>
          <w:p w14:paraId="0AEE8041">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4</w:t>
            </w:r>
          </w:p>
        </w:tc>
        <w:tc>
          <w:tcPr>
            <w:tcW w:w="1905" w:type="dxa"/>
            <w:tcBorders>
              <w:top w:val="single" w:color="auto" w:sz="4" w:space="0"/>
              <w:left w:val="single" w:color="auto" w:sz="4" w:space="0"/>
              <w:bottom w:val="single" w:color="auto" w:sz="4" w:space="0"/>
              <w:right w:val="single" w:color="auto" w:sz="4" w:space="0"/>
            </w:tcBorders>
            <w:noWrap w:val="0"/>
            <w:vAlign w:val="center"/>
          </w:tcPr>
          <w:p w14:paraId="004CD827">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b w:val="0"/>
                <w:i w:val="0"/>
                <w:color w:val="auto"/>
                <w:sz w:val="28"/>
                <w:szCs w:val="28"/>
              </w:rPr>
              <w:t>打滑保护</w:t>
            </w:r>
          </w:p>
        </w:tc>
        <w:tc>
          <w:tcPr>
            <w:tcW w:w="496" w:type="dxa"/>
            <w:tcBorders>
              <w:top w:val="single" w:color="auto" w:sz="4" w:space="0"/>
              <w:left w:val="single" w:color="auto" w:sz="4" w:space="0"/>
              <w:bottom w:val="single" w:color="auto" w:sz="4" w:space="0"/>
              <w:right w:val="single" w:color="auto" w:sz="4" w:space="0"/>
            </w:tcBorders>
            <w:noWrap w:val="0"/>
            <w:vAlign w:val="center"/>
          </w:tcPr>
          <w:p w14:paraId="545687F1">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5</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49FE9FC4">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b w:val="0"/>
                <w:i w:val="0"/>
                <w:color w:val="auto"/>
                <w:sz w:val="28"/>
                <w:szCs w:val="28"/>
              </w:rPr>
              <w:t>门区开关故障检测</w:t>
            </w:r>
          </w:p>
        </w:tc>
        <w:tc>
          <w:tcPr>
            <w:tcW w:w="535" w:type="dxa"/>
            <w:tcBorders>
              <w:top w:val="single" w:color="auto" w:sz="4" w:space="0"/>
              <w:left w:val="single" w:color="auto" w:sz="4" w:space="0"/>
              <w:bottom w:val="single" w:color="auto" w:sz="4" w:space="0"/>
              <w:right w:val="single" w:color="auto" w:sz="4" w:space="0"/>
            </w:tcBorders>
            <w:noWrap w:val="0"/>
            <w:vAlign w:val="center"/>
          </w:tcPr>
          <w:p w14:paraId="7A07DBDC">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6</w:t>
            </w:r>
          </w:p>
        </w:tc>
        <w:tc>
          <w:tcPr>
            <w:tcW w:w="3103" w:type="dxa"/>
            <w:tcBorders>
              <w:top w:val="single" w:color="auto" w:sz="4" w:space="0"/>
              <w:left w:val="single" w:color="auto" w:sz="4" w:space="0"/>
              <w:bottom w:val="single" w:color="auto" w:sz="4" w:space="0"/>
              <w:right w:val="single" w:color="auto" w:sz="4" w:space="0"/>
            </w:tcBorders>
            <w:noWrap w:val="0"/>
            <w:vAlign w:val="center"/>
          </w:tcPr>
          <w:p w14:paraId="40D9EC39">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b w:val="0"/>
                <w:i w:val="0"/>
                <w:color w:val="auto"/>
                <w:sz w:val="28"/>
                <w:szCs w:val="28"/>
              </w:rPr>
              <w:t>运行中安全回路断开保护</w:t>
            </w:r>
          </w:p>
        </w:tc>
      </w:tr>
      <w:tr w14:paraId="2E8B2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496" w:type="dxa"/>
            <w:tcBorders>
              <w:top w:val="single" w:color="auto" w:sz="4" w:space="0"/>
              <w:left w:val="single" w:color="auto" w:sz="4" w:space="0"/>
              <w:bottom w:val="single" w:color="auto" w:sz="4" w:space="0"/>
              <w:right w:val="single" w:color="auto" w:sz="4" w:space="0"/>
            </w:tcBorders>
            <w:noWrap w:val="0"/>
            <w:vAlign w:val="center"/>
          </w:tcPr>
          <w:p w14:paraId="28022BA3">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7</w:t>
            </w:r>
          </w:p>
        </w:tc>
        <w:tc>
          <w:tcPr>
            <w:tcW w:w="1905" w:type="dxa"/>
            <w:tcBorders>
              <w:top w:val="single" w:color="auto" w:sz="4" w:space="0"/>
              <w:left w:val="single" w:color="auto" w:sz="4" w:space="0"/>
              <w:bottom w:val="single" w:color="auto" w:sz="4" w:space="0"/>
              <w:right w:val="single" w:color="auto" w:sz="4" w:space="0"/>
            </w:tcBorders>
            <w:noWrap w:val="0"/>
            <w:vAlign w:val="center"/>
          </w:tcPr>
          <w:p w14:paraId="515B70ED">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b w:val="0"/>
                <w:i w:val="0"/>
                <w:color w:val="auto"/>
                <w:sz w:val="28"/>
                <w:szCs w:val="28"/>
              </w:rPr>
              <w:t>开</w:t>
            </w:r>
            <w:r>
              <w:rPr>
                <w:rFonts w:hint="eastAsia" w:ascii="仿宋_GB2312" w:hAnsi="仿宋_GB2312" w:eastAsia="仿宋_GB2312" w:cs="仿宋_GB2312"/>
                <w:b w:val="0"/>
                <w:i w:val="0"/>
                <w:color w:val="auto"/>
                <w:sz w:val="28"/>
                <w:szCs w:val="28"/>
                <w:lang w:val="en-US" w:eastAsia="zh-CN"/>
              </w:rPr>
              <w:t>关</w:t>
            </w:r>
            <w:r>
              <w:rPr>
                <w:rFonts w:hint="eastAsia" w:ascii="仿宋_GB2312" w:hAnsi="仿宋_GB2312" w:eastAsia="仿宋_GB2312" w:cs="仿宋_GB2312"/>
                <w:b w:val="0"/>
                <w:i w:val="0"/>
                <w:color w:val="auto"/>
                <w:sz w:val="28"/>
                <w:szCs w:val="28"/>
              </w:rPr>
              <w:t>门故障保护</w:t>
            </w:r>
          </w:p>
        </w:tc>
        <w:tc>
          <w:tcPr>
            <w:tcW w:w="496" w:type="dxa"/>
            <w:tcBorders>
              <w:top w:val="single" w:color="auto" w:sz="4" w:space="0"/>
              <w:left w:val="single" w:color="auto" w:sz="4" w:space="0"/>
              <w:bottom w:val="single" w:color="auto" w:sz="4" w:space="0"/>
              <w:right w:val="single" w:color="auto" w:sz="4" w:space="0"/>
            </w:tcBorders>
            <w:noWrap w:val="0"/>
            <w:vAlign w:val="center"/>
          </w:tcPr>
          <w:p w14:paraId="112CC508">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8</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0223FDC9">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b w:val="0"/>
                <w:i w:val="0"/>
                <w:color w:val="auto"/>
                <w:sz w:val="28"/>
                <w:szCs w:val="28"/>
              </w:rPr>
              <w:t>AFE故障检测</w:t>
            </w:r>
          </w:p>
        </w:tc>
        <w:tc>
          <w:tcPr>
            <w:tcW w:w="535" w:type="dxa"/>
            <w:tcBorders>
              <w:top w:val="single" w:color="auto" w:sz="4" w:space="0"/>
              <w:left w:val="single" w:color="auto" w:sz="4" w:space="0"/>
              <w:bottom w:val="single" w:color="auto" w:sz="4" w:space="0"/>
              <w:right w:val="single" w:color="auto" w:sz="4" w:space="0"/>
            </w:tcBorders>
            <w:noWrap w:val="0"/>
            <w:vAlign w:val="center"/>
          </w:tcPr>
          <w:p w14:paraId="68672E43">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9</w:t>
            </w:r>
          </w:p>
        </w:tc>
        <w:tc>
          <w:tcPr>
            <w:tcW w:w="3103" w:type="dxa"/>
            <w:tcBorders>
              <w:top w:val="single" w:color="auto" w:sz="4" w:space="0"/>
              <w:left w:val="single" w:color="auto" w:sz="4" w:space="0"/>
              <w:bottom w:val="single" w:color="auto" w:sz="4" w:space="0"/>
              <w:right w:val="single" w:color="auto" w:sz="4" w:space="0"/>
            </w:tcBorders>
            <w:noWrap w:val="0"/>
            <w:vAlign w:val="center"/>
          </w:tcPr>
          <w:p w14:paraId="3C1839C2">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b w:val="0"/>
                <w:i w:val="0"/>
                <w:color w:val="auto"/>
                <w:sz w:val="28"/>
                <w:szCs w:val="28"/>
              </w:rPr>
              <w:t>主控CPU WDT保护</w:t>
            </w:r>
          </w:p>
        </w:tc>
      </w:tr>
      <w:tr w14:paraId="6A1C2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496" w:type="dxa"/>
            <w:tcBorders>
              <w:top w:val="single" w:color="auto" w:sz="4" w:space="0"/>
              <w:left w:val="single" w:color="auto" w:sz="4" w:space="0"/>
              <w:bottom w:val="single" w:color="auto" w:sz="4" w:space="0"/>
              <w:right w:val="single" w:color="auto" w:sz="4" w:space="0"/>
            </w:tcBorders>
            <w:noWrap w:val="0"/>
            <w:vAlign w:val="center"/>
          </w:tcPr>
          <w:p w14:paraId="78DC2982">
            <w:pPr>
              <w:keepNext w:val="0"/>
              <w:keepLines w:val="0"/>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10</w:t>
            </w:r>
          </w:p>
        </w:tc>
        <w:tc>
          <w:tcPr>
            <w:tcW w:w="1905" w:type="dxa"/>
            <w:tcBorders>
              <w:top w:val="single" w:color="auto" w:sz="4" w:space="0"/>
              <w:left w:val="single" w:color="auto" w:sz="4" w:space="0"/>
              <w:bottom w:val="single" w:color="auto" w:sz="4" w:space="0"/>
              <w:right w:val="single" w:color="auto" w:sz="4" w:space="0"/>
            </w:tcBorders>
            <w:noWrap w:val="0"/>
            <w:vAlign w:val="center"/>
          </w:tcPr>
          <w:p w14:paraId="0685D75B">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b w:val="0"/>
                <w:i w:val="0"/>
                <w:color w:val="auto"/>
                <w:sz w:val="28"/>
                <w:szCs w:val="28"/>
              </w:rPr>
              <w:t>消防迫降功能</w:t>
            </w:r>
          </w:p>
        </w:tc>
        <w:tc>
          <w:tcPr>
            <w:tcW w:w="496" w:type="dxa"/>
            <w:tcBorders>
              <w:top w:val="single" w:color="auto" w:sz="4" w:space="0"/>
              <w:left w:val="single" w:color="auto" w:sz="4" w:space="0"/>
              <w:bottom w:val="single" w:color="auto" w:sz="4" w:space="0"/>
              <w:right w:val="single" w:color="auto" w:sz="4" w:space="0"/>
            </w:tcBorders>
            <w:noWrap w:val="0"/>
            <w:vAlign w:val="center"/>
          </w:tcPr>
          <w:p w14:paraId="04707502">
            <w:pPr>
              <w:keepNext w:val="0"/>
              <w:keepLines w:val="0"/>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11</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47FC144A">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b w:val="0"/>
                <w:i w:val="0"/>
                <w:color w:val="auto"/>
                <w:sz w:val="28"/>
                <w:szCs w:val="28"/>
              </w:rPr>
              <w:t>轿厢照明风扇自动控制</w:t>
            </w:r>
          </w:p>
        </w:tc>
        <w:tc>
          <w:tcPr>
            <w:tcW w:w="535" w:type="dxa"/>
            <w:tcBorders>
              <w:top w:val="single" w:color="auto" w:sz="4" w:space="0"/>
              <w:left w:val="single" w:color="auto" w:sz="4" w:space="0"/>
              <w:bottom w:val="single" w:color="auto" w:sz="4" w:space="0"/>
              <w:right w:val="single" w:color="auto" w:sz="4" w:space="0"/>
            </w:tcBorders>
            <w:noWrap w:val="0"/>
            <w:vAlign w:val="center"/>
          </w:tcPr>
          <w:p w14:paraId="74CC4DCB">
            <w:pPr>
              <w:keepNext w:val="0"/>
              <w:keepLines w:val="0"/>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12</w:t>
            </w:r>
          </w:p>
        </w:tc>
        <w:tc>
          <w:tcPr>
            <w:tcW w:w="3103" w:type="dxa"/>
            <w:tcBorders>
              <w:top w:val="single" w:color="auto" w:sz="4" w:space="0"/>
              <w:left w:val="single" w:color="auto" w:sz="4" w:space="0"/>
              <w:bottom w:val="single" w:color="auto" w:sz="4" w:space="0"/>
              <w:right w:val="single" w:color="auto" w:sz="4" w:space="0"/>
            </w:tcBorders>
            <w:noWrap w:val="0"/>
            <w:vAlign w:val="center"/>
          </w:tcPr>
          <w:p w14:paraId="7AD28119">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b w:val="0"/>
                <w:i w:val="0"/>
                <w:color w:val="auto"/>
                <w:sz w:val="28"/>
                <w:szCs w:val="28"/>
              </w:rPr>
              <w:t>分时间段锁梯</w:t>
            </w:r>
          </w:p>
        </w:tc>
      </w:tr>
      <w:tr w14:paraId="46D7B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96" w:type="dxa"/>
            <w:tcBorders>
              <w:top w:val="single" w:color="auto" w:sz="4" w:space="0"/>
              <w:left w:val="single" w:color="auto" w:sz="4" w:space="0"/>
              <w:bottom w:val="single" w:color="auto" w:sz="4" w:space="0"/>
              <w:right w:val="single" w:color="auto" w:sz="4" w:space="0"/>
            </w:tcBorders>
            <w:noWrap w:val="0"/>
            <w:vAlign w:val="center"/>
          </w:tcPr>
          <w:p w14:paraId="70584374">
            <w:pPr>
              <w:keepNext w:val="0"/>
              <w:keepLines w:val="0"/>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13</w:t>
            </w:r>
          </w:p>
        </w:tc>
        <w:tc>
          <w:tcPr>
            <w:tcW w:w="1905" w:type="dxa"/>
            <w:tcBorders>
              <w:top w:val="single" w:color="auto" w:sz="4" w:space="0"/>
              <w:left w:val="single" w:color="auto" w:sz="4" w:space="0"/>
              <w:bottom w:val="single" w:color="auto" w:sz="4" w:space="0"/>
              <w:right w:val="single" w:color="auto" w:sz="4" w:space="0"/>
            </w:tcBorders>
            <w:noWrap w:val="0"/>
            <w:vAlign w:val="center"/>
          </w:tcPr>
          <w:p w14:paraId="6CF9FBFC">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b w:val="0"/>
                <w:i w:val="0"/>
                <w:color w:val="auto"/>
                <w:sz w:val="28"/>
                <w:szCs w:val="28"/>
              </w:rPr>
              <w:t>电梯运行数据记录</w:t>
            </w:r>
          </w:p>
        </w:tc>
        <w:tc>
          <w:tcPr>
            <w:tcW w:w="496" w:type="dxa"/>
            <w:tcBorders>
              <w:top w:val="single" w:color="auto" w:sz="4" w:space="0"/>
              <w:left w:val="single" w:color="auto" w:sz="4" w:space="0"/>
              <w:bottom w:val="single" w:color="auto" w:sz="4" w:space="0"/>
              <w:right w:val="single" w:color="auto" w:sz="4" w:space="0"/>
            </w:tcBorders>
            <w:noWrap w:val="0"/>
            <w:vAlign w:val="center"/>
          </w:tcPr>
          <w:p w14:paraId="6892853A">
            <w:pPr>
              <w:keepNext w:val="0"/>
              <w:keepLines w:val="0"/>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i w:val="0"/>
                <w:color w:val="auto"/>
                <w:sz w:val="28"/>
                <w:szCs w:val="28"/>
                <w:lang w:val="en-US" w:eastAsia="zh-CN"/>
              </w:rPr>
            </w:pPr>
            <w:r>
              <w:rPr>
                <w:rFonts w:hint="eastAsia" w:ascii="仿宋_GB2312" w:hAnsi="仿宋_GB2312" w:eastAsia="仿宋_GB2312" w:cs="仿宋_GB2312"/>
                <w:b w:val="0"/>
                <w:i w:val="0"/>
                <w:color w:val="auto"/>
                <w:sz w:val="28"/>
                <w:szCs w:val="28"/>
                <w:lang w:val="en-US" w:eastAsia="zh-CN"/>
              </w:rPr>
              <w:t>14</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0878BFE8">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b w:val="0"/>
                <w:i w:val="0"/>
                <w:color w:val="auto"/>
                <w:sz w:val="28"/>
                <w:szCs w:val="28"/>
              </w:rPr>
              <w:t>残疾人开门操作</w:t>
            </w:r>
          </w:p>
        </w:tc>
        <w:tc>
          <w:tcPr>
            <w:tcW w:w="535" w:type="dxa"/>
            <w:tcBorders>
              <w:top w:val="single" w:color="auto" w:sz="4" w:space="0"/>
              <w:left w:val="single" w:color="auto" w:sz="4" w:space="0"/>
              <w:bottom w:val="single" w:color="auto" w:sz="4" w:space="0"/>
              <w:right w:val="single" w:color="auto" w:sz="4" w:space="0"/>
            </w:tcBorders>
            <w:noWrap w:val="0"/>
            <w:vAlign w:val="center"/>
          </w:tcPr>
          <w:p w14:paraId="53DBC754">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p>
        </w:tc>
        <w:tc>
          <w:tcPr>
            <w:tcW w:w="3103" w:type="dxa"/>
            <w:tcBorders>
              <w:top w:val="single" w:color="auto" w:sz="4" w:space="0"/>
              <w:left w:val="single" w:color="auto" w:sz="4" w:space="0"/>
              <w:bottom w:val="single" w:color="auto" w:sz="4" w:space="0"/>
              <w:right w:val="single" w:color="auto" w:sz="4" w:space="0"/>
            </w:tcBorders>
            <w:noWrap w:val="0"/>
            <w:vAlign w:val="center"/>
          </w:tcPr>
          <w:p w14:paraId="023E53F7">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p>
        </w:tc>
      </w:tr>
    </w:tbl>
    <w:p w14:paraId="514AF572">
      <w:pPr>
        <w:keepNext w:val="0"/>
        <w:keepLines w:val="0"/>
        <w:pageBreakBefore w:val="0"/>
        <w:numPr>
          <w:ilvl w:val="0"/>
          <w:numId w:val="0"/>
        </w:numPr>
        <w:tabs>
          <w:tab w:val="left" w:pos="3558"/>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auto"/>
          <w:kern w:val="2"/>
          <w:sz w:val="28"/>
          <w:szCs w:val="28"/>
          <w:lang w:val="en-US" w:eastAsia="zh-CN" w:bidi="ar-SA"/>
        </w:rPr>
      </w:pPr>
    </w:p>
    <w:p w14:paraId="0DE87F24">
      <w:pPr>
        <w:keepNext w:val="0"/>
        <w:keepLines w:val="0"/>
        <w:pageBreakBefore w:val="0"/>
        <w:numPr>
          <w:ilvl w:val="0"/>
          <w:numId w:val="0"/>
        </w:numPr>
        <w:tabs>
          <w:tab w:val="left" w:pos="3558"/>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kern w:val="2"/>
          <w:sz w:val="28"/>
          <w:szCs w:val="28"/>
          <w:lang w:val="en-US" w:eastAsia="zh-CN" w:bidi="ar-SA"/>
        </w:rPr>
        <w:t>（三）增设井道及配套工程</w:t>
      </w:r>
      <w:r>
        <w:rPr>
          <w:rFonts w:hint="eastAsia" w:ascii="仿宋_GB2312" w:hAnsi="仿宋_GB2312" w:eastAsia="仿宋_GB2312" w:cs="仿宋_GB2312"/>
          <w:b/>
          <w:bCs/>
          <w:color w:val="auto"/>
          <w:kern w:val="2"/>
          <w:sz w:val="28"/>
          <w:szCs w:val="28"/>
          <w:lang w:val="en-US" w:eastAsia="zh-CN" w:bidi="ar-SA"/>
        </w:rPr>
        <w:tab/>
      </w:r>
    </w:p>
    <w:tbl>
      <w:tblPr>
        <w:tblStyle w:val="2"/>
        <w:tblW w:w="90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6272"/>
      </w:tblGrid>
      <w:tr w14:paraId="53DC7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06CFF3EE">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电梯井道设计图、验收等内容</w:t>
            </w:r>
          </w:p>
        </w:tc>
        <w:tc>
          <w:tcPr>
            <w:tcW w:w="6272" w:type="dxa"/>
            <w:tcBorders>
              <w:top w:val="single" w:color="auto" w:sz="4" w:space="0"/>
              <w:left w:val="single" w:color="auto" w:sz="4" w:space="0"/>
              <w:bottom w:val="single" w:color="auto" w:sz="4" w:space="0"/>
              <w:right w:val="single" w:color="auto" w:sz="4" w:space="0"/>
            </w:tcBorders>
            <w:noWrap w:val="0"/>
            <w:vAlign w:val="center"/>
          </w:tcPr>
          <w:p w14:paraId="1559D5C5">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 xml:space="preserve">现场勘测后出方案（投标需提供初步方案） </w:t>
            </w:r>
          </w:p>
        </w:tc>
      </w:tr>
      <w:tr w14:paraId="33B7A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2F152C8A">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val="en-US" w:eastAsia="zh-CN"/>
              </w:rPr>
              <w:t>拆除工作</w:t>
            </w:r>
          </w:p>
        </w:tc>
        <w:tc>
          <w:tcPr>
            <w:tcW w:w="6272" w:type="dxa"/>
            <w:tcBorders>
              <w:top w:val="single" w:color="auto" w:sz="4" w:space="0"/>
              <w:left w:val="single" w:color="auto" w:sz="4" w:space="0"/>
              <w:bottom w:val="single" w:color="auto" w:sz="4" w:space="0"/>
              <w:right w:val="single" w:color="auto" w:sz="4" w:space="0"/>
            </w:tcBorders>
            <w:noWrap w:val="0"/>
            <w:vAlign w:val="center"/>
          </w:tcPr>
          <w:p w14:paraId="63B3EEEA">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kern w:val="2"/>
                <w:sz w:val="28"/>
                <w:szCs w:val="28"/>
                <w:lang w:val="en-US" w:eastAsia="zh-CN" w:bidi="ar-SA"/>
              </w:rPr>
            </w:pPr>
            <w:r>
              <w:rPr>
                <w:rFonts w:hint="eastAsia" w:ascii="仿宋_GB2312" w:hAnsi="仿宋_GB2312" w:eastAsia="仿宋_GB2312" w:cs="仿宋_GB2312"/>
                <w:b w:val="0"/>
                <w:bCs/>
                <w:color w:val="auto"/>
                <w:sz w:val="28"/>
                <w:szCs w:val="28"/>
                <w:lang w:val="en-US" w:eastAsia="zh-CN"/>
              </w:rPr>
              <w:t>混凝土地面拆除、护栏拆除、屋檐拆除</w:t>
            </w:r>
          </w:p>
        </w:tc>
      </w:tr>
      <w:tr w14:paraId="6280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3834FD9D">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基坑制作</w:t>
            </w:r>
          </w:p>
        </w:tc>
        <w:tc>
          <w:tcPr>
            <w:tcW w:w="6272" w:type="dxa"/>
            <w:tcBorders>
              <w:top w:val="single" w:color="auto" w:sz="4" w:space="0"/>
              <w:left w:val="single" w:color="auto" w:sz="4" w:space="0"/>
              <w:bottom w:val="single" w:color="auto" w:sz="4" w:space="0"/>
              <w:right w:val="single" w:color="auto" w:sz="4" w:space="0"/>
            </w:tcBorders>
            <w:noWrap w:val="0"/>
            <w:vAlign w:val="center"/>
          </w:tcPr>
          <w:p w14:paraId="3BA67B38">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满足设计需求（开挖、回填、承重、防水等要求）</w:t>
            </w:r>
          </w:p>
        </w:tc>
      </w:tr>
      <w:tr w14:paraId="641C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2EFD8C76">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井道主体</w:t>
            </w:r>
          </w:p>
        </w:tc>
        <w:tc>
          <w:tcPr>
            <w:tcW w:w="6272" w:type="dxa"/>
            <w:tcBorders>
              <w:top w:val="single" w:color="auto" w:sz="4" w:space="0"/>
              <w:left w:val="single" w:color="auto" w:sz="4" w:space="0"/>
              <w:bottom w:val="single" w:color="auto" w:sz="4" w:space="0"/>
              <w:right w:val="single" w:color="auto" w:sz="4" w:space="0"/>
            </w:tcBorders>
            <w:noWrap w:val="0"/>
            <w:vAlign w:val="center"/>
          </w:tcPr>
          <w:p w14:paraId="70AC612A">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钢结构主体，使用浸热镀锌方管</w:t>
            </w:r>
          </w:p>
          <w:p w14:paraId="72D29FDC">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立柱不小于200*200*6，横梁不小于150*150*5</w:t>
            </w:r>
          </w:p>
        </w:tc>
      </w:tr>
      <w:tr w14:paraId="6EFD9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76ACAED2">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井道装饰面</w:t>
            </w:r>
          </w:p>
        </w:tc>
        <w:tc>
          <w:tcPr>
            <w:tcW w:w="6272" w:type="dxa"/>
            <w:tcBorders>
              <w:top w:val="single" w:color="auto" w:sz="4" w:space="0"/>
              <w:left w:val="single" w:color="auto" w:sz="4" w:space="0"/>
              <w:bottom w:val="single" w:color="auto" w:sz="4" w:space="0"/>
              <w:right w:val="single" w:color="auto" w:sz="4" w:space="0"/>
            </w:tcBorders>
            <w:noWrap w:val="0"/>
            <w:vAlign w:val="center"/>
          </w:tcPr>
          <w:p w14:paraId="47EA3140">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6+6钢化镀膜玻璃三面</w:t>
            </w:r>
          </w:p>
        </w:tc>
      </w:tr>
      <w:tr w14:paraId="5A465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22E75A15">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井道连廊</w:t>
            </w:r>
          </w:p>
        </w:tc>
        <w:tc>
          <w:tcPr>
            <w:tcW w:w="6272" w:type="dxa"/>
            <w:tcBorders>
              <w:top w:val="single" w:color="auto" w:sz="4" w:space="0"/>
              <w:left w:val="single" w:color="auto" w:sz="4" w:space="0"/>
              <w:bottom w:val="single" w:color="auto" w:sz="4" w:space="0"/>
              <w:right w:val="single" w:color="auto" w:sz="4" w:space="0"/>
            </w:tcBorders>
            <w:noWrap w:val="0"/>
            <w:vAlign w:val="center"/>
          </w:tcPr>
          <w:p w14:paraId="5EE785D1">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无连廊，钢楼板与现有楼板交接部位的缝隙，用不燃材料进行防火封堵</w:t>
            </w:r>
          </w:p>
        </w:tc>
      </w:tr>
      <w:tr w14:paraId="65328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00939AC9">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井道顶部</w:t>
            </w:r>
          </w:p>
        </w:tc>
        <w:tc>
          <w:tcPr>
            <w:tcW w:w="6272" w:type="dxa"/>
            <w:tcBorders>
              <w:top w:val="single" w:color="auto" w:sz="4" w:space="0"/>
              <w:left w:val="single" w:color="auto" w:sz="4" w:space="0"/>
              <w:bottom w:val="single" w:color="auto" w:sz="4" w:space="0"/>
              <w:right w:val="single" w:color="auto" w:sz="4" w:space="0"/>
            </w:tcBorders>
            <w:noWrap w:val="0"/>
            <w:vAlign w:val="center"/>
          </w:tcPr>
          <w:p w14:paraId="61BAB240">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一体式防水隔热顶板</w:t>
            </w:r>
          </w:p>
        </w:tc>
      </w:tr>
      <w:tr w14:paraId="52E8D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67E2C6A9">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电梯厅装潢</w:t>
            </w:r>
          </w:p>
        </w:tc>
        <w:tc>
          <w:tcPr>
            <w:tcW w:w="6272" w:type="dxa"/>
            <w:tcBorders>
              <w:top w:val="single" w:color="auto" w:sz="4" w:space="0"/>
              <w:left w:val="single" w:color="auto" w:sz="4" w:space="0"/>
              <w:bottom w:val="single" w:color="auto" w:sz="4" w:space="0"/>
              <w:right w:val="single" w:color="auto" w:sz="4" w:space="0"/>
            </w:tcBorders>
            <w:noWrap w:val="0"/>
            <w:vAlign w:val="center"/>
          </w:tcPr>
          <w:p w14:paraId="576ABA62">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不锈钢大门套，门口照明</w:t>
            </w:r>
          </w:p>
        </w:tc>
      </w:tr>
      <w:tr w14:paraId="0C586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56E4AB17">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配套工程</w:t>
            </w:r>
          </w:p>
        </w:tc>
        <w:tc>
          <w:tcPr>
            <w:tcW w:w="6272" w:type="dxa"/>
            <w:tcBorders>
              <w:top w:val="single" w:color="auto" w:sz="4" w:space="0"/>
              <w:left w:val="single" w:color="auto" w:sz="4" w:space="0"/>
              <w:bottom w:val="single" w:color="auto" w:sz="4" w:space="0"/>
              <w:right w:val="single" w:color="auto" w:sz="4" w:space="0"/>
            </w:tcBorders>
            <w:noWrap w:val="0"/>
            <w:vAlign w:val="center"/>
          </w:tcPr>
          <w:p w14:paraId="01FF76C2">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工作面施工防护，屋面排水、收缩缝等处理</w:t>
            </w:r>
          </w:p>
        </w:tc>
      </w:tr>
    </w:tbl>
    <w:p w14:paraId="303F6370">
      <w:pPr>
        <w:keepNext w:val="0"/>
        <w:keepLines w:val="0"/>
        <w:pageBreakBefore w:val="0"/>
        <w:numPr>
          <w:ilvl w:val="0"/>
          <w:numId w:val="0"/>
        </w:numPr>
        <w:tabs>
          <w:tab w:val="left" w:pos="3558"/>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auto"/>
          <w:kern w:val="2"/>
          <w:sz w:val="28"/>
          <w:szCs w:val="28"/>
          <w:lang w:val="en-US" w:eastAsia="zh-CN" w:bidi="ar-SA"/>
        </w:rPr>
      </w:pPr>
      <w:r>
        <w:rPr>
          <w:rFonts w:hint="eastAsia" w:ascii="仿宋_GB2312" w:hAnsi="仿宋_GB2312" w:eastAsia="仿宋_GB2312" w:cs="仿宋_GB2312"/>
          <w:b/>
          <w:bCs/>
          <w:color w:val="auto"/>
          <w:kern w:val="2"/>
          <w:sz w:val="28"/>
          <w:szCs w:val="28"/>
          <w:lang w:val="en-US" w:eastAsia="zh-CN" w:bidi="ar-SA"/>
        </w:rPr>
        <w:t xml:space="preserve">图纸和工程量清单 </w:t>
      </w:r>
    </w:p>
    <w:p w14:paraId="29B57FE5">
      <w:pPr>
        <w:keepNext w:val="0"/>
        <w:keepLines w:val="0"/>
        <w:pageBreakBefore w:val="0"/>
        <w:numPr>
          <w:ilvl w:val="0"/>
          <w:numId w:val="0"/>
        </w:numPr>
        <w:tabs>
          <w:tab w:val="left" w:pos="3558"/>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auto"/>
          <w:kern w:val="2"/>
          <w:sz w:val="28"/>
          <w:szCs w:val="28"/>
          <w:lang w:val="en-US" w:eastAsia="zh-CN" w:bidi="ar-SA"/>
        </w:rPr>
      </w:pPr>
      <w:r>
        <w:rPr>
          <w:rFonts w:hint="eastAsia" w:ascii="仿宋_GB2312" w:hAnsi="仿宋_GB2312" w:eastAsia="仿宋_GB2312" w:cs="仿宋_GB2312"/>
          <w:b/>
          <w:bCs/>
          <w:color w:val="auto"/>
          <w:kern w:val="2"/>
          <w:sz w:val="28"/>
          <w:szCs w:val="28"/>
          <w:lang w:val="en-US" w:eastAsia="zh-CN" w:bidi="ar-SA"/>
        </w:rPr>
        <w:t>图纸和工程量清单另附（电子招标文件的其他材料）</w:t>
      </w:r>
    </w:p>
    <w:p w14:paraId="663CF245">
      <w:pPr>
        <w:keepNext w:val="0"/>
        <w:keepLines w:val="0"/>
        <w:pageBreakBefore w:val="0"/>
        <w:numPr>
          <w:ilvl w:val="0"/>
          <w:numId w:val="0"/>
        </w:numPr>
        <w:tabs>
          <w:tab w:val="left" w:pos="608"/>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auto"/>
          <w:sz w:val="28"/>
          <w:szCs w:val="28"/>
          <w:lang w:val="en-US" w:eastAsia="zh-CN"/>
        </w:rPr>
      </w:pPr>
    </w:p>
    <w:p w14:paraId="5922100B">
      <w:pPr>
        <w:keepNext w:val="0"/>
        <w:keepLines w:val="0"/>
        <w:pageBreakBefore w:val="0"/>
        <w:numPr>
          <w:ilvl w:val="0"/>
          <w:numId w:val="0"/>
        </w:numPr>
        <w:tabs>
          <w:tab w:val="left" w:pos="608"/>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（四）工期（天）：自签订合同之日起60天</w:t>
      </w:r>
    </w:p>
    <w:p w14:paraId="756E747C">
      <w:pPr>
        <w:keepNext w:val="0"/>
        <w:keepLines w:val="0"/>
        <w:pageBreakBefore w:val="0"/>
        <w:widowControl/>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（五）质保期（年）：自验收合格之日起5年</w:t>
      </w:r>
    </w:p>
    <w:p w14:paraId="459DCBDB">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p>
    <w:p w14:paraId="3FCE7807">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其他要求：</w:t>
      </w:r>
    </w:p>
    <w:p w14:paraId="0FE0312E">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rPr>
        <w:t>1、提供维保期为1年，</w:t>
      </w:r>
      <w:r>
        <w:rPr>
          <w:rFonts w:hint="eastAsia" w:ascii="仿宋_GB2312" w:hAnsi="仿宋_GB2312" w:eastAsia="仿宋_GB2312" w:cs="仿宋_GB2312"/>
          <w:b w:val="0"/>
          <w:bCs/>
          <w:color w:val="auto"/>
          <w:sz w:val="28"/>
          <w:szCs w:val="28"/>
          <w:lang w:eastAsia="zh-CN"/>
        </w:rPr>
        <w:t>产品质保期五年。</w:t>
      </w:r>
      <w:r>
        <w:rPr>
          <w:rFonts w:hint="eastAsia" w:ascii="仿宋_GB2312" w:hAnsi="仿宋_GB2312" w:eastAsia="仿宋_GB2312" w:cs="仿宋_GB2312"/>
          <w:b w:val="0"/>
          <w:bCs/>
          <w:color w:val="auto"/>
          <w:sz w:val="28"/>
          <w:szCs w:val="28"/>
        </w:rPr>
        <w:t>保期内7×24小时的技术咨询服务，如遇紧急情况维修工程师≤2小时内抵达现场；维保期内维修费用含在合同总价中（成交价格），供应商怠于或无法提供技术支持的，采购人有权委托第三方处理，由此产生的费用和后果由供应商负责，费用直接从应付款中扣除。在质量保证期内发生重大故障，产品实行“三包”，并承担由此产生的包装、运输等的一切费用</w:t>
      </w:r>
      <w:r>
        <w:rPr>
          <w:rFonts w:hint="eastAsia" w:ascii="仿宋_GB2312" w:hAnsi="仿宋_GB2312" w:eastAsia="仿宋_GB2312" w:cs="仿宋_GB2312"/>
          <w:b w:val="0"/>
          <w:bCs/>
          <w:color w:val="auto"/>
          <w:sz w:val="28"/>
          <w:szCs w:val="28"/>
          <w:lang w:eastAsia="zh-CN"/>
        </w:rPr>
        <w:t>，不含更换人工费</w:t>
      </w:r>
      <w:r>
        <w:rPr>
          <w:rFonts w:hint="eastAsia" w:ascii="仿宋_GB2312" w:hAnsi="仿宋_GB2312" w:eastAsia="仿宋_GB2312" w:cs="仿宋_GB2312"/>
          <w:b w:val="0"/>
          <w:bCs/>
          <w:color w:val="auto"/>
          <w:sz w:val="28"/>
          <w:szCs w:val="28"/>
        </w:rPr>
        <w:t>。</w:t>
      </w:r>
    </w:p>
    <w:p w14:paraId="35F1CE59">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rPr>
        <w:t>2、维保期内每</w:t>
      </w:r>
      <w:r>
        <w:rPr>
          <w:rFonts w:hint="eastAsia" w:ascii="仿宋_GB2312" w:hAnsi="仿宋_GB2312" w:eastAsia="仿宋_GB2312" w:cs="仿宋_GB2312"/>
          <w:b w:val="0"/>
          <w:bCs/>
          <w:color w:val="auto"/>
          <w:sz w:val="28"/>
          <w:szCs w:val="28"/>
          <w:lang w:val="en-US" w:eastAsia="zh-CN"/>
        </w:rPr>
        <w:t>月两</w:t>
      </w:r>
      <w:r>
        <w:rPr>
          <w:rFonts w:hint="eastAsia" w:ascii="仿宋_GB2312" w:hAnsi="仿宋_GB2312" w:eastAsia="仿宋_GB2312" w:cs="仿宋_GB2312"/>
          <w:b w:val="0"/>
          <w:bCs/>
          <w:color w:val="auto"/>
          <w:sz w:val="28"/>
          <w:szCs w:val="28"/>
        </w:rPr>
        <w:t>次免费上门维护，每年至少四次回访。</w:t>
      </w:r>
    </w:p>
    <w:p w14:paraId="7143223E">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rPr>
        <w:t>3、对于存在质量问题或者短少的产品，供应商应在接到采购人的通知2个日历日内负责修复，调换、重新制作或补齐。</w:t>
      </w:r>
    </w:p>
    <w:p w14:paraId="1C52D0B3">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rPr>
        <w:t>4、供应商应提负责本项目维保期间多名维护技术人员的地址、联系人（常驻工程师）及联系电话（服务热线），随时解答各种疑问。</w:t>
      </w:r>
    </w:p>
    <w:p w14:paraId="2E23AAD3">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rPr>
        <w:t>5、供应商在项目实施过程中指定的项目总协调人必须是供应商公司管理层人员。因供应商的人员变更原因所造成的任何项目质量、进度滞后的后果，由供应商承担。质量保障人员、资源不足或者执行不力，给项目质量带来的风险超出采购人认定的允许范围时，采购人可终止本项目的合作并进行索赔。</w:t>
      </w:r>
    </w:p>
    <w:p w14:paraId="1E548623">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rPr>
        <w:t>6、在最终验收后，供应商应对所提供产品因设计、工艺或材料等的缺陷而产生的故障负责维修售后（负责解决并承担全部费用）。</w:t>
      </w:r>
    </w:p>
    <w:p w14:paraId="3F36DA4F">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lang w:val="zh-CN"/>
        </w:rPr>
        <w:t>★</w:t>
      </w:r>
      <w:r>
        <w:rPr>
          <w:rFonts w:hint="eastAsia" w:ascii="仿宋_GB2312" w:hAnsi="仿宋_GB2312" w:eastAsia="仿宋_GB2312" w:cs="仿宋_GB2312"/>
          <w:b w:val="0"/>
          <w:bCs/>
          <w:color w:val="auto"/>
          <w:sz w:val="28"/>
          <w:szCs w:val="28"/>
        </w:rPr>
        <w:t>7、成交供应商应承诺质保期、维保期的售后服务条款（包括但不限于的服务内容、故障响应时间、响应方式、维修措施及时限、维护响应计划等方面）。</w:t>
      </w:r>
      <w:r>
        <w:rPr>
          <w:rFonts w:hint="eastAsia" w:ascii="仿宋_GB2312" w:hAnsi="仿宋_GB2312" w:eastAsia="仿宋_GB2312" w:cs="仿宋_GB2312"/>
          <w:b/>
          <w:bCs w:val="0"/>
          <w:color w:val="auto"/>
          <w:sz w:val="28"/>
          <w:szCs w:val="28"/>
          <w:u w:val="single"/>
          <w:lang w:eastAsia="zh-CN"/>
        </w:rPr>
        <w:t>（</w:t>
      </w:r>
      <w:r>
        <w:rPr>
          <w:rFonts w:hint="eastAsia" w:ascii="仿宋_GB2312" w:hAnsi="仿宋_GB2312" w:eastAsia="仿宋_GB2312" w:cs="仿宋_GB2312"/>
          <w:b/>
          <w:bCs w:val="0"/>
          <w:color w:val="auto"/>
          <w:sz w:val="28"/>
          <w:szCs w:val="28"/>
          <w:u w:val="single"/>
          <w:lang w:val="en-US" w:eastAsia="zh-CN"/>
        </w:rPr>
        <w:t>提供书面承诺函，格式不限</w:t>
      </w:r>
      <w:r>
        <w:rPr>
          <w:rFonts w:hint="eastAsia" w:ascii="仿宋_GB2312" w:hAnsi="仿宋_GB2312" w:eastAsia="仿宋_GB2312" w:cs="仿宋_GB2312"/>
          <w:b/>
          <w:bCs w:val="0"/>
          <w:color w:val="auto"/>
          <w:sz w:val="28"/>
          <w:szCs w:val="28"/>
          <w:u w:val="single"/>
          <w:lang w:eastAsia="zh-CN"/>
        </w:rPr>
        <w:t>）</w:t>
      </w:r>
    </w:p>
    <w:p w14:paraId="6B78748C">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rPr>
        <w:t>8、供应商提供的电梯安装服务必须符合《电梯制造与安装安全规范》GB7588—2003（2015）等国家现行技术质量标准和行业规范要求，保证质量可靠，为市场最新或主流产品，进货渠道正常，配置合理齐全，应全面满足</w:t>
      </w:r>
      <w:r>
        <w:rPr>
          <w:rFonts w:hint="eastAsia" w:ascii="仿宋_GB2312" w:hAnsi="仿宋_GB2312" w:eastAsia="仿宋_GB2312" w:cs="仿宋_GB2312"/>
          <w:b w:val="0"/>
          <w:bCs/>
          <w:color w:val="auto"/>
          <w:sz w:val="28"/>
          <w:szCs w:val="28"/>
          <w:lang w:val="en-US" w:eastAsia="zh-CN"/>
        </w:rPr>
        <w:t>招标</w:t>
      </w:r>
      <w:r>
        <w:rPr>
          <w:rFonts w:hint="eastAsia" w:ascii="仿宋_GB2312" w:hAnsi="仿宋_GB2312" w:eastAsia="仿宋_GB2312" w:cs="仿宋_GB2312"/>
          <w:b w:val="0"/>
          <w:bCs/>
          <w:color w:val="auto"/>
          <w:sz w:val="28"/>
          <w:szCs w:val="28"/>
        </w:rPr>
        <w:t>文件的要求，</w:t>
      </w:r>
      <w:r>
        <w:rPr>
          <w:rFonts w:hint="eastAsia" w:ascii="仿宋_GB2312" w:hAnsi="仿宋_GB2312" w:eastAsia="仿宋_GB2312" w:cs="仿宋_GB2312"/>
          <w:b w:val="0"/>
          <w:bCs/>
          <w:color w:val="auto"/>
          <w:sz w:val="28"/>
          <w:szCs w:val="28"/>
          <w:lang w:val="en-US" w:eastAsia="zh-CN"/>
        </w:rPr>
        <w:t>招标</w:t>
      </w:r>
      <w:r>
        <w:rPr>
          <w:rFonts w:hint="eastAsia" w:ascii="仿宋_GB2312" w:hAnsi="仿宋_GB2312" w:eastAsia="仿宋_GB2312" w:cs="仿宋_GB2312"/>
          <w:b w:val="0"/>
          <w:bCs/>
          <w:color w:val="auto"/>
          <w:sz w:val="28"/>
          <w:szCs w:val="28"/>
        </w:rPr>
        <w:t>文件未明确要求的内容，供应商须按</w:t>
      </w:r>
      <w:r>
        <w:rPr>
          <w:rFonts w:hint="eastAsia" w:ascii="仿宋_GB2312" w:hAnsi="仿宋_GB2312" w:eastAsia="仿宋_GB2312" w:cs="仿宋_GB2312"/>
          <w:b w:val="0"/>
          <w:bCs/>
          <w:color w:val="auto"/>
          <w:sz w:val="28"/>
          <w:szCs w:val="28"/>
          <w:lang w:val="en-US" w:eastAsia="zh-CN"/>
        </w:rPr>
        <w:t>招标</w:t>
      </w:r>
      <w:r>
        <w:rPr>
          <w:rFonts w:hint="eastAsia" w:ascii="仿宋_GB2312" w:hAnsi="仿宋_GB2312" w:eastAsia="仿宋_GB2312" w:cs="仿宋_GB2312"/>
          <w:b w:val="0"/>
          <w:bCs/>
          <w:color w:val="auto"/>
          <w:sz w:val="28"/>
          <w:szCs w:val="28"/>
        </w:rPr>
        <w:t>产品主流标准配置或以采购人的补充要求为准。所供产品工艺质量应严格按国家最新发布的规范标准执行，如发生质量问题由供应商承担全部责任。</w:t>
      </w:r>
    </w:p>
    <w:p w14:paraId="6B3CFC9E">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rPr>
        <w:t>9、供应商应保证所有产品的完好无损包括配套包装，如有缺漏、损坏，由供应商负责调换、补齐或赔偿。</w:t>
      </w:r>
    </w:p>
    <w:p w14:paraId="3681EEAB">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rPr>
        <w:t>10、采购</w:t>
      </w:r>
      <w:r>
        <w:rPr>
          <w:rFonts w:hint="eastAsia" w:ascii="仿宋_GB2312" w:hAnsi="仿宋_GB2312" w:eastAsia="仿宋_GB2312" w:cs="仿宋_GB2312"/>
          <w:b w:val="0"/>
          <w:bCs/>
          <w:color w:val="auto"/>
          <w:sz w:val="28"/>
          <w:szCs w:val="28"/>
          <w:lang w:eastAsia="zh-CN"/>
        </w:rPr>
        <w:t>人在</w:t>
      </w:r>
      <w:r>
        <w:rPr>
          <w:rFonts w:hint="eastAsia" w:ascii="仿宋_GB2312" w:hAnsi="仿宋_GB2312" w:eastAsia="仿宋_GB2312" w:cs="仿宋_GB2312"/>
          <w:b w:val="0"/>
          <w:bCs/>
          <w:color w:val="auto"/>
          <w:sz w:val="28"/>
          <w:szCs w:val="28"/>
        </w:rPr>
        <w:t>使用产品过程中因产品质量、产品缺陷及安装质量等造成人身伤亡、财产损失的，由供应商负责解决并承担全部责任。</w:t>
      </w:r>
    </w:p>
    <w:p w14:paraId="13F9F7DD">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rPr>
        <w:t>1</w:t>
      </w:r>
      <w:r>
        <w:rPr>
          <w:rFonts w:hint="eastAsia" w:ascii="仿宋_GB2312" w:hAnsi="仿宋_GB2312" w:eastAsia="仿宋_GB2312" w:cs="仿宋_GB2312"/>
          <w:b w:val="0"/>
          <w:bCs/>
          <w:color w:val="auto"/>
          <w:sz w:val="28"/>
          <w:szCs w:val="28"/>
          <w:lang w:val="en-US" w:eastAsia="zh-CN"/>
        </w:rPr>
        <w:t>1</w:t>
      </w:r>
      <w:r>
        <w:rPr>
          <w:rFonts w:hint="eastAsia" w:ascii="仿宋_GB2312" w:hAnsi="仿宋_GB2312" w:eastAsia="仿宋_GB2312" w:cs="仿宋_GB2312"/>
          <w:b w:val="0"/>
          <w:bCs/>
          <w:color w:val="auto"/>
          <w:sz w:val="28"/>
          <w:szCs w:val="28"/>
        </w:rPr>
        <w:t>、本项目总预算为此次</w:t>
      </w:r>
      <w:r>
        <w:rPr>
          <w:rFonts w:hint="eastAsia" w:ascii="仿宋_GB2312" w:hAnsi="仿宋_GB2312" w:eastAsia="仿宋_GB2312" w:cs="仿宋_GB2312"/>
          <w:b w:val="0"/>
          <w:bCs/>
          <w:color w:val="auto"/>
          <w:sz w:val="28"/>
          <w:szCs w:val="28"/>
          <w:lang w:val="en-US" w:eastAsia="zh-CN"/>
        </w:rPr>
        <w:t>加装电梯所包含的土建施工、钢结构井道制作与封堵、施工面装饰装潢、</w:t>
      </w:r>
      <w:r>
        <w:rPr>
          <w:rFonts w:hint="eastAsia" w:ascii="仿宋_GB2312" w:hAnsi="仿宋_GB2312" w:eastAsia="仿宋_GB2312" w:cs="仿宋_GB2312"/>
          <w:b w:val="0"/>
          <w:bCs/>
          <w:color w:val="auto"/>
          <w:sz w:val="28"/>
          <w:szCs w:val="28"/>
        </w:rPr>
        <w:t>电梯设备生产、运输、安装、调试与验收等全部工程的交钥匙价格,（主要包括：</w:t>
      </w:r>
      <w:r>
        <w:rPr>
          <w:rFonts w:hint="eastAsia" w:ascii="仿宋_GB2312" w:hAnsi="仿宋_GB2312" w:eastAsia="仿宋_GB2312" w:cs="仿宋_GB2312"/>
          <w:b w:val="0"/>
          <w:bCs/>
          <w:color w:val="auto"/>
          <w:sz w:val="28"/>
          <w:szCs w:val="28"/>
          <w:lang w:val="en-US" w:eastAsia="zh-CN"/>
        </w:rPr>
        <w:t>土建施工、井道制作、装饰封堵、</w:t>
      </w:r>
      <w:r>
        <w:rPr>
          <w:rFonts w:hint="eastAsia" w:ascii="仿宋_GB2312" w:hAnsi="仿宋_GB2312" w:eastAsia="仿宋_GB2312" w:cs="仿宋_GB2312"/>
          <w:b w:val="0"/>
          <w:bCs/>
          <w:color w:val="auto"/>
          <w:sz w:val="28"/>
          <w:szCs w:val="28"/>
        </w:rPr>
        <w:t>产品的供应价、进口件关税、运杂费（含保险费、包装费）、二次倒运费、保管费、安装调试费、井道照明费、井道改造费、检测费、办理电梯特种设备注册登记证和安全检验合格证等费用、水电费、工程管理费、发纹不锈钢大小门套、轿厢保护费、电梯质保期维护保养费、各类税费及相关的其它所有费用）</w:t>
      </w:r>
    </w:p>
    <w:p w14:paraId="2054D275">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lang w:val="en-US" w:eastAsia="zh-CN"/>
        </w:rPr>
        <w:t>1</w:t>
      </w:r>
      <w:r>
        <w:rPr>
          <w:rFonts w:hint="eastAsia" w:ascii="仿宋_GB2312" w:hAnsi="仿宋_GB2312" w:eastAsia="仿宋_GB2312" w:cs="仿宋_GB2312"/>
          <w:b w:val="0"/>
          <w:bCs/>
          <w:color w:val="auto"/>
          <w:sz w:val="28"/>
          <w:szCs w:val="28"/>
        </w:rPr>
        <w:t>2、供应商根据产品特性，自行选择运输及包装方式，承担一切运输费用，包括从生产厂到采购人指定交货地点所需的装卸、运输（含保险费）及其他一切费用。</w:t>
      </w:r>
    </w:p>
    <w:p w14:paraId="34B01104">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lang w:eastAsia="zh-CN"/>
        </w:rPr>
      </w:pPr>
      <w:r>
        <w:rPr>
          <w:rFonts w:hint="eastAsia" w:ascii="仿宋_GB2312" w:hAnsi="仿宋_GB2312" w:eastAsia="仿宋_GB2312" w:cs="仿宋_GB2312"/>
          <w:b w:val="0"/>
          <w:bCs/>
          <w:color w:val="auto"/>
          <w:sz w:val="28"/>
          <w:szCs w:val="28"/>
          <w:lang w:val="zh-CN"/>
        </w:rPr>
        <w:t>★</w:t>
      </w:r>
      <w:r>
        <w:rPr>
          <w:rFonts w:hint="eastAsia" w:ascii="仿宋_GB2312" w:hAnsi="仿宋_GB2312" w:eastAsia="仿宋_GB2312" w:cs="仿宋_GB2312"/>
          <w:b w:val="0"/>
          <w:bCs/>
          <w:color w:val="auto"/>
          <w:sz w:val="28"/>
          <w:szCs w:val="28"/>
          <w:lang w:val="en-US" w:eastAsia="zh-CN"/>
        </w:rPr>
        <w:t>1</w:t>
      </w:r>
      <w:r>
        <w:rPr>
          <w:rFonts w:hint="eastAsia" w:ascii="仿宋_GB2312" w:hAnsi="仿宋_GB2312" w:eastAsia="仿宋_GB2312" w:cs="仿宋_GB2312"/>
          <w:b w:val="0"/>
          <w:bCs/>
          <w:color w:val="auto"/>
          <w:sz w:val="28"/>
          <w:szCs w:val="28"/>
        </w:rPr>
        <w:t>3、交付使用期限：成交供应商承诺合同签订并收到采购人书面通知后</w:t>
      </w:r>
      <w:r>
        <w:rPr>
          <w:rFonts w:hint="eastAsia" w:ascii="仿宋_GB2312" w:hAnsi="仿宋_GB2312" w:eastAsia="仿宋_GB2312" w:cs="仿宋_GB2312"/>
          <w:b w:val="0"/>
          <w:bCs/>
          <w:color w:val="auto"/>
          <w:sz w:val="28"/>
          <w:szCs w:val="28"/>
          <w:lang w:val="en-US" w:eastAsia="zh-CN"/>
        </w:rPr>
        <w:t>60</w:t>
      </w:r>
      <w:r>
        <w:rPr>
          <w:rFonts w:hint="eastAsia" w:ascii="仿宋_GB2312" w:hAnsi="仿宋_GB2312" w:eastAsia="仿宋_GB2312" w:cs="仿宋_GB2312"/>
          <w:b w:val="0"/>
          <w:bCs/>
          <w:color w:val="auto"/>
          <w:sz w:val="28"/>
          <w:szCs w:val="28"/>
        </w:rPr>
        <w:t>个日历日内完成安装、调试、验收合格，办理电梯特种设备注册登记证并交付使用。</w:t>
      </w:r>
      <w:r>
        <w:rPr>
          <w:rFonts w:hint="eastAsia" w:ascii="仿宋_GB2312" w:hAnsi="仿宋_GB2312" w:eastAsia="仿宋_GB2312" w:cs="仿宋_GB2312"/>
          <w:b/>
          <w:bCs w:val="0"/>
          <w:color w:val="auto"/>
          <w:sz w:val="28"/>
          <w:szCs w:val="28"/>
          <w:u w:val="single"/>
          <w:lang w:eastAsia="zh-CN"/>
        </w:rPr>
        <w:t>（</w:t>
      </w:r>
      <w:r>
        <w:rPr>
          <w:rFonts w:hint="eastAsia" w:ascii="仿宋_GB2312" w:hAnsi="仿宋_GB2312" w:eastAsia="仿宋_GB2312" w:cs="仿宋_GB2312"/>
          <w:b/>
          <w:bCs w:val="0"/>
          <w:color w:val="auto"/>
          <w:sz w:val="28"/>
          <w:szCs w:val="28"/>
          <w:u w:val="single"/>
          <w:lang w:val="en-US" w:eastAsia="zh-CN"/>
        </w:rPr>
        <w:t>提供书面承诺函，格式不限</w:t>
      </w:r>
      <w:r>
        <w:rPr>
          <w:rFonts w:hint="eastAsia" w:ascii="仿宋_GB2312" w:hAnsi="仿宋_GB2312" w:eastAsia="仿宋_GB2312" w:cs="仿宋_GB2312"/>
          <w:b/>
          <w:bCs w:val="0"/>
          <w:color w:val="auto"/>
          <w:sz w:val="28"/>
          <w:szCs w:val="28"/>
          <w:u w:val="single"/>
          <w:lang w:eastAsia="zh-CN"/>
        </w:rPr>
        <w:t>）</w:t>
      </w:r>
    </w:p>
    <w:p w14:paraId="05E9C5A3">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lang w:val="en-US" w:eastAsia="zh-CN"/>
        </w:rPr>
        <w:t>14</w:t>
      </w:r>
      <w:r>
        <w:rPr>
          <w:rFonts w:hint="eastAsia" w:ascii="仿宋_GB2312" w:hAnsi="仿宋_GB2312" w:eastAsia="仿宋_GB2312" w:cs="仿宋_GB2312"/>
          <w:b w:val="0"/>
          <w:bCs/>
          <w:color w:val="auto"/>
          <w:sz w:val="28"/>
          <w:szCs w:val="28"/>
        </w:rPr>
        <w:t>、供应商应在投标文件中提供投标货物的相关质量（功能）证明材料，包括但不限于检测报告、质量认证证书、功能截图、宣传彩页等。</w:t>
      </w:r>
    </w:p>
    <w:p w14:paraId="2A113A19">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lang w:val="en-US" w:eastAsia="zh-CN"/>
        </w:rPr>
        <w:t>15</w:t>
      </w:r>
      <w:r>
        <w:rPr>
          <w:rFonts w:hint="eastAsia" w:ascii="仿宋_GB2312" w:hAnsi="仿宋_GB2312" w:eastAsia="仿宋_GB2312" w:cs="仿宋_GB2312"/>
          <w:b w:val="0"/>
          <w:bCs/>
          <w:color w:val="auto"/>
          <w:sz w:val="28"/>
          <w:szCs w:val="28"/>
        </w:rPr>
        <w:t>、本项目所出现的投标货物数量均为参考数量，供应商须自行踏勘现场制定实施方案，最终以达成采购人实际采购需求为准。</w:t>
      </w:r>
    </w:p>
    <w:p w14:paraId="7A119A57">
      <w:pPr>
        <w:pStyle w:val="4"/>
        <w:keepNext w:val="0"/>
        <w:keepLines w:val="0"/>
        <w:pageBreakBefore w:val="0"/>
        <w:widowControl/>
        <w:kinsoku/>
        <w:wordWrap/>
        <w:overflowPunct/>
        <w:topLinePunct w:val="0"/>
        <w:autoSpaceDE/>
        <w:autoSpaceDN/>
        <w:bidi w:val="0"/>
        <w:adjustRightInd/>
        <w:snapToGrid/>
        <w:spacing w:line="560" w:lineRule="exact"/>
        <w:ind w:left="0" w:firstLine="0" w:firstLineChars="0"/>
        <w:jc w:val="center"/>
        <w:rPr>
          <w:rFonts w:hint="eastAsia" w:ascii="仿宋_GB2312" w:hAnsi="仿宋_GB2312" w:eastAsia="仿宋_GB2312" w:cs="仿宋_GB2312"/>
          <w:b/>
          <w:bCs/>
          <w:color w:val="000000"/>
          <w:kern w:val="0"/>
          <w:sz w:val="28"/>
          <w:szCs w:val="28"/>
          <w:lang w:val="en-US" w:eastAsia="zh-CN" w:bidi="ar"/>
        </w:rPr>
      </w:pPr>
      <w:r>
        <w:rPr>
          <w:rFonts w:hint="eastAsia" w:ascii="仿宋_GB2312" w:hAnsi="仿宋_GB2312" w:eastAsia="仿宋_GB2312" w:cs="仿宋_GB2312"/>
          <w:b/>
          <w:bCs/>
          <w:color w:val="000000"/>
          <w:kern w:val="0"/>
          <w:sz w:val="28"/>
          <w:szCs w:val="28"/>
          <w:lang w:val="en-US" w:eastAsia="zh-CN" w:bidi="ar"/>
        </w:rPr>
        <w:t xml:space="preserve"> </w:t>
      </w:r>
    </w:p>
    <w:p w14:paraId="11D3DAB8">
      <w:pPr>
        <w:keepNext w:val="0"/>
        <w:keepLines w:val="0"/>
        <w:pageBreakBefore w:val="0"/>
        <w:widowControl w:val="0"/>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sz w:val="28"/>
          <w:szCs w:val="28"/>
          <w:lang w:val="en-US" w:eastAsia="zh-CN"/>
        </w:rPr>
        <w:t>备注：</w:t>
      </w:r>
    </w:p>
    <w:p w14:paraId="6846CA24">
      <w:pPr>
        <w:keepNext w:val="0"/>
        <w:keepLines w:val="0"/>
        <w:pageBreakBefore w:val="0"/>
        <w:widowControl w:val="0"/>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bCs/>
          <w:color w:val="000000"/>
          <w:sz w:val="28"/>
          <w:szCs w:val="28"/>
          <w:u w:val="single"/>
        </w:rPr>
      </w:pPr>
      <w:r>
        <w:rPr>
          <w:rFonts w:hint="eastAsia" w:ascii="仿宋_GB2312" w:hAnsi="仿宋_GB2312" w:eastAsia="仿宋_GB2312" w:cs="仿宋_GB2312"/>
          <w:b/>
          <w:bCs/>
          <w:color w:val="000000"/>
          <w:sz w:val="28"/>
          <w:szCs w:val="28"/>
          <w:lang w:val="en-US" w:eastAsia="zh-CN"/>
        </w:rPr>
        <w:t>1、</w:t>
      </w:r>
      <w:r>
        <w:rPr>
          <w:rFonts w:hint="eastAsia" w:ascii="仿宋_GB2312" w:hAnsi="仿宋_GB2312" w:eastAsia="仿宋_GB2312" w:cs="仿宋_GB2312"/>
          <w:b/>
          <w:bCs/>
          <w:color w:val="000000"/>
          <w:sz w:val="28"/>
          <w:szCs w:val="28"/>
        </w:rPr>
        <w:t>“</w:t>
      </w:r>
      <w:r>
        <w:rPr>
          <w:rFonts w:hint="eastAsia" w:ascii="仿宋_GB2312" w:hAnsi="仿宋_GB2312" w:eastAsia="仿宋_GB2312" w:cs="仿宋_GB2312"/>
          <w:b/>
          <w:bCs/>
          <w:color w:val="000000"/>
          <w:sz w:val="28"/>
          <w:szCs w:val="28"/>
          <w:u w:val="single"/>
        </w:rPr>
        <w:t>★”内容为实质性条款，</w:t>
      </w:r>
      <w:r>
        <w:rPr>
          <w:rFonts w:hint="eastAsia" w:ascii="仿宋_GB2312" w:hAnsi="仿宋_GB2312" w:eastAsia="仿宋_GB2312" w:cs="仿宋_GB2312"/>
          <w:b/>
          <w:bCs/>
          <w:color w:val="000000"/>
          <w:sz w:val="28"/>
          <w:szCs w:val="28"/>
          <w:u w:val="single"/>
          <w:lang w:val="en-US" w:eastAsia="zh-CN"/>
        </w:rPr>
        <w:t>不接受负偏差</w:t>
      </w:r>
      <w:r>
        <w:rPr>
          <w:rFonts w:hint="eastAsia" w:ascii="仿宋_GB2312" w:hAnsi="仿宋_GB2312" w:eastAsia="仿宋_GB2312" w:cs="仿宋_GB2312"/>
          <w:b/>
          <w:bCs/>
          <w:color w:val="000000"/>
          <w:sz w:val="28"/>
          <w:szCs w:val="28"/>
          <w:u w:val="single"/>
          <w:lang w:eastAsia="zh-CN"/>
        </w:rPr>
        <w:t>。</w:t>
      </w:r>
      <w:r>
        <w:rPr>
          <w:rFonts w:hint="eastAsia" w:ascii="仿宋_GB2312" w:hAnsi="仿宋_GB2312" w:eastAsia="仿宋_GB2312" w:cs="仿宋_GB2312"/>
          <w:b/>
          <w:bCs/>
          <w:color w:val="000000"/>
          <w:sz w:val="28"/>
          <w:szCs w:val="28"/>
          <w:u w:val="single"/>
          <w:lang w:val="en-US" w:eastAsia="zh-CN"/>
        </w:rPr>
        <w:t>投标人</w:t>
      </w:r>
      <w:r>
        <w:rPr>
          <w:rFonts w:hint="eastAsia" w:ascii="仿宋_GB2312" w:hAnsi="仿宋_GB2312" w:eastAsia="仿宋_GB2312" w:cs="仿宋_GB2312"/>
          <w:b/>
          <w:bCs/>
          <w:color w:val="000000"/>
          <w:sz w:val="28"/>
          <w:szCs w:val="28"/>
          <w:u w:val="single"/>
        </w:rPr>
        <w:t>未逐条响应、有缺漏</w:t>
      </w:r>
      <w:r>
        <w:rPr>
          <w:rFonts w:hint="eastAsia" w:ascii="仿宋_GB2312" w:hAnsi="仿宋_GB2312" w:eastAsia="仿宋_GB2312" w:cs="仿宋_GB2312"/>
          <w:b/>
          <w:bCs/>
          <w:color w:val="000000"/>
          <w:sz w:val="28"/>
          <w:szCs w:val="28"/>
          <w:u w:val="single"/>
          <w:lang w:val="en-US" w:eastAsia="zh-CN"/>
        </w:rPr>
        <w:t>项或负偏差</w:t>
      </w:r>
      <w:r>
        <w:rPr>
          <w:rFonts w:hint="eastAsia" w:ascii="仿宋_GB2312" w:hAnsi="仿宋_GB2312" w:eastAsia="仿宋_GB2312" w:cs="仿宋_GB2312"/>
          <w:b/>
          <w:bCs/>
          <w:color w:val="000000"/>
          <w:sz w:val="28"/>
          <w:szCs w:val="28"/>
          <w:u w:val="single"/>
        </w:rPr>
        <w:t>将被视为无效</w:t>
      </w:r>
      <w:r>
        <w:rPr>
          <w:rFonts w:hint="eastAsia" w:ascii="仿宋_GB2312" w:hAnsi="仿宋_GB2312" w:eastAsia="仿宋_GB2312" w:cs="仿宋_GB2312"/>
          <w:b/>
          <w:bCs/>
          <w:color w:val="000000"/>
          <w:sz w:val="28"/>
          <w:szCs w:val="28"/>
          <w:u w:val="single"/>
          <w:lang w:val="en-US" w:eastAsia="zh-CN"/>
        </w:rPr>
        <w:t>投标</w:t>
      </w:r>
      <w:r>
        <w:rPr>
          <w:rFonts w:hint="eastAsia" w:ascii="仿宋_GB2312" w:hAnsi="仿宋_GB2312" w:eastAsia="仿宋_GB2312" w:cs="仿宋_GB2312"/>
          <w:b/>
          <w:bCs/>
          <w:color w:val="000000"/>
          <w:sz w:val="28"/>
          <w:szCs w:val="28"/>
          <w:u w:val="single"/>
        </w:rPr>
        <w:t>；</w:t>
      </w:r>
    </w:p>
    <w:p w14:paraId="38CF632D">
      <w:pPr>
        <w:keepNext w:val="0"/>
        <w:keepLines w:val="0"/>
        <w:pageBreakBefore w:val="0"/>
        <w:widowControl w:val="0"/>
        <w:kinsoku/>
        <w:wordWrap/>
        <w:overflowPunct/>
        <w:topLinePunct w:val="0"/>
        <w:autoSpaceDE/>
        <w:autoSpaceDN/>
        <w:bidi w:val="0"/>
        <w:adjustRightInd/>
        <w:snapToGrid/>
        <w:spacing w:line="580" w:lineRule="exact"/>
        <w:ind w:firstLine="562" w:firstLineChars="200"/>
        <w:textAlignment w:val="auto"/>
        <w:rPr>
          <w:rFonts w:hint="default" w:ascii="仿宋_GB2312" w:hAnsi="仿宋_GB2312" w:eastAsia="仿宋_GB2312" w:cs="仿宋_GB2312"/>
          <w:b/>
          <w:bCs/>
          <w:color w:val="000000"/>
          <w:sz w:val="28"/>
          <w:szCs w:val="28"/>
          <w:u w:val="single"/>
          <w:lang w:val="en-US" w:eastAsia="zh-CN"/>
        </w:rPr>
      </w:pPr>
      <w:r>
        <w:rPr>
          <w:rFonts w:hint="eastAsia" w:ascii="仿宋_GB2312" w:hAnsi="仿宋_GB2312" w:eastAsia="仿宋_GB2312" w:cs="仿宋_GB2312"/>
          <w:b/>
          <w:bCs/>
          <w:color w:val="000000"/>
          <w:sz w:val="28"/>
          <w:szCs w:val="28"/>
          <w:u w:val="none"/>
          <w:lang w:val="en-US" w:eastAsia="zh-CN"/>
        </w:rPr>
        <w:t>2、</w:t>
      </w:r>
      <w:r>
        <w:rPr>
          <w:rFonts w:hint="eastAsia" w:ascii="仿宋_GB2312" w:hAnsi="仿宋_GB2312" w:eastAsia="仿宋_GB2312" w:cs="仿宋_GB2312"/>
          <w:b/>
          <w:bCs/>
          <w:color w:val="000000"/>
          <w:sz w:val="28"/>
          <w:szCs w:val="28"/>
          <w:u w:val="single"/>
        </w:rPr>
        <w:t>“▲”内容项为重要</w:t>
      </w:r>
      <w:r>
        <w:rPr>
          <w:rFonts w:hint="eastAsia" w:ascii="仿宋_GB2312" w:hAnsi="仿宋_GB2312" w:eastAsia="仿宋_GB2312" w:cs="仿宋_GB2312"/>
          <w:b/>
          <w:bCs/>
          <w:color w:val="000000"/>
          <w:sz w:val="28"/>
          <w:szCs w:val="28"/>
          <w:u w:val="single"/>
          <w:lang w:val="en-US" w:eastAsia="zh-CN"/>
        </w:rPr>
        <w:t>条款</w:t>
      </w:r>
      <w:r>
        <w:rPr>
          <w:rFonts w:hint="eastAsia" w:ascii="仿宋_GB2312" w:hAnsi="仿宋_GB2312" w:eastAsia="仿宋_GB2312" w:cs="仿宋_GB2312"/>
          <w:b/>
          <w:bCs/>
          <w:color w:val="000000"/>
          <w:sz w:val="28"/>
          <w:szCs w:val="28"/>
          <w:u w:val="single"/>
        </w:rPr>
        <w:t>，投标人未达到这些要求或未响应将影响评分。</w:t>
      </w:r>
    </w:p>
    <w:p w14:paraId="5425F35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AA3E97"/>
    <w:rsid w:val="1FAA3E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List Paragraph"/>
    <w:basedOn w:val="1"/>
    <w:qFormat/>
    <w:uiPriority w:val="0"/>
    <w:pPr>
      <w:snapToGrid w:val="0"/>
      <w:spacing w:line="360" w:lineRule="auto"/>
      <w:ind w:firstLine="420" w:firstLineChars="200"/>
    </w:pPr>
    <w:rPr>
      <w:snapToGrid w:val="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2026-07-28T07:40:00Z</dcterms:created>
  <dc:creator>大漠苍狼</dc:creator>
  <cp:lastModifiedBy>大漠苍狼</cp:lastModifiedBy>
  <dcterms:modified xsi:type="dcterms:W3CDTF">2026-07-28T07:41:02Z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0CF977BD84D7492C91BD531852078DA5_11</vt:lpwstr>
  </property>
  <property fmtid="{D5CDD505-2E9C-101B-9397-08002B2CF9AE}" pid="4" name="KSOTemplateDocerSaveRecord">
    <vt:lpwstr>eyJoZGlkIjoiZjljYWZhYTQ2MTJjMjYyZTIzNDY2Y2I3NzZjNmYyMWQiLCJ1c2VySWQiOiI1NzM2OTk2MzAifQ==</vt:lpwstr>
  </property>
</Properties>
</file>