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版本号：ZCSP-渭南市-2026-0027520260724001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省十八运消防安保配套保障设备项目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ZCSP-渭南市-2026-00275</w:t>
      </w:r>
      <w:r>
        <w:br/>
      </w:r>
      <w:r>
        <w:br/>
      </w:r>
      <w:r>
        <w:br/>
      </w:r>
    </w:p>
    <w:p>
      <w:pPr>
        <w:pStyle w:val="null3"/>
        <w:jc w:val="center"/>
        <w:outlineLvl w:val="2"/>
      </w:pPr>
      <w:r>
        <w:rPr>
          <w:rFonts w:ascii="仿宋_GB2312" w:hAnsi="仿宋_GB2312" w:cs="仿宋_GB2312" w:eastAsia="仿宋_GB2312"/>
          <w:sz w:val="28"/>
          <w:b/>
        </w:rPr>
        <w:t>渭南市消防救援支队</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渭南市消防救援支队</w:t>
      </w:r>
      <w:r>
        <w:rPr>
          <w:rFonts w:ascii="仿宋_GB2312" w:hAnsi="仿宋_GB2312" w:cs="仿宋_GB2312" w:eastAsia="仿宋_GB2312"/>
        </w:rPr>
        <w:t>委托，拟对</w:t>
      </w:r>
      <w:r>
        <w:rPr>
          <w:rFonts w:ascii="仿宋_GB2312" w:hAnsi="仿宋_GB2312" w:cs="仿宋_GB2312" w:eastAsia="仿宋_GB2312"/>
        </w:rPr>
        <w:t>省十八运消防安保配套保障设备项目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省十八运消防安保配套保障设备项目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为渭南市消防救援支队购买省十八运消防安保配套装备器材。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采购包1（四轮消防摩托车）：属于专门面向中小企业采购。</w:t>
      </w:r>
    </w:p>
    <w:p>
      <w:pPr>
        <w:pStyle w:val="null3"/>
      </w:pPr>
      <w:r>
        <w:rPr>
          <w:rFonts w:ascii="仿宋_GB2312" w:hAnsi="仿宋_GB2312" w:cs="仿宋_GB2312" w:eastAsia="仿宋_GB2312"/>
        </w:rPr>
        <w:t>采购包2（消防智能机器狗）：属于专门面向中小企业采购。</w:t>
      </w:r>
    </w:p>
    <w:p>
      <w:pPr>
        <w:pStyle w:val="null3"/>
      </w:pPr>
      <w:r>
        <w:rPr>
          <w:rFonts w:ascii="仿宋_GB2312" w:hAnsi="仿宋_GB2312" w:cs="仿宋_GB2312" w:eastAsia="仿宋_GB2312"/>
        </w:rPr>
        <w:t>采购包3（执勤保障物资）：属于专门面向中小企业采购。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1、营业执照等证明文件：供应商需在项目电子化交易系统中按要求上传合法注册的法人或其他组织的营业执照等证明文件，自然人上传身份证明，并进行电子签章。</w:t>
      </w:r>
    </w:p>
    <w:p>
      <w:pPr>
        <w:pStyle w:val="null3"/>
      </w:pPr>
      <w:r>
        <w:rPr>
          <w:rFonts w:ascii="仿宋_GB2312" w:hAnsi="仿宋_GB2312" w:cs="仿宋_GB2312" w:eastAsia="仿宋_GB2312"/>
        </w:rPr>
        <w:t>2、法定代表人或被授权人证明文件：供应商应授权合法的人员参加政府采购活动，（供应商为法人单位的）法定代表人亲自参加时，须提供本人身份证复印件；法定代表人授权他人参加时，须提供法定代表人委托授权书及授权代表身份证。（供应商为非法人单位的）投标文件中凡是需要法定代表人签字或盖章之处，非法人单位的负责人均参照执行；法人的分支机构参与时，投标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无重大违法记录的书面声明：参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4、完税证明及缴纳社保证明：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p>
      <w:pPr>
        <w:pStyle w:val="null3"/>
      </w:pPr>
      <w:r>
        <w:rPr>
          <w:rFonts w:ascii="仿宋_GB2312" w:hAnsi="仿宋_GB2312" w:cs="仿宋_GB2312" w:eastAsia="仿宋_GB2312"/>
        </w:rPr>
        <w:t>5、财务审计报告或资信证明：提供2025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投标文件截止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6、信用记录书面声明函：供应商需在项目电子化交易系统中按要求上传《供应商信用记录书面声明函》，并进行电子签章。</w:t>
      </w:r>
    </w:p>
    <w:p>
      <w:pPr>
        <w:pStyle w:val="null3"/>
      </w:pPr>
      <w:r>
        <w:rPr>
          <w:rFonts w:ascii="仿宋_GB2312" w:hAnsi="仿宋_GB2312" w:cs="仿宋_GB2312" w:eastAsia="仿宋_GB2312"/>
        </w:rPr>
        <w:t>7、本项目不接受联合体投标，不允许分包：投标人应提供《非联合体不分包投标声明》，视为独立投标，不分包。：供应商需在项目电子化交易系统中按要求上传《非联合体不分包投标声明》并进行电子签章。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1、营业执照等证明文件：供应商需在项目电子化交易系统中按要求上传合法注册的法人或其他组织的营业执照等证明文件，自然人上传身份证明，并进行电子签章。</w:t>
      </w:r>
    </w:p>
    <w:p>
      <w:pPr>
        <w:pStyle w:val="null3"/>
      </w:pPr>
      <w:r>
        <w:rPr>
          <w:rFonts w:ascii="仿宋_GB2312" w:hAnsi="仿宋_GB2312" w:cs="仿宋_GB2312" w:eastAsia="仿宋_GB2312"/>
        </w:rPr>
        <w:t>2、法定代表人或被授权人证明文件：供应商应授权合法的人员参加政府采购活动，（供应商为法人单位的）法定代表人亲自参加时，须提供本人身份证复印件；法定代表人授权他人参加时，须提供法定代表人委托授权书及授权代表身份证。（供应商为非法人单位的）投标文件中凡是需要法定代表人签字或盖章之处，非法人单位的负责人均参照执行；法人的分支机构参与时，投标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无重大违法记录的书面声明：参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4、完税证明及缴纳社保证明：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p>
      <w:pPr>
        <w:pStyle w:val="null3"/>
      </w:pPr>
      <w:r>
        <w:rPr>
          <w:rFonts w:ascii="仿宋_GB2312" w:hAnsi="仿宋_GB2312" w:cs="仿宋_GB2312" w:eastAsia="仿宋_GB2312"/>
        </w:rPr>
        <w:t>5、财务审计报告或资信证明：提供2025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投标文件截止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6、信用记录书面声明函：供应商需在项目电子化交易系统中按要求上传《供应商信用记录书面声明函》，并进行电子签章。</w:t>
      </w:r>
    </w:p>
    <w:p>
      <w:pPr>
        <w:pStyle w:val="null3"/>
      </w:pPr>
      <w:r>
        <w:rPr>
          <w:rFonts w:ascii="仿宋_GB2312" w:hAnsi="仿宋_GB2312" w:cs="仿宋_GB2312" w:eastAsia="仿宋_GB2312"/>
        </w:rPr>
        <w:t>7、本项目不接受联合体投标，不允许分包：投标人应提供《非联合体不分包投标声明》，视为独立投标，不分包。：供应商需在项目电子化交易系统中按要求上传《非联合体不分包投标声明》并进行电子签章。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1、营业执照等证明文件：供应商需在项目电子化交易系统中按要求上传合法注册的法人或其他组织的营业执照等证明文件，自然人上传身份证明，并进行电子签章。</w:t>
      </w:r>
    </w:p>
    <w:p>
      <w:pPr>
        <w:pStyle w:val="null3"/>
      </w:pPr>
      <w:r>
        <w:rPr>
          <w:rFonts w:ascii="仿宋_GB2312" w:hAnsi="仿宋_GB2312" w:cs="仿宋_GB2312" w:eastAsia="仿宋_GB2312"/>
        </w:rPr>
        <w:t>2、法定代表人或被授权人证明文件：供应商应授权合法的人员参加政府采购活动，（供应商为法人单位的）法定代表人亲自参加时，须提供本人身份证复印件；法定代表人授权他人参加时，须提供法定代表人委托授权书及授权代表身份证。（供应商为非法人单位的）投标文件中凡是需要法定代表人签字或盖章之处，非法人单位的负责人均参照执行；法人的分支机构参与时，投标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无重大违法记录的书面声明：参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4、完税证明及缴纳社保证明：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p>
      <w:pPr>
        <w:pStyle w:val="null3"/>
      </w:pPr>
      <w:r>
        <w:rPr>
          <w:rFonts w:ascii="仿宋_GB2312" w:hAnsi="仿宋_GB2312" w:cs="仿宋_GB2312" w:eastAsia="仿宋_GB2312"/>
        </w:rPr>
        <w:t>5、财务审计报告或资信证明：提供2025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投标文件截止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6、信用记录书面声明函：供应商需在项目电子化交易系统中按要求上传《供应商信用记录书面声明函》，并进行电子签章。</w:t>
      </w:r>
    </w:p>
    <w:p>
      <w:pPr>
        <w:pStyle w:val="null3"/>
      </w:pPr>
      <w:r>
        <w:rPr>
          <w:rFonts w:ascii="仿宋_GB2312" w:hAnsi="仿宋_GB2312" w:cs="仿宋_GB2312" w:eastAsia="仿宋_GB2312"/>
        </w:rPr>
        <w:t>7、本项目不接受联合体投标，不允许分包：投标人应提供《非联合体不分包投标声明》，视为独立投标，不分包。：供应商需在项目电子化交易系统中按要求上传《非联合体不分包投标声明》并进行电子签章。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渭南市临渭区小寨路5号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0913-2935185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采购包2：700,000.00元</w:t>
            </w:r>
          </w:p>
          <w:p>
            <w:pPr>
              <w:pStyle w:val="null3"/>
            </w:pPr>
            <w:r>
              <w:rPr>
                <w:rFonts w:ascii="仿宋_GB2312" w:hAnsi="仿宋_GB2312" w:cs="仿宋_GB2312" w:eastAsia="仿宋_GB2312"/>
              </w:rPr>
              <w:t>采购包3：245,000.00元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渭南市消防救援支队</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渭南市消防救援支队</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否</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联系人：渭南市消防救援支队</w:t>
      </w:r>
    </w:p>
    <w:p>
      <w:pPr>
        <w:pStyle w:val="null3"/>
      </w:pPr>
      <w:r>
        <w:rPr>
          <w:rFonts w:ascii="仿宋_GB2312" w:hAnsi="仿宋_GB2312" w:cs="仿宋_GB2312" w:eastAsia="仿宋_GB2312"/>
        </w:rPr>
        <w:t>联系电话：0913-2935185</w:t>
      </w:r>
    </w:p>
    <w:p>
      <w:pPr>
        <w:pStyle w:val="null3"/>
      </w:pPr>
      <w:r>
        <w:rPr>
          <w:rFonts w:ascii="仿宋_GB2312" w:hAnsi="仿宋_GB2312" w:cs="仿宋_GB2312" w:eastAsia="仿宋_GB2312"/>
        </w:rPr>
        <w:t>地址：渭南市临渭区小寨路5号</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联系人：王老师</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地址：渭南市临渭区朝阳路中银大厦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为渭南市消防救援支队购买省十八运消防安保配套装备器材。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511,200.00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为省十八运购置四轮消防摩托车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为省十八运购置消防智能机器狗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245,000.00</w:t>
      </w:r>
    </w:p>
    <w:p>
      <w:pPr>
        <w:pStyle w:val="null3"/>
      </w:pPr>
      <w:r>
        <w:rPr>
          <w:rFonts w:ascii="仿宋_GB2312" w:hAnsi="仿宋_GB2312" w:cs="仿宋_GB2312" w:eastAsia="仿宋_GB2312"/>
        </w:rPr>
        <w:t>采购包最高限价（元）: 245,000.00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为省十八运购置执勤保障物资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标的名称：为省十八运购置四轮消防摩托车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2"/>
              <w:gridCol w:w="139"/>
              <w:gridCol w:w="156"/>
              <w:gridCol w:w="2103"/>
            </w:tblGrid>
            <w:tr>
              <w:tc>
                <w:tcPr>
                  <w:tcW w:type="dxa" w:w="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四轮消防摩托车</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2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1.外廓尺寸（长×宽×高mm）：≤2700×1350×2100；</w:t>
                  </w:r>
                  <w:r>
                    <w:br/>
                  </w:r>
                  <w:r>
                    <w:rPr>
                      <w:rFonts w:ascii="仿宋_GB2312" w:hAnsi="仿宋_GB2312" w:cs="仿宋_GB2312" w:eastAsia="仿宋_GB2312"/>
                      <w:sz w:val="22"/>
                      <w:color w:val="000000"/>
                    </w:rPr>
                    <w:t xml:space="preserve"> ▲2.发动机冷却方式：水冷；</w:t>
                  </w:r>
                  <w:r>
                    <w:br/>
                  </w:r>
                  <w:r>
                    <w:rPr>
                      <w:rFonts w:ascii="仿宋_GB2312" w:hAnsi="仿宋_GB2312" w:cs="仿宋_GB2312" w:eastAsia="仿宋_GB2312"/>
                      <w:sz w:val="22"/>
                      <w:color w:val="000000"/>
                    </w:rPr>
                    <w:t xml:space="preserve"> ▲3.启动方式：电启动；</w:t>
                  </w:r>
                  <w:r>
                    <w:br/>
                  </w:r>
                  <w:r>
                    <w:rPr>
                      <w:rFonts w:ascii="仿宋_GB2312" w:hAnsi="仿宋_GB2312" w:cs="仿宋_GB2312" w:eastAsia="仿宋_GB2312"/>
                      <w:sz w:val="22"/>
                      <w:color w:val="000000"/>
                    </w:rPr>
                    <w:t xml:space="preserve"> ▲4.点火方式：电喷；</w:t>
                  </w:r>
                  <w:r>
                    <w:br/>
                  </w:r>
                  <w:r>
                    <w:rPr>
                      <w:rFonts w:ascii="仿宋_GB2312" w:hAnsi="仿宋_GB2312" w:cs="仿宋_GB2312" w:eastAsia="仿宋_GB2312"/>
                      <w:sz w:val="22"/>
                      <w:color w:val="000000"/>
                    </w:rPr>
                    <w:t xml:space="preserve"> ▲5.变速器类型：CVT无级变速、方向盘式；</w:t>
                  </w:r>
                  <w:r>
                    <w:br/>
                  </w:r>
                  <w:r>
                    <w:rPr>
                      <w:rFonts w:ascii="仿宋_GB2312" w:hAnsi="仿宋_GB2312" w:cs="仿宋_GB2312" w:eastAsia="仿宋_GB2312"/>
                      <w:sz w:val="22"/>
                      <w:color w:val="000000"/>
                    </w:rPr>
                    <w:t xml:space="preserve"> ▲6.最高车速：≥60km/h；</w:t>
                  </w:r>
                  <w:r>
                    <w:br/>
                  </w:r>
                  <w:r>
                    <w:rPr>
                      <w:rFonts w:ascii="仿宋_GB2312" w:hAnsi="仿宋_GB2312" w:cs="仿宋_GB2312" w:eastAsia="仿宋_GB2312"/>
                      <w:sz w:val="22"/>
                      <w:color w:val="000000"/>
                    </w:rPr>
                    <w:t xml:space="preserve"> ▲7.制动距离：≤6m；</w:t>
                  </w:r>
                  <w:r>
                    <w:br/>
                  </w:r>
                  <w:r>
                    <w:rPr>
                      <w:rFonts w:ascii="仿宋_GB2312" w:hAnsi="仿宋_GB2312" w:cs="仿宋_GB2312" w:eastAsia="仿宋_GB2312"/>
                      <w:sz w:val="22"/>
                      <w:color w:val="000000"/>
                    </w:rPr>
                    <w:t xml:space="preserve"> 8.喷雾灭火装置基本参数要求：</w:t>
                  </w:r>
                  <w:r>
                    <w:br/>
                  </w:r>
                  <w:r>
                    <w:rPr>
                      <w:rFonts w:ascii="仿宋_GB2312" w:hAnsi="仿宋_GB2312" w:cs="仿宋_GB2312" w:eastAsia="仿宋_GB2312"/>
                      <w:sz w:val="22"/>
                      <w:color w:val="000000"/>
                    </w:rPr>
                    <w:t xml:space="preserve"> ▲8.1储液罐容积：≥120L；</w:t>
                  </w:r>
                  <w:r>
                    <w:br/>
                  </w:r>
                  <w:r>
                    <w:rPr>
                      <w:rFonts w:ascii="仿宋_GB2312" w:hAnsi="仿宋_GB2312" w:cs="仿宋_GB2312" w:eastAsia="仿宋_GB2312"/>
                      <w:sz w:val="22"/>
                      <w:color w:val="000000"/>
                    </w:rPr>
                    <w:t xml:space="preserve"> ▲8.2工作压力：≤0.5MPa；</w:t>
                  </w:r>
                  <w:r>
                    <w:br/>
                  </w:r>
                  <w:r>
                    <w:rPr>
                      <w:rFonts w:ascii="仿宋_GB2312" w:hAnsi="仿宋_GB2312" w:cs="仿宋_GB2312" w:eastAsia="仿宋_GB2312"/>
                      <w:sz w:val="22"/>
                      <w:color w:val="000000"/>
                    </w:rPr>
                    <w:t xml:space="preserve"> ▲8.3流量：≥0.15L/s；</w:t>
                  </w:r>
                  <w:r>
                    <w:br/>
                  </w:r>
                  <w:r>
                    <w:rPr>
                      <w:rFonts w:ascii="仿宋_GB2312" w:hAnsi="仿宋_GB2312" w:cs="仿宋_GB2312" w:eastAsia="仿宋_GB2312"/>
                      <w:sz w:val="22"/>
                      <w:color w:val="000000"/>
                    </w:rPr>
                    <w:t xml:space="preserve"> ▲8.4喷射距离：≥10m；</w:t>
                  </w:r>
                  <w:r>
                    <w:br/>
                  </w:r>
                  <w:r>
                    <w:rPr>
                      <w:rFonts w:ascii="仿宋_GB2312" w:hAnsi="仿宋_GB2312" w:cs="仿宋_GB2312" w:eastAsia="仿宋_GB2312"/>
                      <w:sz w:val="22"/>
                      <w:color w:val="000000"/>
                    </w:rPr>
                    <w:t xml:space="preserve"> ▲8.5有效喷射时间：≥6.0min；</w:t>
                  </w:r>
                  <w:r>
                    <w:br/>
                  </w:r>
                  <w:r>
                    <w:rPr>
                      <w:rFonts w:ascii="仿宋_GB2312" w:hAnsi="仿宋_GB2312" w:cs="仿宋_GB2312" w:eastAsia="仿宋_GB2312"/>
                      <w:sz w:val="22"/>
                      <w:color w:val="000000"/>
                    </w:rPr>
                    <w:t xml:space="preserve"> ▲8.6提供国家认可并授权的检测检验机构出具的符合GA（XF）768-2008《消防摩托车》标准的整车报告作为评审依据，中标人提供原件核查；</w:t>
                  </w:r>
                  <w:r>
                    <w:br/>
                  </w:r>
                  <w:r>
                    <w:rPr>
                      <w:rFonts w:ascii="仿宋_GB2312" w:hAnsi="仿宋_GB2312" w:cs="仿宋_GB2312" w:eastAsia="仿宋_GB2312"/>
                      <w:sz w:val="22"/>
                      <w:color w:val="000000"/>
                    </w:rPr>
                    <w:t xml:space="preserve"> ▲8.7每辆消防摩托车车身明显位置设置有永久性铭牌，可通过扫描二维码观看使用操作视频。</w:t>
                  </w:r>
                  <w:r>
                    <w:br/>
                  </w:r>
                  <w:r>
                    <w:rPr>
                      <w:rFonts w:ascii="仿宋_GB2312" w:hAnsi="仿宋_GB2312" w:cs="仿宋_GB2312" w:eastAsia="仿宋_GB2312"/>
                      <w:sz w:val="22"/>
                      <w:color w:val="000000"/>
                    </w:rPr>
                    <w:t xml:space="preserve"> 9.底盘基本参数要求：</w:t>
                  </w:r>
                  <w:r>
                    <w:br/>
                  </w:r>
                  <w:r>
                    <w:rPr>
                      <w:rFonts w:ascii="仿宋_GB2312" w:hAnsi="仿宋_GB2312" w:cs="仿宋_GB2312" w:eastAsia="仿宋_GB2312"/>
                      <w:sz w:val="22"/>
                      <w:color w:val="000000"/>
                    </w:rPr>
                    <w:t xml:space="preserve"> ▲9.1发动机型式：单缸、水冷、四冲程；</w:t>
                  </w:r>
                  <w:r>
                    <w:br/>
                  </w:r>
                  <w:r>
                    <w:rPr>
                      <w:rFonts w:ascii="仿宋_GB2312" w:hAnsi="仿宋_GB2312" w:cs="仿宋_GB2312" w:eastAsia="仿宋_GB2312"/>
                      <w:sz w:val="22"/>
                      <w:color w:val="000000"/>
                    </w:rPr>
                    <w:t xml:space="preserve"> ▲9.2发动机最大功率：≥14.5Kw；</w:t>
                  </w:r>
                  <w:r>
                    <w:br/>
                  </w:r>
                  <w:r>
                    <w:rPr>
                      <w:rFonts w:ascii="仿宋_GB2312" w:hAnsi="仿宋_GB2312" w:cs="仿宋_GB2312" w:eastAsia="仿宋_GB2312"/>
                      <w:sz w:val="22"/>
                      <w:color w:val="000000"/>
                    </w:rPr>
                    <w:t xml:space="preserve"> ▲9.3.发动机最大扭矩：≥25N·m；</w:t>
                  </w:r>
                  <w:r>
                    <w:br/>
                  </w:r>
                  <w:r>
                    <w:rPr>
                      <w:rFonts w:ascii="仿宋_GB2312" w:hAnsi="仿宋_GB2312" w:cs="仿宋_GB2312" w:eastAsia="仿宋_GB2312"/>
                      <w:sz w:val="22"/>
                      <w:color w:val="000000"/>
                    </w:rPr>
                    <w:t xml:space="preserve"> ▲9.4制动器式（前/后）：盘式/盘式（四轮碟刹）；</w:t>
                  </w:r>
                  <w:r>
                    <w:br/>
                  </w:r>
                  <w:r>
                    <w:rPr>
                      <w:rFonts w:ascii="仿宋_GB2312" w:hAnsi="仿宋_GB2312" w:cs="仿宋_GB2312" w:eastAsia="仿宋_GB2312"/>
                      <w:sz w:val="22"/>
                      <w:color w:val="000000"/>
                    </w:rPr>
                    <w:t xml:space="preserve"> ▲9.5制动器操纵方式（前/后）：脚制动；</w:t>
                  </w:r>
                  <w:r>
                    <w:br/>
                  </w:r>
                  <w:r>
                    <w:rPr>
                      <w:rFonts w:ascii="仿宋_GB2312" w:hAnsi="仿宋_GB2312" w:cs="仿宋_GB2312" w:eastAsia="仿宋_GB2312"/>
                      <w:sz w:val="22"/>
                      <w:color w:val="000000"/>
                    </w:rPr>
                    <w:t xml:space="preserve"> ▲9.6载质量：≥700kg；</w:t>
                  </w:r>
                  <w:r>
                    <w:br/>
                  </w:r>
                  <w:r>
                    <w:rPr>
                      <w:rFonts w:ascii="仿宋_GB2312" w:hAnsi="仿宋_GB2312" w:cs="仿宋_GB2312" w:eastAsia="仿宋_GB2312"/>
                      <w:sz w:val="22"/>
                      <w:color w:val="000000"/>
                    </w:rPr>
                    <w:t xml:space="preserve"> ▲9.7轴距：≤1830mm；</w:t>
                  </w:r>
                  <w:r>
                    <w:br/>
                  </w:r>
                  <w:r>
                    <w:rPr>
                      <w:rFonts w:ascii="仿宋_GB2312" w:hAnsi="仿宋_GB2312" w:cs="仿宋_GB2312" w:eastAsia="仿宋_GB2312"/>
                      <w:sz w:val="22"/>
                      <w:color w:val="000000"/>
                    </w:rPr>
                    <w:t xml:space="preserve"> ▲9.8最小离地间隙：≥285mm；</w:t>
                  </w:r>
                  <w:r>
                    <w:br/>
                  </w:r>
                  <w:r>
                    <w:rPr>
                      <w:rFonts w:ascii="仿宋_GB2312" w:hAnsi="仿宋_GB2312" w:cs="仿宋_GB2312" w:eastAsia="仿宋_GB2312"/>
                      <w:sz w:val="22"/>
                      <w:color w:val="000000"/>
                    </w:rPr>
                    <w:t xml:space="preserve"> ▲9.9变速器型式：CVT无级变速；</w:t>
                  </w:r>
                  <w:r>
                    <w:br/>
                  </w:r>
                  <w:r>
                    <w:rPr>
                      <w:rFonts w:ascii="仿宋_GB2312" w:hAnsi="仿宋_GB2312" w:cs="仿宋_GB2312" w:eastAsia="仿宋_GB2312"/>
                      <w:sz w:val="22"/>
                      <w:color w:val="000000"/>
                    </w:rPr>
                    <w:t xml:space="preserve"> ▲9.10驱动形式：2WD/4WD电控切换；</w:t>
                  </w:r>
                  <w:r>
                    <w:br/>
                  </w:r>
                  <w:r>
                    <w:rPr>
                      <w:rFonts w:ascii="仿宋_GB2312" w:hAnsi="仿宋_GB2312" w:cs="仿宋_GB2312" w:eastAsia="仿宋_GB2312"/>
                      <w:sz w:val="22"/>
                      <w:color w:val="000000"/>
                    </w:rPr>
                    <w:t xml:space="preserve"> ▲9.11提供国家认可并授权的检测检验机构出具的符合国家（行业）标准的底盘报告作为评审依据。</w:t>
                  </w:r>
                  <w:r>
                    <w:br/>
                  </w:r>
                  <w:r>
                    <w:rPr>
                      <w:rFonts w:ascii="仿宋_GB2312" w:hAnsi="仿宋_GB2312" w:cs="仿宋_GB2312" w:eastAsia="仿宋_GB2312"/>
                      <w:sz w:val="22"/>
                      <w:color w:val="000000"/>
                    </w:rPr>
                    <w:t xml:space="preserve"> 10.消防泵组灭火装置基本参数要求：</w:t>
                  </w:r>
                  <w:r>
                    <w:br/>
                  </w:r>
                  <w:r>
                    <w:rPr>
                      <w:rFonts w:ascii="仿宋_GB2312" w:hAnsi="仿宋_GB2312" w:cs="仿宋_GB2312" w:eastAsia="仿宋_GB2312"/>
                      <w:sz w:val="22"/>
                      <w:color w:val="000000"/>
                    </w:rPr>
                    <w:t xml:space="preserve"> ▲10.1发动机参数：单缸、四冲程、风冷、水平轴输出汽油发动机；</w:t>
                  </w:r>
                  <w:r>
                    <w:br/>
                  </w:r>
                  <w:r>
                    <w:rPr>
                      <w:rFonts w:ascii="仿宋_GB2312" w:hAnsi="仿宋_GB2312" w:cs="仿宋_GB2312" w:eastAsia="仿宋_GB2312"/>
                      <w:sz w:val="22"/>
                      <w:color w:val="000000"/>
                    </w:rPr>
                    <w:t xml:space="preserve"> ▲10.2水泵类型：双级离心泵；</w:t>
                  </w:r>
                  <w:r>
                    <w:br/>
                  </w:r>
                  <w:r>
                    <w:rPr>
                      <w:rFonts w:ascii="仿宋_GB2312" w:hAnsi="仿宋_GB2312" w:cs="仿宋_GB2312" w:eastAsia="仿宋_GB2312"/>
                      <w:sz w:val="22"/>
                      <w:color w:val="000000"/>
                    </w:rPr>
                    <w:t xml:space="preserve"> ▲10.3发动机功率：≥6.0kW；</w:t>
                  </w:r>
                  <w:r>
                    <w:br/>
                  </w:r>
                  <w:r>
                    <w:rPr>
                      <w:rFonts w:ascii="仿宋_GB2312" w:hAnsi="仿宋_GB2312" w:cs="仿宋_GB2312" w:eastAsia="仿宋_GB2312"/>
                      <w:sz w:val="22"/>
                      <w:color w:val="000000"/>
                    </w:rPr>
                    <w:t xml:space="preserve"> ▲10.4发动机排量：≥270mL；</w:t>
                  </w:r>
                  <w:r>
                    <w:br/>
                  </w:r>
                  <w:r>
                    <w:rPr>
                      <w:rFonts w:ascii="仿宋_GB2312" w:hAnsi="仿宋_GB2312" w:cs="仿宋_GB2312" w:eastAsia="仿宋_GB2312"/>
                      <w:sz w:val="22"/>
                      <w:color w:val="000000"/>
                    </w:rPr>
                    <w:t xml:space="preserve"> ▲10.5额定工况：压力0.60MPa时，流量≥3.5L/s；</w:t>
                  </w:r>
                  <w:r>
                    <w:br/>
                  </w:r>
                  <w:r>
                    <w:rPr>
                      <w:rFonts w:ascii="仿宋_GB2312" w:hAnsi="仿宋_GB2312" w:cs="仿宋_GB2312" w:eastAsia="仿宋_GB2312"/>
                      <w:sz w:val="22"/>
                      <w:color w:val="000000"/>
                    </w:rPr>
                    <w:t xml:space="preserve"> ▲10.6最大压力：≥1.00MPa；</w:t>
                  </w:r>
                  <w:r>
                    <w:br/>
                  </w:r>
                  <w:r>
                    <w:rPr>
                      <w:rFonts w:ascii="仿宋_GB2312" w:hAnsi="仿宋_GB2312" w:cs="仿宋_GB2312" w:eastAsia="仿宋_GB2312"/>
                      <w:sz w:val="22"/>
                      <w:color w:val="000000"/>
                    </w:rPr>
                    <w:t xml:space="preserve"> ▲10.7最大流量：≥5.00L/s；</w:t>
                  </w:r>
                  <w:r>
                    <w:br/>
                  </w:r>
                  <w:r>
                    <w:rPr>
                      <w:rFonts w:ascii="仿宋_GB2312" w:hAnsi="仿宋_GB2312" w:cs="仿宋_GB2312" w:eastAsia="仿宋_GB2312"/>
                      <w:sz w:val="22"/>
                      <w:color w:val="000000"/>
                    </w:rPr>
                    <w:t xml:space="preserve"> ▲10.8最大扬程：≥100m；</w:t>
                  </w:r>
                  <w:r>
                    <w:br/>
                  </w:r>
                  <w:r>
                    <w:rPr>
                      <w:rFonts w:ascii="仿宋_GB2312" w:hAnsi="仿宋_GB2312" w:cs="仿宋_GB2312" w:eastAsia="仿宋_GB2312"/>
                      <w:sz w:val="22"/>
                      <w:color w:val="000000"/>
                    </w:rPr>
                    <w:t xml:space="preserve"> ▲10.9整机净重：≤30kg；</w:t>
                  </w:r>
                  <w:r>
                    <w:br/>
                  </w:r>
                  <w:r>
                    <w:rPr>
                      <w:rFonts w:ascii="仿宋_GB2312" w:hAnsi="仿宋_GB2312" w:cs="仿宋_GB2312" w:eastAsia="仿宋_GB2312"/>
                      <w:sz w:val="22"/>
                      <w:color w:val="000000"/>
                    </w:rPr>
                    <w:t xml:space="preserve"> ▲10.10符合GB6245-2006《消防泵》标准要求，提供国家认可的检测检验机构出具的盖有CMA、CNAS等印章的检验检测报告作为评审依据；</w:t>
                  </w:r>
                  <w:r>
                    <w:br/>
                  </w:r>
                  <w:r>
                    <w:rPr>
                      <w:rFonts w:ascii="仿宋_GB2312" w:hAnsi="仿宋_GB2312" w:cs="仿宋_GB2312" w:eastAsia="仿宋_GB2312"/>
                      <w:sz w:val="22"/>
                      <w:color w:val="000000"/>
                    </w:rPr>
                    <w:t xml:space="preserve"> ▲10.11每台消防泵具有固定安置的铭牌，可通过扫描二维码观看使用操作视频。</w:t>
                  </w:r>
                  <w:r>
                    <w:br/>
                  </w:r>
                  <w:r>
                    <w:rPr>
                      <w:rFonts w:ascii="仿宋_GB2312" w:hAnsi="仿宋_GB2312" w:cs="仿宋_GB2312" w:eastAsia="仿宋_GB2312"/>
                      <w:sz w:val="22"/>
                      <w:color w:val="000000"/>
                    </w:rPr>
                    <w:t xml:space="preserve"> ▲11.警灯、警报器：LED警灯，主机有U盘插口，能够播放音频文件，具有宣传功能；操作控制板集成喊话、播放音频、音量调节、暂停、播放、开启警灯及警报功能。</w:t>
                  </w:r>
                  <w:r>
                    <w:br/>
                  </w:r>
                  <w:r>
                    <w:rPr>
                      <w:rFonts w:ascii="仿宋_GB2312" w:hAnsi="仿宋_GB2312" w:cs="仿宋_GB2312" w:eastAsia="仿宋_GB2312"/>
                      <w:sz w:val="22"/>
                      <w:color w:val="000000"/>
                    </w:rPr>
                    <w:t xml:space="preserve"> ▲12.随车附件：吸水管1根（含止回底阀1个）、手动引水器1套、水基灭火器2具、干粉灭火器2具、组合工具包2套、水带4盘、三孔一体直流水枪1支（增程枪头1个）、水雾喷枪1支（直流、喷雾枪头各1个）、音频U盘1只、随车工具1套、合格证1份、使用说明书1本；</w:t>
                  </w:r>
                  <w:r>
                    <w:br/>
                  </w:r>
                  <w:r>
                    <w:rPr>
                      <w:rFonts w:ascii="仿宋_GB2312" w:hAnsi="仿宋_GB2312" w:cs="仿宋_GB2312" w:eastAsia="仿宋_GB2312"/>
                      <w:sz w:val="22"/>
                      <w:color w:val="000000"/>
                    </w:rPr>
                    <w:t xml:space="preserve"> ▲13.车身颜色为消防红色，配有顶棚、挡玻、警灯、警具。</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标的名称：为省十八运购置消防智能机器狗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2"/>
              <w:gridCol w:w="139"/>
              <w:gridCol w:w="156"/>
              <w:gridCol w:w="2103"/>
            </w:tblGrid>
            <w:tr>
              <w:tc>
                <w:tcPr>
                  <w:tcW w:type="dxa" w:w="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消防智能机器狗</w:t>
                  </w:r>
                </w:p>
              </w:tc>
              <w:tc>
                <w:tcPr>
                  <w:tcW w:type="dxa" w:w="1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21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1.产品名称：轮式四足机器人；</w:t>
                  </w:r>
                  <w:r>
                    <w:br/>
                  </w:r>
                  <w:r>
                    <w:rPr>
                      <w:rFonts w:ascii="仿宋_GB2312" w:hAnsi="仿宋_GB2312" w:cs="仿宋_GB2312" w:eastAsia="仿宋_GB2312"/>
                      <w:sz w:val="22"/>
                      <w:color w:val="000000"/>
                    </w:rPr>
                    <w:t xml:space="preserve"> ▲2.灾害现场侦察监测、危险环境作业、救援辅助，四足机器人可替代人员进入极端危险场暑执行侦察、搜救、物资输送任务；</w:t>
                  </w:r>
                  <w:r>
                    <w:br/>
                  </w:r>
                  <w:r>
                    <w:rPr>
                      <w:rFonts w:ascii="仿宋_GB2312" w:hAnsi="仿宋_GB2312" w:cs="仿宋_GB2312" w:eastAsia="仿宋_GB2312"/>
                      <w:sz w:val="22"/>
                      <w:color w:val="000000"/>
                    </w:rPr>
                    <w:t xml:space="preserve"> 3.主要用途：</w:t>
                  </w:r>
                  <w:r>
                    <w:br/>
                  </w:r>
                  <w:r>
                    <w:rPr>
                      <w:rFonts w:ascii="仿宋_GB2312" w:hAnsi="仿宋_GB2312" w:cs="仿宋_GB2312" w:eastAsia="仿宋_GB2312"/>
                      <w:sz w:val="22"/>
                      <w:color w:val="000000"/>
                    </w:rPr>
                    <w:t xml:space="preserve"> ▲3.1火灾现场侦察与监测：配备热成像、气体检测等多种传感器，进入火灾现场实时监测温度、气体浓度数据；在复杂或坍塌建筑中灵活移动，识别障碍物并绘制现场地图；</w:t>
                  </w:r>
                  <w:r>
                    <w:br/>
                  </w:r>
                  <w:r>
                    <w:rPr>
                      <w:rFonts w:ascii="仿宋_GB2312" w:hAnsi="仿宋_GB2312" w:cs="仿宋_GB2312" w:eastAsia="仿宋_GB2312"/>
                      <w:sz w:val="22"/>
                      <w:color w:val="000000"/>
                    </w:rPr>
                    <w:t xml:space="preserve"> ▲3.2危险环境作业：承受高温、有毒气体等极端环境，进入人类难以到达的区域执行任务(化工厂、核电站等)；深入坍塌废墟搜寻被困人员并传递信息；</w:t>
                  </w:r>
                  <w:r>
                    <w:br/>
                  </w:r>
                  <w:r>
                    <w:rPr>
                      <w:rFonts w:ascii="仿宋_GB2312" w:hAnsi="仿宋_GB2312" w:cs="仿宋_GB2312" w:eastAsia="仿宋_GB2312"/>
                      <w:sz w:val="22"/>
                      <w:color w:val="000000"/>
                    </w:rPr>
                    <w:t xml:space="preserve"> ▲4.站立尺寸(长x宽x高)≥ 900mm*500mm*600mm；</w:t>
                  </w:r>
                  <w:r>
                    <w:br/>
                  </w:r>
                  <w:r>
                    <w:rPr>
                      <w:rFonts w:ascii="仿宋_GB2312" w:hAnsi="仿宋_GB2312" w:cs="仿宋_GB2312" w:eastAsia="仿宋_GB2312"/>
                      <w:sz w:val="22"/>
                      <w:color w:val="000000"/>
                    </w:rPr>
                    <w:t xml:space="preserve"> ▲5.工作温度范围：-20℃~55℃；</w:t>
                  </w:r>
                  <w:r>
                    <w:br/>
                  </w:r>
                  <w:r>
                    <w:rPr>
                      <w:rFonts w:ascii="仿宋_GB2312" w:hAnsi="仿宋_GB2312" w:cs="仿宋_GB2312" w:eastAsia="仿宋_GB2312"/>
                      <w:sz w:val="22"/>
                      <w:color w:val="000000"/>
                    </w:rPr>
                    <w:t xml:space="preserve"> ▲6.续航时间：空载≥4h；满载≥2h；</w:t>
                  </w:r>
                  <w:r>
                    <w:br/>
                  </w:r>
                  <w:r>
                    <w:rPr>
                      <w:rFonts w:ascii="仿宋_GB2312" w:hAnsi="仿宋_GB2312" w:cs="仿宋_GB2312" w:eastAsia="仿宋_GB2312"/>
                      <w:sz w:val="22"/>
                      <w:color w:val="000000"/>
                    </w:rPr>
                    <w:t xml:space="preserve"> ▲7.动态负载：≥70kg；</w:t>
                  </w:r>
                  <w:r>
                    <w:br/>
                  </w:r>
                  <w:r>
                    <w:rPr>
                      <w:rFonts w:ascii="仿宋_GB2312" w:hAnsi="仿宋_GB2312" w:cs="仿宋_GB2312" w:eastAsia="仿宋_GB2312"/>
                      <w:sz w:val="22"/>
                      <w:color w:val="000000"/>
                    </w:rPr>
                    <w:t xml:space="preserve"> ▲8.运动功能：支持多种运动步态，抗干扰能力强，适应复杂地形行走；</w:t>
                  </w:r>
                  <w:r>
                    <w:br/>
                  </w:r>
                  <w:r>
                    <w:rPr>
                      <w:rFonts w:ascii="仿宋_GB2312" w:hAnsi="仿宋_GB2312" w:cs="仿宋_GB2312" w:eastAsia="仿宋_GB2312"/>
                      <w:sz w:val="22"/>
                      <w:color w:val="000000"/>
                    </w:rPr>
                    <w:t xml:space="preserve"> ▲9.负载状态下可正常上下楼梯，适应不同光照环境；</w:t>
                  </w:r>
                  <w:r>
                    <w:br/>
                  </w:r>
                  <w:r>
                    <w:rPr>
                      <w:rFonts w:ascii="仿宋_GB2312" w:hAnsi="仿宋_GB2312" w:cs="仿宋_GB2312" w:eastAsia="仿宋_GB2312"/>
                      <w:sz w:val="22"/>
                      <w:color w:val="000000"/>
                    </w:rPr>
                    <w:t xml:space="preserve"> ▲10.制动性能：在5m/s速度下制动距离≤0.5m；爬坡和爬楼梯过程中操作人员停止操作时具备紧急制动功能；</w:t>
                  </w:r>
                  <w:r>
                    <w:br/>
                  </w:r>
                  <w:r>
                    <w:rPr>
                      <w:rFonts w:ascii="仿宋_GB2312" w:hAnsi="仿宋_GB2312" w:cs="仿宋_GB2312" w:eastAsia="仿宋_GB2312"/>
                      <w:sz w:val="22"/>
                      <w:color w:val="000000"/>
                    </w:rPr>
                    <w:t xml:space="preserve"> ▲11.自扶正功能：具备自扶正能力；</w:t>
                  </w:r>
                  <w:r>
                    <w:br/>
                  </w:r>
                  <w:r>
                    <w:rPr>
                      <w:rFonts w:ascii="仿宋_GB2312" w:hAnsi="仿宋_GB2312" w:cs="仿宋_GB2312" w:eastAsia="仿宋_GB2312"/>
                      <w:sz w:val="22"/>
                      <w:color w:val="000000"/>
                    </w:rPr>
                    <w:t xml:space="preserve"> ▲12.材料：机器人机身、大腿、小腿、等主体结构采用全复合金属材料，具备耐磨、高机械强度、防火阻燃特性；</w:t>
                  </w:r>
                  <w:r>
                    <w:br/>
                  </w:r>
                  <w:r>
                    <w:rPr>
                      <w:rFonts w:ascii="仿宋_GB2312" w:hAnsi="仿宋_GB2312" w:cs="仿宋_GB2312" w:eastAsia="仿宋_GB2312"/>
                      <w:sz w:val="22"/>
                      <w:color w:val="000000"/>
                    </w:rPr>
                    <w:t xml:space="preserve"> ▲13.安全功能：具备360°全向停障、绕障功能，自主避障；</w:t>
                  </w:r>
                  <w:r>
                    <w:br/>
                  </w:r>
                  <w:r>
                    <w:rPr>
                      <w:rFonts w:ascii="仿宋_GB2312" w:hAnsi="仿宋_GB2312" w:cs="仿宋_GB2312" w:eastAsia="仿宋_GB2312"/>
                      <w:sz w:val="22"/>
                      <w:color w:val="000000"/>
                    </w:rPr>
                    <w:t xml:space="preserve"> ▲14.远程语音对接：遥控端与机器人端支持实时远程语音对讲，实现现场与后台双向通信；</w:t>
                  </w:r>
                  <w:r>
                    <w:br/>
                  </w:r>
                  <w:r>
                    <w:rPr>
                      <w:rFonts w:ascii="仿宋_GB2312" w:hAnsi="仿宋_GB2312" w:cs="仿宋_GB2312" w:eastAsia="仿宋_GB2312"/>
                      <w:sz w:val="22"/>
                      <w:color w:val="000000"/>
                    </w:rPr>
                    <w:t xml:space="preserve"> ▲15.通讯模块：发射功率≥2x5W，射频通道2T2R；</w:t>
                  </w:r>
                  <w:r>
                    <w:br/>
                  </w:r>
                  <w:r>
                    <w:rPr>
                      <w:rFonts w:ascii="仿宋_GB2312" w:hAnsi="仿宋_GB2312" w:cs="仿宋_GB2312" w:eastAsia="仿宋_GB2312"/>
                      <w:sz w:val="22"/>
                      <w:color w:val="000000"/>
                    </w:rPr>
                    <w:t xml:space="preserve"> 16.可见光成像：</w:t>
                  </w:r>
                  <w:r>
                    <w:br/>
                  </w:r>
                  <w:r>
                    <w:rPr>
                      <w:rFonts w:ascii="仿宋_GB2312" w:hAnsi="仿宋_GB2312" w:cs="仿宋_GB2312" w:eastAsia="仿宋_GB2312"/>
                      <w:sz w:val="22"/>
                      <w:color w:val="000000"/>
                    </w:rPr>
                    <w:t xml:space="preserve"> ▲16.1.图像传感器：1/2.7＂Progressive Scan CMOS；</w:t>
                  </w:r>
                  <w:r>
                    <w:br/>
                  </w:r>
                  <w:r>
                    <w:rPr>
                      <w:rFonts w:ascii="仿宋_GB2312" w:hAnsi="仿宋_GB2312" w:cs="仿宋_GB2312" w:eastAsia="仿宋_GB2312"/>
                      <w:sz w:val="22"/>
                      <w:color w:val="000000"/>
                    </w:rPr>
                    <w:t xml:space="preserve"> ▲16.2.最大像素：2688*1520；</w:t>
                  </w:r>
                  <w:r>
                    <w:br/>
                  </w:r>
                  <w:r>
                    <w:rPr>
                      <w:rFonts w:ascii="仿宋_GB2312" w:hAnsi="仿宋_GB2312" w:cs="仿宋_GB2312" w:eastAsia="仿宋_GB2312"/>
                      <w:sz w:val="22"/>
                      <w:color w:val="000000"/>
                    </w:rPr>
                    <w:t xml:space="preserve"> ▲16.3.可见光像素： 400万；</w:t>
                  </w:r>
                  <w:r>
                    <w:br/>
                  </w:r>
                  <w:r>
                    <w:rPr>
                      <w:rFonts w:ascii="仿宋_GB2312" w:hAnsi="仿宋_GB2312" w:cs="仿宋_GB2312" w:eastAsia="仿宋_GB2312"/>
                      <w:sz w:val="22"/>
                      <w:color w:val="000000"/>
                    </w:rPr>
                    <w:t xml:space="preserve"> ▲16.4.最低照度：0.003 Lux/F1.65（彩色），0.0021Lux/F1.65（黑白）；</w:t>
                  </w:r>
                  <w:r>
                    <w:br/>
                  </w:r>
                  <w:r>
                    <w:rPr>
                      <w:rFonts w:ascii="仿宋_GB2312" w:hAnsi="仿宋_GB2312" w:cs="仿宋_GB2312" w:eastAsia="仿宋_GB2312"/>
                      <w:sz w:val="22"/>
                      <w:color w:val="000000"/>
                    </w:rPr>
                    <w:t xml:space="preserve"> ▲16.5.镜头焦距：4.5-148.5mm；</w:t>
                  </w:r>
                  <w:r>
                    <w:br/>
                  </w:r>
                  <w:r>
                    <w:rPr>
                      <w:rFonts w:ascii="仿宋_GB2312" w:hAnsi="仿宋_GB2312" w:cs="仿宋_GB2312" w:eastAsia="仿宋_GB2312"/>
                      <w:sz w:val="22"/>
                      <w:color w:val="000000"/>
                    </w:rPr>
                    <w:t xml:space="preserve"> ▲16.6.光学变倍：30倍；</w:t>
                  </w:r>
                  <w:r>
                    <w:br/>
                  </w:r>
                  <w:r>
                    <w:rPr>
                      <w:rFonts w:ascii="仿宋_GB2312" w:hAnsi="仿宋_GB2312" w:cs="仿宋_GB2312" w:eastAsia="仿宋_GB2312"/>
                      <w:sz w:val="22"/>
                      <w:color w:val="000000"/>
                    </w:rPr>
                    <w:t xml:space="preserve"> ▲16.7.数字变倍：15倍；</w:t>
                  </w:r>
                  <w:r>
                    <w:br/>
                  </w:r>
                  <w:r>
                    <w:rPr>
                      <w:rFonts w:ascii="仿宋_GB2312" w:hAnsi="仿宋_GB2312" w:cs="仿宋_GB2312" w:eastAsia="仿宋_GB2312"/>
                      <w:sz w:val="22"/>
                      <w:color w:val="000000"/>
                    </w:rPr>
                    <w:t xml:space="preserve"> ▲16.8.水平视场角：57-3.5°（广角-望远）；</w:t>
                  </w:r>
                  <w:r>
                    <w:br/>
                  </w:r>
                  <w:r>
                    <w:rPr>
                      <w:rFonts w:ascii="仿宋_GB2312" w:hAnsi="仿宋_GB2312" w:cs="仿宋_GB2312" w:eastAsia="仿宋_GB2312"/>
                      <w:sz w:val="22"/>
                      <w:color w:val="000000"/>
                    </w:rPr>
                    <w:t xml:space="preserve"> ▲16.9.红外补光：50米；</w:t>
                  </w:r>
                  <w:r>
                    <w:br/>
                  </w:r>
                  <w:r>
                    <w:rPr>
                      <w:rFonts w:ascii="仿宋_GB2312" w:hAnsi="仿宋_GB2312" w:cs="仿宋_GB2312" w:eastAsia="仿宋_GB2312"/>
                      <w:sz w:val="22"/>
                      <w:color w:val="000000"/>
                    </w:rPr>
                    <w:t xml:space="preserve"> 17.红外热成像：</w:t>
                  </w:r>
                  <w:r>
                    <w:br/>
                  </w:r>
                  <w:r>
                    <w:rPr>
                      <w:rFonts w:ascii="仿宋_GB2312" w:hAnsi="仿宋_GB2312" w:cs="仿宋_GB2312" w:eastAsia="仿宋_GB2312"/>
                      <w:sz w:val="22"/>
                      <w:color w:val="000000"/>
                    </w:rPr>
                    <w:t xml:space="preserve"> ▲17.1.探测器类型号：非制冷氧化钒红外焦平面探测器；</w:t>
                  </w:r>
                  <w:r>
                    <w:br/>
                  </w:r>
                  <w:r>
                    <w:rPr>
                      <w:rFonts w:ascii="仿宋_GB2312" w:hAnsi="仿宋_GB2312" w:cs="仿宋_GB2312" w:eastAsia="仿宋_GB2312"/>
                      <w:sz w:val="22"/>
                      <w:color w:val="000000"/>
                    </w:rPr>
                    <w:t xml:space="preserve"> ▲17.2.探测器像素：640*512；</w:t>
                  </w:r>
                  <w:r>
                    <w:br/>
                  </w:r>
                  <w:r>
                    <w:rPr>
                      <w:rFonts w:ascii="仿宋_GB2312" w:hAnsi="仿宋_GB2312" w:cs="仿宋_GB2312" w:eastAsia="仿宋_GB2312"/>
                      <w:sz w:val="22"/>
                      <w:color w:val="000000"/>
                    </w:rPr>
                    <w:t xml:space="preserve"> ▲17.3.焦距：25mm；</w:t>
                  </w:r>
                  <w:r>
                    <w:br/>
                  </w:r>
                  <w:r>
                    <w:rPr>
                      <w:rFonts w:ascii="仿宋_GB2312" w:hAnsi="仿宋_GB2312" w:cs="仿宋_GB2312" w:eastAsia="仿宋_GB2312"/>
                      <w:sz w:val="22"/>
                      <w:color w:val="000000"/>
                    </w:rPr>
                    <w:t xml:space="preserve"> ▲17.4.测温范围 ：低温：-20~150℃；高温：0~550℃；</w:t>
                  </w:r>
                  <w:r>
                    <w:br/>
                  </w:r>
                  <w:r>
                    <w:rPr>
                      <w:rFonts w:ascii="仿宋_GB2312" w:hAnsi="仿宋_GB2312" w:cs="仿宋_GB2312" w:eastAsia="仿宋_GB2312"/>
                      <w:sz w:val="22"/>
                      <w:color w:val="000000"/>
                    </w:rPr>
                    <w:t xml:space="preserve"> ▲17.5.适用于夜间、烟雾或遮挡物较多的环境，测温距离≥20m；</w:t>
                  </w:r>
                  <w:r>
                    <w:br/>
                  </w:r>
                  <w:r>
                    <w:rPr>
                      <w:rFonts w:ascii="仿宋_GB2312" w:hAnsi="仿宋_GB2312" w:cs="仿宋_GB2312" w:eastAsia="仿宋_GB2312"/>
                      <w:sz w:val="22"/>
                      <w:color w:val="000000"/>
                    </w:rPr>
                    <w:t xml:space="preserve"> ▲18.垂直角度：-10°(俯视)~+90°(仰视)；</w:t>
                  </w:r>
                  <w:r>
                    <w:br/>
                  </w:r>
                  <w:r>
                    <w:rPr>
                      <w:rFonts w:ascii="仿宋_GB2312" w:hAnsi="仿宋_GB2312" w:cs="仿宋_GB2312" w:eastAsia="仿宋_GB2312"/>
                      <w:sz w:val="22"/>
                      <w:color w:val="000000"/>
                    </w:rPr>
                    <w:t xml:space="preserve"> ▲19.水平角度：水平360°连续旋转；</w:t>
                  </w:r>
                  <w:r>
                    <w:br/>
                  </w:r>
                  <w:r>
                    <w:rPr>
                      <w:rFonts w:ascii="仿宋_GB2312" w:hAnsi="仿宋_GB2312" w:cs="仿宋_GB2312" w:eastAsia="仿宋_GB2312"/>
                      <w:sz w:val="22"/>
                      <w:color w:val="000000"/>
                    </w:rPr>
                    <w:t xml:space="preserve"> ▲20.工作环境：工作湿度&lt;90%；</w:t>
                  </w:r>
                  <w:r>
                    <w:br/>
                  </w:r>
                  <w:r>
                    <w:rPr>
                      <w:rFonts w:ascii="仿宋_GB2312" w:hAnsi="仿宋_GB2312" w:cs="仿宋_GB2312" w:eastAsia="仿宋_GB2312"/>
                      <w:sz w:val="22"/>
                      <w:color w:val="000000"/>
                    </w:rPr>
                    <w:t xml:space="preserve"> ▲21. LED补光：支持LED补光；</w:t>
                  </w:r>
                  <w:r>
                    <w:br/>
                  </w:r>
                  <w:r>
                    <w:rPr>
                      <w:rFonts w:ascii="仿宋_GB2312" w:hAnsi="仿宋_GB2312" w:cs="仿宋_GB2312" w:eastAsia="仿宋_GB2312"/>
                      <w:sz w:val="22"/>
                      <w:color w:val="000000"/>
                    </w:rPr>
                    <w:t xml:space="preserve"> ▲22.最大爬坡坡度：±45°；</w:t>
                  </w:r>
                  <w:r>
                    <w:br/>
                  </w:r>
                  <w:r>
                    <w:rPr>
                      <w:rFonts w:ascii="仿宋_GB2312" w:hAnsi="仿宋_GB2312" w:cs="仿宋_GB2312" w:eastAsia="仿宋_GB2312"/>
                      <w:sz w:val="22"/>
                      <w:color w:val="000000"/>
                    </w:rPr>
                    <w:t xml:space="preserve"> ▲23.最大越障高度：80cm；</w:t>
                  </w:r>
                  <w:r>
                    <w:br/>
                  </w:r>
                  <w:r>
                    <w:rPr>
                      <w:rFonts w:ascii="仿宋_GB2312" w:hAnsi="仿宋_GB2312" w:cs="仿宋_GB2312" w:eastAsia="仿宋_GB2312"/>
                      <w:sz w:val="22"/>
                      <w:color w:val="000000"/>
                    </w:rPr>
                    <w:t xml:space="preserve"> ▲24.额定负载下，跨越挡板高度≥50cm，挡板厚度≤10cm；</w:t>
                  </w:r>
                  <w:r>
                    <w:br/>
                  </w:r>
                  <w:r>
                    <w:rPr>
                      <w:rFonts w:ascii="仿宋_GB2312" w:hAnsi="仿宋_GB2312" w:cs="仿宋_GB2312" w:eastAsia="仿宋_GB2312"/>
                      <w:sz w:val="22"/>
                      <w:color w:val="000000"/>
                    </w:rPr>
                    <w:t xml:space="preserve"> ▲25.最大攀爬楼梯台阶高度：20cm；</w:t>
                  </w:r>
                  <w:r>
                    <w:br/>
                  </w:r>
                  <w:r>
                    <w:rPr>
                      <w:rFonts w:ascii="仿宋_GB2312" w:hAnsi="仿宋_GB2312" w:cs="仿宋_GB2312" w:eastAsia="仿宋_GB2312"/>
                      <w:sz w:val="22"/>
                      <w:color w:val="000000"/>
                    </w:rPr>
                    <w:t xml:space="preserve"> ▲26.扩展供电接口：5V、12V、24V、48V，供电功率≥480W；</w:t>
                  </w:r>
                  <w:r>
                    <w:br/>
                  </w:r>
                  <w:r>
                    <w:rPr>
                      <w:rFonts w:ascii="仿宋_GB2312" w:hAnsi="仿宋_GB2312" w:cs="仿宋_GB2312" w:eastAsia="仿宋_GB2312"/>
                      <w:sz w:val="22"/>
                      <w:color w:val="000000"/>
                    </w:rPr>
                    <w:t xml:space="preserve"> ▲27.支持双电池、快拆快换、支持热插拔、随插随换，无需停机；</w:t>
                  </w:r>
                  <w:r>
                    <w:br/>
                  </w:r>
                  <w:r>
                    <w:rPr>
                      <w:rFonts w:ascii="仿宋_GB2312" w:hAnsi="仿宋_GB2312" w:cs="仿宋_GB2312" w:eastAsia="仿宋_GB2312"/>
                      <w:sz w:val="22"/>
                      <w:color w:val="000000"/>
                    </w:rPr>
                    <w:t xml:space="preserve"> ▲28.保护模式：支持软/硬急停保护；支持低电量报警、过温报警等；</w:t>
                  </w:r>
                  <w:r>
                    <w:br/>
                  </w:r>
                  <w:r>
                    <w:rPr>
                      <w:rFonts w:ascii="仿宋_GB2312" w:hAnsi="仿宋_GB2312" w:cs="仿宋_GB2312" w:eastAsia="仿宋_GB2312"/>
                      <w:sz w:val="22"/>
                      <w:color w:val="000000"/>
                    </w:rPr>
                    <w:t xml:space="preserve"> ▲29.抗干扰能力：支持在遇到冲击时，通过自身姿态的调整，尽量保持平衡不摔倒；当摔倒之后，可以自动恢复站立；</w:t>
                  </w:r>
                  <w:r>
                    <w:br/>
                  </w:r>
                  <w:r>
                    <w:rPr>
                      <w:rFonts w:ascii="仿宋_GB2312" w:hAnsi="仿宋_GB2312" w:cs="仿宋_GB2312" w:eastAsia="仿宋_GB2312"/>
                      <w:sz w:val="22"/>
                      <w:color w:val="000000"/>
                    </w:rPr>
                    <w:t xml:space="preserve"> ▲30.支持手动充电、自动充电等多种充电方式；</w:t>
                  </w:r>
                  <w:r>
                    <w:br/>
                  </w:r>
                  <w:r>
                    <w:rPr>
                      <w:rFonts w:ascii="仿宋_GB2312" w:hAnsi="仿宋_GB2312" w:cs="仿宋_GB2312" w:eastAsia="仿宋_GB2312"/>
                      <w:sz w:val="22"/>
                      <w:color w:val="000000"/>
                    </w:rPr>
                    <w:t xml:space="preserve"> ▲31.轮/足切换：支持轮足、点足更换；</w:t>
                  </w:r>
                  <w:r>
                    <w:br/>
                  </w:r>
                  <w:r>
                    <w:rPr>
                      <w:rFonts w:ascii="仿宋_GB2312" w:hAnsi="仿宋_GB2312" w:cs="仿宋_GB2312" w:eastAsia="仿宋_GB2312"/>
                      <w:sz w:val="22"/>
                      <w:color w:val="000000"/>
                    </w:rPr>
                    <w:t xml:space="preserve"> ▲32.支持前后向切换功能，具备前后向视觉，支持原地调头；▲33.防护等级：IP67；</w:t>
                  </w:r>
                  <w:r>
                    <w:br/>
                  </w:r>
                  <w:r>
                    <w:rPr>
                      <w:rFonts w:ascii="仿宋_GB2312" w:hAnsi="仿宋_GB2312" w:cs="仿宋_GB2312" w:eastAsia="仿宋_GB2312"/>
                      <w:sz w:val="22"/>
                      <w:color w:val="000000"/>
                    </w:rPr>
                    <w:t xml:space="preserve"> ▲34.通信方式：支持WIFI、射频两种无线通信，射频通信距离：500-1000米。</w:t>
                  </w:r>
                  <w:r>
                    <w:br/>
                  </w:r>
                  <w:r>
                    <w:rPr>
                      <w:rFonts w:ascii="仿宋_GB2312" w:hAnsi="仿宋_GB2312" w:cs="仿宋_GB2312" w:eastAsia="仿宋_GB2312"/>
                      <w:sz w:val="22"/>
                      <w:color w:val="000000"/>
                    </w:rPr>
                    <w:t xml:space="preserve"> ▲35.配置手持一体式遥控终端，机器人控制、、音视频采集于一体；支持视频录像、视频投屏；视频显示、机器人数据信息显示、防倾翻安全预警功能与报警信息显示集于同一个显示屏; </w:t>
                  </w:r>
                  <w:r>
                    <w:br/>
                  </w:r>
                  <w:r>
                    <w:rPr>
                      <w:rFonts w:ascii="仿宋_GB2312" w:hAnsi="仿宋_GB2312" w:cs="仿宋_GB2312" w:eastAsia="仿宋_GB2312"/>
                      <w:sz w:val="22"/>
                      <w:color w:val="000000"/>
                    </w:rPr>
                    <w:t xml:space="preserve"> 36.手持遥控终端：</w:t>
                  </w:r>
                  <w:r>
                    <w:br/>
                  </w:r>
                  <w:r>
                    <w:rPr>
                      <w:rFonts w:ascii="仿宋_GB2312" w:hAnsi="仿宋_GB2312" w:cs="仿宋_GB2312" w:eastAsia="仿宋_GB2312"/>
                      <w:sz w:val="22"/>
                      <w:color w:val="000000"/>
                    </w:rPr>
                    <w:t xml:space="preserve"> ▲36.1.屏幕尺寸：≥10.0英寸；</w:t>
                  </w:r>
                  <w:r>
                    <w:br/>
                  </w:r>
                  <w:r>
                    <w:rPr>
                      <w:rFonts w:ascii="仿宋_GB2312" w:hAnsi="仿宋_GB2312" w:cs="仿宋_GB2312" w:eastAsia="仿宋_GB2312"/>
                      <w:sz w:val="22"/>
                      <w:color w:val="000000"/>
                    </w:rPr>
                    <w:t xml:space="preserve"> ▲36.2.分辨率：≥1280×800；亮度：≥900nit；</w:t>
                  </w:r>
                  <w:r>
                    <w:br/>
                  </w:r>
                  <w:r>
                    <w:rPr>
                      <w:rFonts w:ascii="仿宋_GB2312" w:hAnsi="仿宋_GB2312" w:cs="仿宋_GB2312" w:eastAsia="仿宋_GB2312"/>
                      <w:sz w:val="22"/>
                      <w:color w:val="000000"/>
                    </w:rPr>
                    <w:t xml:space="preserve"> ▲36.3.网络：WIFI/蓝牙/以太网；</w:t>
                  </w:r>
                  <w:r>
                    <w:br/>
                  </w:r>
                  <w:r>
                    <w:rPr>
                      <w:rFonts w:ascii="仿宋_GB2312" w:hAnsi="仿宋_GB2312" w:cs="仿宋_GB2312" w:eastAsia="仿宋_GB2312"/>
                      <w:sz w:val="22"/>
                      <w:color w:val="000000"/>
                    </w:rPr>
                    <w:t xml:space="preserve"> ▲36.4.操作系统：至少支持Win10、Linux中的一种；</w:t>
                  </w:r>
                  <w:r>
                    <w:br/>
                  </w:r>
                  <w:r>
                    <w:rPr>
                      <w:rFonts w:ascii="仿宋_GB2312" w:hAnsi="仿宋_GB2312" w:cs="仿宋_GB2312" w:eastAsia="仿宋_GB2312"/>
                      <w:sz w:val="22"/>
                      <w:color w:val="000000"/>
                    </w:rPr>
                    <w:t xml:space="preserve"> ▲36.5.视频：通过自组网系统，可在遥控器显示四足机器狗前视、后视的高清实时画面，可实时录制当前视角的视频；</w:t>
                  </w:r>
                  <w:r>
                    <w:br/>
                  </w:r>
                  <w:r>
                    <w:rPr>
                      <w:rFonts w:ascii="仿宋_GB2312" w:hAnsi="仿宋_GB2312" w:cs="仿宋_GB2312" w:eastAsia="仿宋_GB2312"/>
                      <w:sz w:val="22"/>
                      <w:color w:val="000000"/>
                    </w:rPr>
                    <w:t xml:space="preserve"> ▲36.6.控制：能实现远程对机器人进行遥控，实现机器人的站立趴下、行走、跑步、上下楼梯、爬坡、障碍物跨越及复杂崎岖路面通过；</w:t>
                  </w:r>
                  <w:r>
                    <w:br/>
                  </w:r>
                  <w:r>
                    <w:rPr>
                      <w:rFonts w:ascii="仿宋_GB2312" w:hAnsi="仿宋_GB2312" w:cs="仿宋_GB2312" w:eastAsia="仿宋_GB2312"/>
                      <w:sz w:val="22"/>
                      <w:color w:val="000000"/>
                    </w:rPr>
                    <w:t xml:space="preserve"> ▲36.7.工作时间8h；</w:t>
                  </w:r>
                  <w:r>
                    <w:br/>
                  </w:r>
                  <w:r>
                    <w:rPr>
                      <w:rFonts w:ascii="仿宋_GB2312" w:hAnsi="仿宋_GB2312" w:cs="仿宋_GB2312" w:eastAsia="仿宋_GB2312"/>
                      <w:sz w:val="22"/>
                      <w:color w:val="000000"/>
                    </w:rPr>
                    <w:t xml:space="preserve"> ▲37.总通道数：≥20路；</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标的名称：为省十八运购置执勤保障物资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31"/>
              <w:gridCol w:w="144"/>
              <w:gridCol w:w="131"/>
              <w:gridCol w:w="148"/>
              <w:gridCol w:w="1994"/>
            </w:tblGrid>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消防救援执勤马甲（含配套随身执勤装备）</w:t>
                  </w: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200</w:t>
                  </w:r>
                </w:p>
              </w:tc>
              <w:tc>
                <w:tcPr>
                  <w:tcW w:type="dxa" w:w="19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1.马甲背心：</w:t>
                  </w:r>
                  <w:r>
                    <w:br/>
                  </w:r>
                  <w:r>
                    <w:rPr>
                      <w:rFonts w:ascii="仿宋_GB2312" w:hAnsi="仿宋_GB2312" w:cs="仿宋_GB2312" w:eastAsia="仿宋_GB2312"/>
                      <w:sz w:val="22"/>
                      <w:color w:val="000000"/>
                    </w:rPr>
                    <w:t xml:space="preserve"> ▲1.1消防执勤马甲主体材料采用双重网布飞织三明治面料，可装置便携式气溶胶灭火器、玻璃纤维灭火毯、测温仪、3M绝缘胶带、斜口钳；</w:t>
                  </w:r>
                  <w:r>
                    <w:br/>
                  </w:r>
                  <w:r>
                    <w:rPr>
                      <w:rFonts w:ascii="仿宋_GB2312" w:hAnsi="仿宋_GB2312" w:cs="仿宋_GB2312" w:eastAsia="仿宋_GB2312"/>
                      <w:sz w:val="22"/>
                      <w:color w:val="000000"/>
                    </w:rPr>
                    <w:t xml:space="preserve"> ▲1.2衣领：衣领为V领，衣领领口采用顺色面料或织带包边；袖窿：袖窿边缘采用顺色面料或织带包边；</w:t>
                  </w:r>
                  <w:r>
                    <w:br/>
                  </w:r>
                  <w:r>
                    <w:rPr>
                      <w:rFonts w:ascii="仿宋_GB2312" w:hAnsi="仿宋_GB2312" w:cs="仿宋_GB2312" w:eastAsia="仿宋_GB2312"/>
                      <w:sz w:val="22"/>
                      <w:color w:val="000000"/>
                    </w:rPr>
                    <w:t xml:space="preserve"> ▲1.3前身：前身反光标识带的上方和下方均设有固定袢带，用于悬挂对讲机、呼救器等，前身下摆设有悬挂系统，由多条横向≥2cm宽的顺色织带构成，均左右片对称；</w:t>
                  </w:r>
                  <w:r>
                    <w:br/>
                  </w:r>
                  <w:r>
                    <w:rPr>
                      <w:rFonts w:ascii="仿宋_GB2312" w:hAnsi="仿宋_GB2312" w:cs="仿宋_GB2312" w:eastAsia="仿宋_GB2312"/>
                      <w:sz w:val="22"/>
                      <w:color w:val="000000"/>
                    </w:rPr>
                    <w:t xml:space="preserve"> ▲1.4后身：后身设有提把带，背部由上至下前3行为魔术贴（毛面）形式，可另作为标识底托，下摆处设三条腰带穿道，用于穿束紧腰带，三条腰带穿道里侧中间各缝制一条防滑带。腰带采用顺色织带，宽度为4~5cm，卡扣应牢固可调节；</w:t>
                  </w:r>
                  <w:r>
                    <w:br/>
                  </w:r>
                  <w:r>
                    <w:rPr>
                      <w:rFonts w:ascii="仿宋_GB2312" w:hAnsi="仿宋_GB2312" w:cs="仿宋_GB2312" w:eastAsia="仿宋_GB2312"/>
                      <w:sz w:val="22"/>
                      <w:color w:val="000000"/>
                    </w:rPr>
                    <w:t xml:space="preserve"> ▲1.5侧身：侧身左右各设三条松紧调节袢，宽度≤4cm；</w:t>
                  </w:r>
                  <w:r>
                    <w:br/>
                  </w:r>
                  <w:r>
                    <w:rPr>
                      <w:rFonts w:ascii="仿宋_GB2312" w:hAnsi="仿宋_GB2312" w:cs="仿宋_GB2312" w:eastAsia="仿宋_GB2312"/>
                      <w:sz w:val="22"/>
                      <w:color w:val="000000"/>
                    </w:rPr>
                    <w:t xml:space="preserve"> ▲1.6执勤马甲标识均为可拆卸魔术贴反光银色标识印字：24款前胸标识、后背标识；</w:t>
                  </w:r>
                  <w:r>
                    <w:br/>
                  </w:r>
                  <w:r>
                    <w:rPr>
                      <w:rFonts w:ascii="仿宋_GB2312" w:hAnsi="仿宋_GB2312" w:cs="仿宋_GB2312" w:eastAsia="仿宋_GB2312"/>
                      <w:sz w:val="22"/>
                      <w:color w:val="000000"/>
                    </w:rPr>
                    <w:t xml:space="preserve"> ▲1.7马甲功能模块可拆卸更换位置；</w:t>
                  </w:r>
                  <w:r>
                    <w:br/>
                  </w:r>
                  <w:r>
                    <w:rPr>
                      <w:rFonts w:ascii="仿宋_GB2312" w:hAnsi="仿宋_GB2312" w:cs="仿宋_GB2312" w:eastAsia="仿宋_GB2312"/>
                      <w:sz w:val="22"/>
                      <w:color w:val="000000"/>
                    </w:rPr>
                    <w:t xml:space="preserve"> 2.便携式气溶胶灭火器：</w:t>
                  </w:r>
                  <w:r>
                    <w:br/>
                  </w:r>
                  <w:r>
                    <w:rPr>
                      <w:rFonts w:ascii="仿宋_GB2312" w:hAnsi="仿宋_GB2312" w:cs="仿宋_GB2312" w:eastAsia="仿宋_GB2312"/>
                      <w:sz w:val="22"/>
                      <w:color w:val="000000"/>
                    </w:rPr>
                    <w:t xml:space="preserve"> ▲2.1喷放距离:≥2m；</w:t>
                  </w:r>
                  <w:r>
                    <w:br/>
                  </w:r>
                  <w:r>
                    <w:rPr>
                      <w:rFonts w:ascii="仿宋_GB2312" w:hAnsi="仿宋_GB2312" w:cs="仿宋_GB2312" w:eastAsia="仿宋_GB2312"/>
                      <w:sz w:val="22"/>
                      <w:color w:val="000000"/>
                    </w:rPr>
                    <w:t xml:space="preserve"> ▲2.2喷放时间:≥10s；</w:t>
                  </w:r>
                  <w:r>
                    <w:br/>
                  </w:r>
                  <w:r>
                    <w:rPr>
                      <w:rFonts w:ascii="仿宋_GB2312" w:hAnsi="仿宋_GB2312" w:cs="仿宋_GB2312" w:eastAsia="仿宋_GB2312"/>
                      <w:sz w:val="22"/>
                      <w:color w:val="000000"/>
                    </w:rPr>
                    <w:t xml:space="preserve"> ▲2.3尺寸≤φ52mm *250mm；</w:t>
                  </w:r>
                  <w:r>
                    <w:br/>
                  </w:r>
                  <w:r>
                    <w:rPr>
                      <w:rFonts w:ascii="仿宋_GB2312" w:hAnsi="仿宋_GB2312" w:cs="仿宋_GB2312" w:eastAsia="仿宋_GB2312"/>
                      <w:sz w:val="22"/>
                      <w:color w:val="000000"/>
                    </w:rPr>
                    <w:t xml:space="preserve"> ▲2.4产品净重:500g±10g；</w:t>
                  </w:r>
                  <w:r>
                    <w:br/>
                  </w:r>
                  <w:r>
                    <w:rPr>
                      <w:rFonts w:ascii="仿宋_GB2312" w:hAnsi="仿宋_GB2312" w:cs="仿宋_GB2312" w:eastAsia="仿宋_GB2312"/>
                      <w:sz w:val="22"/>
                      <w:color w:val="000000"/>
                    </w:rPr>
                    <w:t xml:space="preserve"> ▲2.5壳体手持温度:≤75°C ；</w:t>
                  </w:r>
                  <w:r>
                    <w:br/>
                  </w:r>
                  <w:r>
                    <w:rPr>
                      <w:rFonts w:ascii="仿宋_GB2312" w:hAnsi="仿宋_GB2312" w:cs="仿宋_GB2312" w:eastAsia="仿宋_GB2312"/>
                      <w:sz w:val="22"/>
                      <w:color w:val="000000"/>
                    </w:rPr>
                    <w:t xml:space="preserve"> ▲2.6喷口温度距喷口:350mm处≤75°C  ；                                                     </w:t>
                  </w:r>
                  <w:r>
                    <w:br/>
                  </w:r>
                  <w:r>
                    <w:rPr>
                      <w:rFonts w:ascii="仿宋_GB2312" w:hAnsi="仿宋_GB2312" w:cs="仿宋_GB2312" w:eastAsia="仿宋_GB2312"/>
                      <w:sz w:val="22"/>
                      <w:color w:val="000000"/>
                    </w:rPr>
                    <w:t xml:space="preserve"> ▲2.7有效期≥4年。</w:t>
                  </w:r>
                  <w:r>
                    <w:br/>
                  </w:r>
                  <w:r>
                    <w:rPr>
                      <w:rFonts w:ascii="仿宋_GB2312" w:hAnsi="仿宋_GB2312" w:cs="仿宋_GB2312" w:eastAsia="仿宋_GB2312"/>
                      <w:sz w:val="22"/>
                      <w:color w:val="000000"/>
                    </w:rPr>
                    <w:t xml:space="preserve"> 3.玻璃纤维灭火毯：</w:t>
                  </w:r>
                  <w:r>
                    <w:br/>
                  </w:r>
                  <w:r>
                    <w:rPr>
                      <w:rFonts w:ascii="仿宋_GB2312" w:hAnsi="仿宋_GB2312" w:cs="仿宋_GB2312" w:eastAsia="仿宋_GB2312"/>
                      <w:sz w:val="22"/>
                      <w:color w:val="000000"/>
                    </w:rPr>
                    <w:t xml:space="preserve"> ▲3.1执行标准：XF1205-2014； </w:t>
                  </w:r>
                  <w:r>
                    <w:br/>
                  </w:r>
                  <w:r>
                    <w:rPr>
                      <w:rFonts w:ascii="仿宋_GB2312" w:hAnsi="仿宋_GB2312" w:cs="仿宋_GB2312" w:eastAsia="仿宋_GB2312"/>
                      <w:sz w:val="22"/>
                      <w:color w:val="000000"/>
                    </w:rPr>
                    <w:t xml:space="preserve"> ▲3.2规格1.5m*1.5m；  </w:t>
                  </w:r>
                  <w:r>
                    <w:br/>
                  </w:r>
                  <w:r>
                    <w:rPr>
                      <w:rFonts w:ascii="仿宋_GB2312" w:hAnsi="仿宋_GB2312" w:cs="仿宋_GB2312" w:eastAsia="仿宋_GB2312"/>
                      <w:sz w:val="22"/>
                      <w:color w:val="000000"/>
                    </w:rPr>
                    <w:t xml:space="preserve"> ▲3.3材质：玻璃纤维；</w:t>
                  </w:r>
                  <w:r>
                    <w:br/>
                  </w:r>
                  <w:r>
                    <w:rPr>
                      <w:rFonts w:ascii="仿宋_GB2312" w:hAnsi="仿宋_GB2312" w:cs="仿宋_GB2312" w:eastAsia="仿宋_GB2312"/>
                      <w:sz w:val="22"/>
                      <w:color w:val="000000"/>
                    </w:rPr>
                    <w:t xml:space="preserve"> 3.4独立包装。</w:t>
                  </w:r>
                  <w:r>
                    <w:br/>
                  </w:r>
                  <w:r>
                    <w:rPr>
                      <w:rFonts w:ascii="仿宋_GB2312" w:hAnsi="仿宋_GB2312" w:cs="仿宋_GB2312" w:eastAsia="仿宋_GB2312"/>
                      <w:sz w:val="22"/>
                      <w:color w:val="000000"/>
                    </w:rPr>
                    <w:t xml:space="preserve"> 4.测温仪：</w:t>
                  </w:r>
                  <w:r>
                    <w:br/>
                  </w:r>
                  <w:r>
                    <w:rPr>
                      <w:rFonts w:ascii="仿宋_GB2312" w:hAnsi="仿宋_GB2312" w:cs="仿宋_GB2312" w:eastAsia="仿宋_GB2312"/>
                      <w:sz w:val="22"/>
                      <w:color w:val="000000"/>
                    </w:rPr>
                    <w:t xml:space="preserve"> 4.1三色背光，高温提醒；                                             </w:t>
                  </w:r>
                  <w:r>
                    <w:br/>
                  </w:r>
                  <w:r>
                    <w:rPr>
                      <w:rFonts w:ascii="仿宋_GB2312" w:hAnsi="仿宋_GB2312" w:cs="仿宋_GB2312" w:eastAsia="仿宋_GB2312"/>
                      <w:sz w:val="22"/>
                      <w:color w:val="000000"/>
                    </w:rPr>
                    <w:t xml:space="preserve"> 4.2非语音款和语音款可选，可关静音非语音款:测量时会有滴声提示，嘀声可关闭。语音款:测量时有语音播报测量数值，语音声可关闭；</w:t>
                  </w:r>
                  <w:r>
                    <w:br/>
                  </w:r>
                  <w:r>
                    <w:rPr>
                      <w:rFonts w:ascii="仿宋_GB2312" w:hAnsi="仿宋_GB2312" w:cs="仿宋_GB2312" w:eastAsia="仿宋_GB2312"/>
                      <w:sz w:val="22"/>
                      <w:color w:val="000000"/>
                    </w:rPr>
                    <w:t xml:space="preserve"> 4.3.额温/物温，一键切换；</w:t>
                  </w:r>
                  <w:r>
                    <w:br/>
                  </w:r>
                  <w:r>
                    <w:rPr>
                      <w:rFonts w:ascii="仿宋_GB2312" w:hAnsi="仿宋_GB2312" w:cs="仿宋_GB2312" w:eastAsia="仿宋_GB2312"/>
                      <w:sz w:val="22"/>
                      <w:color w:val="000000"/>
                    </w:rPr>
                    <w:t xml:space="preserve"> 4.4.50组记忆值，体温波动一目了然；</w:t>
                  </w:r>
                  <w:r>
                    <w:br/>
                  </w:r>
                  <w:r>
                    <w:rPr>
                      <w:rFonts w:ascii="仿宋_GB2312" w:hAnsi="仿宋_GB2312" w:cs="仿宋_GB2312" w:eastAsia="仿宋_GB2312"/>
                      <w:sz w:val="22"/>
                      <w:color w:val="000000"/>
                    </w:rPr>
                    <w:t xml:space="preserve"> 4.5.LCD高清大屏，高亮度背光显示，夜晚可视，数值柔和清晰；</w:t>
                  </w:r>
                  <w:r>
                    <w:br/>
                  </w:r>
                  <w:r>
                    <w:rPr>
                      <w:rFonts w:ascii="仿宋_GB2312" w:hAnsi="仿宋_GB2312" w:cs="仿宋_GB2312" w:eastAsia="仿宋_GB2312"/>
                      <w:sz w:val="22"/>
                      <w:color w:val="000000"/>
                    </w:rPr>
                    <w:t xml:space="preserve"> ▲4.6测量范围：32-43℃.</w:t>
                  </w:r>
                  <w:r>
                    <w:br/>
                  </w:r>
                  <w:r>
                    <w:rPr>
                      <w:rFonts w:ascii="仿宋_GB2312" w:hAnsi="仿宋_GB2312" w:cs="仿宋_GB2312" w:eastAsia="仿宋_GB2312"/>
                      <w:sz w:val="22"/>
                      <w:color w:val="000000"/>
                    </w:rPr>
                    <w:t xml:space="preserve"> 5.   3m绝缘胶带：</w:t>
                  </w:r>
                  <w:r>
                    <w:br/>
                  </w:r>
                  <w:r>
                    <w:rPr>
                      <w:rFonts w:ascii="仿宋_GB2312" w:hAnsi="仿宋_GB2312" w:cs="仿宋_GB2312" w:eastAsia="仿宋_GB2312"/>
                      <w:sz w:val="22"/>
                      <w:color w:val="000000"/>
                    </w:rPr>
                    <w:t xml:space="preserve"> 5.1：宽度≥18mm；</w:t>
                  </w:r>
                  <w:r>
                    <w:br/>
                  </w:r>
                  <w:r>
                    <w:rPr>
                      <w:rFonts w:ascii="仿宋_GB2312" w:hAnsi="仿宋_GB2312" w:cs="仿宋_GB2312" w:eastAsia="仿宋_GB2312"/>
                      <w:sz w:val="22"/>
                      <w:color w:val="000000"/>
                    </w:rPr>
                    <w:t xml:space="preserve"> 5.2颜色：黑色、红色、黄色、蓝色、白色、绿色、黄绿色可选。</w:t>
                  </w:r>
                  <w:r>
                    <w:br/>
                  </w:r>
                  <w:r>
                    <w:rPr>
                      <w:rFonts w:ascii="仿宋_GB2312" w:hAnsi="仿宋_GB2312" w:cs="仿宋_GB2312" w:eastAsia="仿宋_GB2312"/>
                      <w:sz w:val="22"/>
                      <w:color w:val="000000"/>
                    </w:rPr>
                    <w:t xml:space="preserve"> 斜口钳：</w:t>
                  </w:r>
                  <w:r>
                    <w:br/>
                  </w:r>
                  <w:r>
                    <w:rPr>
                      <w:rFonts w:ascii="仿宋_GB2312" w:hAnsi="仿宋_GB2312" w:cs="仿宋_GB2312" w:eastAsia="仿宋_GB2312"/>
                      <w:sz w:val="22"/>
                      <w:color w:val="000000"/>
                    </w:rPr>
                    <w:t xml:space="preserve"> 6.1钳头发黑，单面精抛；</w:t>
                  </w:r>
                  <w:r>
                    <w:br/>
                  </w:r>
                  <w:r>
                    <w:rPr>
                      <w:rFonts w:ascii="仿宋_GB2312" w:hAnsi="仿宋_GB2312" w:cs="仿宋_GB2312" w:eastAsia="仿宋_GB2312"/>
                      <w:sz w:val="22"/>
                      <w:color w:val="000000"/>
                    </w:rPr>
                    <w:t xml:space="preserve"> 6.2钳体采用优质铬钒钢精工锻造，坚固耐用。专利手柄，PP+TPR环保手柄，握感更舒适；</w:t>
                  </w:r>
                  <w:r>
                    <w:br/>
                  </w:r>
                  <w:r>
                    <w:rPr>
                      <w:rFonts w:ascii="仿宋_GB2312" w:hAnsi="仿宋_GB2312" w:cs="仿宋_GB2312" w:eastAsia="仿宋_GB2312"/>
                      <w:sz w:val="22"/>
                      <w:color w:val="000000"/>
                    </w:rPr>
                    <w:t xml:space="preserve"> ▲6.3规格：6"/160mm。</w:t>
                  </w:r>
                </w:p>
              </w:tc>
            </w:tr>
            <w:tr>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消防救援执勤帐篷</w:t>
                  </w: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35</w:t>
                  </w:r>
                </w:p>
              </w:tc>
              <w:tc>
                <w:tcPr>
                  <w:tcW w:type="dxa" w:w="19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1.主体框架:轻便的金属材质；</w:t>
                  </w:r>
                  <w:r>
                    <w:br/>
                  </w:r>
                  <w:r>
                    <w:rPr>
                      <w:rFonts w:ascii="仿宋_GB2312" w:hAnsi="仿宋_GB2312" w:cs="仿宋_GB2312" w:eastAsia="仿宋_GB2312"/>
                      <w:sz w:val="22"/>
                      <w:color w:val="000000"/>
                    </w:rPr>
                    <w:t xml:space="preserve"> 2.支撑结构:轻便的金属；</w:t>
                  </w:r>
                  <w:r>
                    <w:br/>
                  </w:r>
                  <w:r>
                    <w:rPr>
                      <w:rFonts w:ascii="仿宋_GB2312" w:hAnsi="仿宋_GB2312" w:cs="仿宋_GB2312" w:eastAsia="仿宋_GB2312"/>
                      <w:sz w:val="22"/>
                      <w:color w:val="000000"/>
                    </w:rPr>
                    <w:t xml:space="preserve"> ▲3.棚顶面料:单面涂覆牛津布，防水指数≥3000mm，径向断裂≥1000N，纬向断裂≥1000N；                                                                                                                  4.功能设计:高度可调；                                            </w:t>
                  </w:r>
                  <w:r>
                    <w:br/>
                  </w:r>
                  <w:r>
                    <w:rPr>
                      <w:rFonts w:ascii="仿宋_GB2312" w:hAnsi="仿宋_GB2312" w:cs="仿宋_GB2312" w:eastAsia="仿宋_GB2312"/>
                      <w:sz w:val="22"/>
                      <w:color w:val="000000"/>
                    </w:rPr>
                    <w:t xml:space="preserve"> ▲5.占地面积:≥8㎡，高度≥2m；</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合同签订后20日内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合同签订后20日内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甲方收到乙方合规有效的履约保函且完成核验归档后，达到付款条件起20个工作日内，支付合同总金额的40.0%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其他，货到甲方指定地点并经甲方（安装）验收合格后，达到付款条件起20个工作日内，支付合同总金额的60.0%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其他，甲方收到乙方合规有效的履约保函且完成核验归档后，达到付款条件起20个工作日内，支付合同总金额的40.0%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其他，货到甲方指定地点并经甲方（安装）验收合格后，达到付款条件起20个工作日内，支付合同总金额的60.0%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其他，甲方收到乙方合规有效的履约保函且完成核验归档后，达到付款条件起20个工作日内，支付合同总金额的40.0%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其他，货到甲方指定地点并经甲方（安装）验收合格后，达到付款条件起20个工作日内，支付合同总金额的60.0%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1、本项目分3个包，投标人兼投兼中。 2、本项目采购包3总预算245000元。其中消防救援马甲200套，预算210000元，消防救援帐篷35套，预算35000元。 3、本项目采购包3中，消防救援马甲为核心产品。 4、本项目采购人名称由原渭南市消防支队改为渭南市消防救援支队，但系统中名称尚未更新。所以本项目中出现的渭南市消防支队和渭南市消防救援支队都有效。 5、供应商按招标文件要求提供样品，并在开标当日上午10：00前送达渭南市市民综合服务中心西配楼北边一楼大厅 ，由采购中心和采购人（甲方）共同负责签收。待评标委员会评审结束后，由采购人（甲方）负责保管样品，并在7个工作日内通知未中标的供应商取回样品，逾期未取视为自动放弃。中标的供应商提供的样品由采购人留存，作为本项目货物验收依据。样品在保管期间因非人为因素损坏的，采购人不承担赔偿责任。 6、供应商需落实《国务院办公厅关于在政府采购中实施本国产品标准及相关政策的通知（国办发【2025】34号）》的要求。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供应商为法人单位的）法定代表人亲自参加时，须提供本人身份证复印件；法定代表人授权他人参加时，须提供法定代表人委托授权书及授权代表身份证。（供应商为非法人单位的）投标文件中凡是需要法定代表人签字或盖章之处，非法人单位的负责人均参照执行；法人的分支机构参与时，投标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投标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信用记录书面声明函</w:t>
            </w:r>
          </w:p>
        </w:tc>
        <w:tc>
          <w:tcPr>
            <w:tcW w:type="dxa" w:w="3322"/>
          </w:tcPr>
          <w:p>
            <w:pPr>
              <w:pStyle w:val="null3"/>
            </w:pPr>
            <w:r>
              <w:rPr>
                <w:rFonts w:ascii="仿宋_GB2312" w:hAnsi="仿宋_GB2312" w:cs="仿宋_GB2312" w:eastAsia="仿宋_GB2312"/>
              </w:rPr>
              <w:t>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供应商为法人单位的）法定代表人亲自参加时，须提供本人身份证复印件；法定代表人授权他人参加时，须提供法定代表人委托授权书及授权代表身份证。（供应商为非法人单位的）投标文件中凡是需要法定代表人签字或盖章之处，非法人单位的负责人均参照执行；法人的分支机构参与时，投标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投标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信用记录书面声明函</w:t>
            </w:r>
          </w:p>
        </w:tc>
        <w:tc>
          <w:tcPr>
            <w:tcW w:type="dxa" w:w="3322"/>
          </w:tcPr>
          <w:p>
            <w:pPr>
              <w:pStyle w:val="null3"/>
            </w:pPr>
            <w:r>
              <w:rPr>
                <w:rFonts w:ascii="仿宋_GB2312" w:hAnsi="仿宋_GB2312" w:cs="仿宋_GB2312" w:eastAsia="仿宋_GB2312"/>
              </w:rPr>
              <w:t>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供应商为法人单位的）法定代表人亲自参加时，须提供本人身份证复印件；法定代表人授权他人参加时，须提供法定代表人委托授权书及授权代表身份证。（供应商为非法人单位的）投标文件中凡是需要法定代表人签字或盖章之处，非法人单位的负责人均参照执行；法人的分支机构参与时，投标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投标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信用记录书面声明函</w:t>
            </w:r>
          </w:p>
        </w:tc>
        <w:tc>
          <w:tcPr>
            <w:tcW w:type="dxa" w:w="3322"/>
          </w:tcPr>
          <w:p>
            <w:pPr>
              <w:pStyle w:val="null3"/>
            </w:pPr>
            <w:r>
              <w:rPr>
                <w:rFonts w:ascii="仿宋_GB2312" w:hAnsi="仿宋_GB2312" w:cs="仿宋_GB2312" w:eastAsia="仿宋_GB2312"/>
              </w:rPr>
              <w:t>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三年内无重大违法记录书面声明函.docx 开标一览表 合同文本响应.docx 格式自拟，内容不限.docx 中小企业声明函 按要求提交的相关资格证明材料.docx 样品情况表.docx 商务应答表 供应商承诺书（一）（二）.docx 非联合体不分包投标声明.docx 产品来源渠道资料及其他资料.docx 信用记录声明.docx 法定代表人证明书或授权委托书.docx 产品技术参数表 投标函 残疾人福利性单位声明函 按要求提供相关证明材料.docx 标的清单 关于符合本国产品标准的声明函 投标文件封面 实施方案.docx 演示产品情况表.docx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完全理解并接受招标文件合同条款的要求。</w:t>
            </w:r>
          </w:p>
        </w:tc>
        <w:tc>
          <w:tcPr>
            <w:tcW w:type="dxa" w:w="1661"/>
          </w:tcPr>
          <w:p>
            <w:pPr>
              <w:pStyle w:val="null3"/>
            </w:pPr>
            <w:r>
              <w:rPr>
                <w:rFonts w:ascii="仿宋_GB2312" w:hAnsi="仿宋_GB2312" w:cs="仿宋_GB2312" w:eastAsia="仿宋_GB2312"/>
              </w:rPr>
              <w:t>合同文本响应.docx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法定代表人证明书或授权委托书.docx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三年内无重大违法记录书面声明函.docx 开标一览表 合同文本响应.docx 格式自拟，内容不限.docx 样品情况表.docx 中小企业声明函 按要求提交的相关资格证明材料.docx 商务应答表 供应商承诺书（一）（二）.docx 非联合体不分包投标声明.docx 产品来源渠道资料及其他资料.docx 信用记录声明.docx 法定代表人证明书或授权委托书.docx 产品技术参数表 投标函 残疾人福利性单位声明函 按要求提供相关证明材料.docx 标的清单 关于符合本国产品标准的声明函 投标文件封面 实施方案.docx 演示产品情况表.docx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完全理解并接受招标文件合同条款的要求。</w:t>
            </w:r>
          </w:p>
        </w:tc>
        <w:tc>
          <w:tcPr>
            <w:tcW w:type="dxa" w:w="1661"/>
          </w:tcPr>
          <w:p>
            <w:pPr>
              <w:pStyle w:val="null3"/>
            </w:pPr>
            <w:r>
              <w:rPr>
                <w:rFonts w:ascii="仿宋_GB2312" w:hAnsi="仿宋_GB2312" w:cs="仿宋_GB2312" w:eastAsia="仿宋_GB2312"/>
              </w:rPr>
              <w:t>合同文本响应.docx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法定代表人证明书或授权委托书.docx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三年内无重大违法记录书面声明函.docx 开标一览表 合同文本响应.docx 格式自拟，内容不限.docx 中小企业声明函 按要求提交的相关资格证明材料.docx 样品情况表.docx 商务应答表 供应商承诺书（一）（二）.docx 非联合体不分包投标声明.docx 产品来源渠道资料及其他资料.docx 信用记录声明.docx 法定代表人证明书或授权委托书.docx 产品技术参数表 投标函 残疾人福利性单位声明函 按要求提供相关证明材料.docx 标的清单 关于符合本国产品标准的声明函 投标文件封面 实施方案.docx 演示产品情况表.docx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完全理解并接受招标文件合同条款的要求。</w:t>
            </w:r>
          </w:p>
        </w:tc>
        <w:tc>
          <w:tcPr>
            <w:tcW w:type="dxa" w:w="1661"/>
          </w:tcPr>
          <w:p>
            <w:pPr>
              <w:pStyle w:val="null3"/>
            </w:pPr>
            <w:r>
              <w:rPr>
                <w:rFonts w:ascii="仿宋_GB2312" w:hAnsi="仿宋_GB2312" w:cs="仿宋_GB2312" w:eastAsia="仿宋_GB2312"/>
              </w:rPr>
              <w:t>合同文本响应.docx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 ”，得 40分。其中： 1、“▲ ”项负偏离每项扣 2分，扣完为止。 2、其他未标项负偏离每项扣1分，扣完为止。 赋分依据：所有参数需提供佐证材料，佐证材料例如： 国家认可的检测机构出具的检测报告、产品彩页、官网功能截图任意一种，不提供或缺漏项或不符合要求的均不得分。 “▲”内容项，以国家认可的检测机构出具的检测报告、产品彩页、技术规格书、官网功能为评审依据。</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根据本项目实际需求，提供完整详细的实施方案。 内容包含：①实施计划方案②交付标准方案③风险管控方案④供货进度方案 二、评审标准 1、可实施性：切合本标段实际情况，实施步骤清晰、合理； 2、针对性：方案能够紧扣项目实际情况， 内容科学合理。 三、赋分依据（满分 4 分） ①实施计划方案：每完全满足一个评审标准得 0.5 分，满分 1分。 ②交付标准方案:每完全满足一个评审标准得 0.5 分，满分 1 分。 ③风险管控方案：每完全满足一个评审标准得 0.5 分，满分 1 分。 ④供货进度方案：每完全满足一个评审标准得 0.5 分，满分 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投标人每提供一个产品的合法来源渠道证明文件或情况说明得1分，不提供不得分。投标人可根据自身情况提供以下资料中的任意一种： 1、如投标人为所投产品代理商：提供货物的合法来源渠道证明文件 （例如：产品制造商授权或销售协议或代理协议等证明文件）。 2、如投标人为所投产品的制造商：需提供情况说明（说明产品为制造商自己生产）。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产品来源渠道资料及其他资料.docx</w:t>
            </w:r>
          </w:p>
        </w:tc>
      </w:tr>
      <w:tr>
        <w:tc>
          <w:tcPr>
            <w:tcW w:type="dxa" w:w="831"/>
            <w:vMerge/>
          </w:tcPr>
          <w:p/>
        </w:tc>
        <w:tc>
          <w:tcPr>
            <w:tcW w:type="dxa" w:w="1661"/>
          </w:tcPr>
          <w:p>
            <w:pPr>
              <w:pStyle w:val="null3"/>
            </w:pPr>
            <w:r>
              <w:rPr>
                <w:rFonts w:ascii="仿宋_GB2312" w:hAnsi="仿宋_GB2312" w:cs="仿宋_GB2312" w:eastAsia="仿宋_GB2312"/>
              </w:rPr>
              <w:t>售后和培训服务方案</w:t>
            </w:r>
          </w:p>
        </w:tc>
        <w:tc>
          <w:tcPr>
            <w:tcW w:type="dxa" w:w="2492"/>
          </w:tcPr>
          <w:p>
            <w:pPr>
              <w:pStyle w:val="null3"/>
            </w:pPr>
            <w:r>
              <w:rPr>
                <w:rFonts w:ascii="仿宋_GB2312" w:hAnsi="仿宋_GB2312" w:cs="仿宋_GB2312" w:eastAsia="仿宋_GB2312"/>
              </w:rPr>
              <w:t>一、评审内容 根据本标段实际需求提供售后服务方案。 内容包含：①售后服务内容及措施：响应时效及保障措施（包含售后服务团队人员配置）； 故障处理及补救措施;备品备件保障措施（保修期外至全寿命周期内零配件及备品备件）②培训方案：培训内容；培训时间安排；培训成果保障方案。 二、评审标准 1、可实施性：切合本标段实际情况，实施步骤清晰、合理； 2、针对性：方案能够紧扣项目实际情况， 内容科学合理。 三、赋分依据（满分 4分） ①售后服务内容及措施：每完全满足一个评审标准得 1分，满分 2 分； ②培训方案:每完全满足一个评审标准得 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投标人近三年（2024年至今）类似项目业绩，以提供的合同复印件为准，要求提供合同首页、合同金额所在页、签字盖章页、结算凭证（发票或银行划拨单）作为证明。有一项得2分，最高得6分。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一、评审内容 投标人需提供器材装备（车辆）的演示视频，总时长不超过10分钟，演示内容包括：①各部分功能介绍 ②实际操作③产品细节优势展示及讲解。 二、评审标准 1、完整性：功能介绍及实际操作展示完整、功能演示齐全，对评审内容中的各项要求有详细描述； 2、针对性：切合本标段实际情况，功能或操作上具有创新或改进， 产品具有特色优势，能够优化使用体验且在实战中有实际使用价值 三、赋分标准（满分 6 分） ①各部分功能介绍：每完全满足一个评审标准得1分，满分2分； ②实际操作:每完全满足一个评审标准得1分，满分2分； ③产品细节优势展示及讲解:每完全满足一个评审标准得1分，满分2分。 备注：1、演示产品与投标产品型号不一致、演示产品型号无法判断、演示内容不全的、未提供演示视频的均不得分。2、开标当日10点前投标人在评标室外等候，依次进入评标室进行演示。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演示产品情况表.docx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根据招标文件要求，提供相应样品。 二、评审标准 1、外观：整体完好、规范平整、装配牢固、无瑕疵。 2、性能：操作或启动正常、实现产品功能正常。 3、配套：配件齐全，结构完好，无缺失、松动情况。 三、赋分依据（满分 6分） 根据评审内容，每完全满足一个评审标准得2分，满分 6分; 备注：未提供样品或者该样品提供不全的（包括全套样品应携带的全部的配置附件、产品说明书、合格证等），该样品打分项不得分。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政策因素</w:t>
            </w:r>
          </w:p>
        </w:tc>
        <w:tc>
          <w:tcPr>
            <w:tcW w:type="dxa" w:w="2492"/>
          </w:tcPr>
          <w:p>
            <w:pPr>
              <w:pStyle w:val="null3"/>
            </w:pPr>
            <w:r>
              <w:rPr>
                <w:rFonts w:ascii="仿宋_GB2312" w:hAnsi="仿宋_GB2312" w:cs="仿宋_GB2312" w:eastAsia="仿宋_GB2312"/>
              </w:rPr>
              <w:t>1、节能产品（1分） 投标货物（方案）中有最新公布的《节能产品政府采购品目清单》中强制采购产品以外的其他节能产品，每提供一项得0.2分，最高得1分，仅以提供的所投产品国家确定的认证机构出具的、处于有效期之内的节能产品认证证书为打分依据。 2、环境标志产品（1分） 投标货物（方案）中有最新公布的《环境标志产品政府采购品目清单》中产品的，每提供一项得0.2分，最高得1分，仅以提供的所投产品国家确定的认证机构出具的、处于有效期之内的环境标志产品认证证书为打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 整后的价格计算）为评标基准价得 30 分，其他各投标人的报价得分 按下列公式计算：（评标基准价/投标报价） ×30%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按要求提供相关证明材料.docx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 ”，得 40分。其中： 1、“▲ ”项负偏离每项扣 2分，扣完为止。 2、其他未标项负偏离每项扣1分，扣完为止。 赋分依据：所有参数需提供佐证材料，佐证材料例如： 国家认可的检测机构出具的检测报告、产品彩页、官网功能截图任意一种，不提供或缺漏项或不符合要求的均不得分。 1、“▲”内容项，以国家认可的检测机构出具的检测报告、产品彩页、技术规格书、官网功能为评审依据。</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根据本项目实际需求，提供完整详细的实施方案。 内容包含：①实施计划方案②交付标准方案③风险管控方案④供货进度方案 二、评审标准 1、可实施性：切合本标段实际情况，实施步骤清晰、合理； 2、针对性：方案能够紧扣项目实际情况， 内容科学合理。 三、赋分依据（满分 4 分） ①实施计划方案：每完全满足一个评审标准得 0.5 分，满分 1分； ②交付标准方案:每完全满足一个评审标准得 0.5 分，满分 1 分。 ③风险管控方案：每完全满足一个评审标准得 0.5 分，满分 1 分。 ④供货进度方案：每完全满足一个评审标准得 0.5 分，满分 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投标人每提供一个产品的合法来源渠道证明文件或情况说明得1分，不提供不得分。投标人可根据自身情况提供以下资料中的任意一种： 1、如投标人为所投产品代理商：提供货物的合法来源渠道证明文件 （例如：产品制造商授权、销售协议、代理协议等证明文件）。 2、如投标人为所投产品的制造商：需提供情况说明（说明产品为制 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产品来源渠道资料及其他资料.docx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根据本标段实际需求提供售后服务方案。 内容包含：①售后服务内 容及措施：响应时效及保障措施（包含售后服务团队人员配置）； 故障处理及补救措施;备品备件保障措施（保修期外至全寿命周期内零配件及备品备件）②培训方案：培训内容；培训时间安排；培训成果保障方案。 二、评审标准 1、可实施性：切合本标段实际情况，实施步骤清晰、合理； 2、针对性：方案能够紧扣项目实际情况， 内容科学合理。 三、赋分依据（满分 4分） ①售后服务内容及措施：每完全满足一个评审标准得 1分，满分 2 分； ②培训方案:每完全满足一个评审标准得 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投标人近三年（2024年至今）类似项目业绩，以提供的合同复印件为准，要求提供合同首页、合同金额所在页、签字盖章页、结算凭证（发票或银行划拨单）作为证明。有一项得2分，最高得6分。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视频简介</w:t>
            </w:r>
          </w:p>
        </w:tc>
        <w:tc>
          <w:tcPr>
            <w:tcW w:type="dxa" w:w="2492"/>
          </w:tcPr>
          <w:p>
            <w:pPr>
              <w:pStyle w:val="null3"/>
            </w:pPr>
            <w:r>
              <w:rPr>
                <w:rFonts w:ascii="仿宋_GB2312" w:hAnsi="仿宋_GB2312" w:cs="仿宋_GB2312" w:eastAsia="仿宋_GB2312"/>
              </w:rPr>
              <w:t>一、评审内容 投标人需提供所有器材装备（车辆）的演示视频，总时长不超过10分钟，演示内容包括：①各部分功能介绍 ②实际操作③产品细节优势展示及讲解。 二、评审标准 1、完整性：功能介绍及实际操作展示完整、功能演示齐全，对评审内容中的各项要求有详细描述； 2、针对性：切合本标段实际情况，功能或操作上具有创新或改进， 产品具有特色优势，能够优化使用体验且在实战中有实际使用价值 三、赋分标准（满分 6 分） ①各部分功能介绍：每完全满足一个评审标准得1分，满分2分； ②实际操作:每完全满足一个评审标准得1分，满分2分； ③产品细节优势展示及讲解:每完全满足一个评审标准得1分，满分2分。 备注：1、演示产品与投标产品型号不一致、演示产品型号无法判断、演示内容不全的、未提供演示视频的均不得分。2、开标当日10点前投标人在评标室外等候，依次进入评标室进行演示。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演示产品情况表.docx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根据招标文件要求，提供相应样品。 二、评审标准 1、外观：整体完好、规范平整、装配牢固、无瑕疵。 2、性能：操作或启动正常、实现产品功能正常。 3、配套：配件齐全，结构完好，无缺失、松动情况。 三、赋分依据（满分 6分） 根据评审内容，每完全满足一个评审标准得2分，满分 6分; 备注：未提供样品或者该样品提供不全的（包括全套样品应携带的全部的配置附件、产品说明书、合格证等），该样品打分项不得分。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政策因素</w:t>
            </w:r>
          </w:p>
        </w:tc>
        <w:tc>
          <w:tcPr>
            <w:tcW w:type="dxa" w:w="2492"/>
          </w:tcPr>
          <w:p>
            <w:pPr>
              <w:pStyle w:val="null3"/>
            </w:pPr>
            <w:r>
              <w:rPr>
                <w:rFonts w:ascii="仿宋_GB2312" w:hAnsi="仿宋_GB2312" w:cs="仿宋_GB2312" w:eastAsia="仿宋_GB2312"/>
              </w:rPr>
              <w:t>1、节能产品（1分） 投标货物（方案）中有最新公布的《节能产品政府采购品目清单》中强制采购产品以外的其他节能产品，每提供一项得0.2分，最高得1分，仅以提供的所投产品国家确定的认证机构出具的、处于有效期之内的节能产品认证证书为打分依据。 2、环境标志产品（1分） 投标货物（方案）中有最新公布的《环境标志产品政府采购品目清单》中产品的，每提供一项得0.2分，最高得1分，仅以提供的所投产品国家确定的认证机构出具的、处于有效期之内的环境标志产品认证证书为打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 整后的价格计算）为评标基准价得 30 分，其他各投标人的报价得分 按下列公式计算：（评标基准价/投标报价） ×30%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按要求提供相关证明材料.docx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 ”，得 40分。其中： 1、“▲ ”项负偏离每项扣 2分，扣完为止。 2、其他未标项负偏离每项扣1分，扣完为止。 赋分依据：所有参数需提供佐证材料，佐证材料例如： 国家认可的检测机构出具的检测报告、产品彩页、官网功能截图任意一种，不提供或缺漏项或不符合要求的均不得分。 1、“▲”内容项，以国家认可的检测机构出具的检测报告、产品彩页、技术规格书、官网功能为评审依据。</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根据本项目实际需求，提供完整详细的实施方案。 内容包含：①实施计划方案②交付标准方案③风险管控方案④供货进度方案 二、评审标准 1、可实施性：切合本标段实际情况，实施步骤清晰、合理； 2、针对性：方案能够紧扣项目实际情况， 内容科学合理。 三、赋分依据（满分 4 分） ①实施计划方案：每完全满足一个评审标准得 0.5 分，满分 1分； ②交付标准方案:每完全满足一个评审标准得 0.5 分，满分 1 分。 ③风险管控方案：每完全满足一个评审标准得 0.5 分，满分 1 分。 ④供货进度方案：每完全满足一个评审标准得 0.5 分，满分 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投标人每提供一个产品的合法来源渠道证明文件或情况说明得1分，不提供不得分。投标人可根据自身情况提供以下资料中的任意一种： 1、如投标人为所投产品代理商：提供货物的合法来源渠道证明文件 （例如：产品制造商授权、销售协议、代理协议等证明文件）。 2、如投标人为所投产品的制造商：需提供情况说明（说明产品为制 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产品来源渠道资料及其他资料.docx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根据本标段实际需求提供售后服务方案。 内容包含：①售后服务内容及措施：响应时效及保障措施（包含售后服务团队人员配置）； 故障处理及补救措施;备品备件保障措施（保修期外至全寿命周期内零配件及备品备件）②培训方案：培训内容；培训时间安排；培训成果保障方案。 二、评审标准 1、可实施性：切合本标段实际情况，实施步骤清晰、合理； 2、针对性：方案能够紧扣项目实际情况， 内容科学合理。 三、赋分依据（满分 4分） ①售后服务内容及措施：每完全满足一个评审标准得 1分，满分 2 分； ②培训方案:每完全满足一个评审标准得 1 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投标人近三年（2024年至今）类似项目业绩，以提供的合同复印件为准，要求提供合同首页、合同金额所在页、签字盖章页、结算凭证（发票或银行划拨单）作为证明。有一项得2分，最高得6分。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视频简介</w:t>
            </w:r>
          </w:p>
        </w:tc>
        <w:tc>
          <w:tcPr>
            <w:tcW w:type="dxa" w:w="2492"/>
          </w:tcPr>
          <w:p>
            <w:pPr>
              <w:pStyle w:val="null3"/>
            </w:pPr>
            <w:r>
              <w:rPr>
                <w:rFonts w:ascii="仿宋_GB2312" w:hAnsi="仿宋_GB2312" w:cs="仿宋_GB2312" w:eastAsia="仿宋_GB2312"/>
              </w:rPr>
              <w:t>一、评审内容 投标人需提供所有器材装备（车辆）的演示视频，总时长不超过10分钟，演示内容包括：①各部分功能介绍 ②实际操作③产品细节优势展示及讲解。 二、评审标准 1、完整性：功能介绍及实际操作展示完整、功能演示齐全，对评审内容中的各项要求有详细描述； 2、针对性：切合本标段实际情况，功能或操作上具有创新或改进， 产品具有特色优势，能够优化使用体验且在实战中有实际使用价值 三、赋分标准（满分 6分） ①各部分功能介绍：每完全满足一个评审标准得1分，满分2分； ②实际操作:每完全满足一个评审标准得1分，满分2分； ③产品细节优势展示及讲解:每完全满足一个评审标准得1分，满分2分。 备注：1、演示产品与投标产品型号不一致、演示产品型号无法判断、演示内容不全的、未提供演示视频的均不得分。2、开标当日10点前投标人在评标室外等候，依次进入评标室进行演示。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演示产品情况表.docx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根据招标文件要求，提供相应样品。 二、评审标准 1、外观：整体完好、规范平整、装配牢固、无瑕疵。 2、性能：操作或启动正常、实现产品功能正常。 3、配套：配件齐全，结构完好，无缺失、松动情况。 三、赋分依据（满分 6分） 根据评审内容，每完全满足一个评审标准得2分，满分 6分; 备注：未提供样品或者该样品提供不全的（包括全套样品应携带的全部的配置附件、产品说明书、合格证等），该样品打分项不得分。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政策因素</w:t>
            </w:r>
          </w:p>
        </w:tc>
        <w:tc>
          <w:tcPr>
            <w:tcW w:type="dxa" w:w="2492"/>
          </w:tcPr>
          <w:p>
            <w:pPr>
              <w:pStyle w:val="null3"/>
            </w:pPr>
            <w:r>
              <w:rPr>
                <w:rFonts w:ascii="仿宋_GB2312" w:hAnsi="仿宋_GB2312" w:cs="仿宋_GB2312" w:eastAsia="仿宋_GB2312"/>
              </w:rPr>
              <w:t>1、节能产品（1分） 投标货物（方案）中有最新公布的《节能产品政府采购品目清单》中强制采购产品以外的其他节能产品，每提供一项得0.2分，最高得1分，仅以提供的所投产品国家确定的认证机构出具的、处于有效期之内的节能产品认证证书为打分依据。 2、环境标志产品（1分） 投标货物（方案）中有最新公布的《环境标志产品政府采购品目清单》中产品的，每提供一项得0.2分，最高得1分，仅以提供的所投产品国家确定的认证机构出具的、处于有效期之内的环境标志产品认证证书为打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有效投标人的最低报价（落实政府采购政策进行价格调整的，以调整后的价格计算）为评标基准价得 30 分，其他各投标人的报价得分 按下列公式计算：（评标基准价/投标报价） ×30%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按要求提供相关证明材料.docx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详见附件：格式自拟，内容不限.docx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详见附件：按要求提交的相关资格证明材料.docx</w:t>
      </w:r>
    </w:p>
    <w:p>
      <w:pPr>
        <w:pStyle w:val="null3"/>
        <w:ind w:firstLine="960"/>
      </w:pPr>
      <w:r>
        <w:rPr>
          <w:rFonts w:ascii="仿宋_GB2312" w:hAnsi="仿宋_GB2312" w:cs="仿宋_GB2312" w:eastAsia="仿宋_GB2312"/>
        </w:rPr>
        <w:t>详见附件：产品来源渠道资料及其他资料.docx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详见附件：演示产品情况表.docx</w:t>
      </w:r>
    </w:p>
    <w:p>
      <w:pPr>
        <w:pStyle w:val="null3"/>
        <w:ind w:firstLine="960"/>
      </w:pPr>
      <w:r>
        <w:rPr>
          <w:rFonts w:ascii="仿宋_GB2312" w:hAnsi="仿宋_GB2312" w:cs="仿宋_GB2312" w:eastAsia="仿宋_GB2312"/>
        </w:rPr>
        <w:t>详见附件：合同文本响应.docx</w:t>
      </w:r>
    </w:p>
    <w:p>
      <w:pPr>
        <w:pStyle w:val="null3"/>
        <w:ind w:firstLine="960"/>
      </w:pPr>
      <w:r>
        <w:rPr>
          <w:rFonts w:ascii="仿宋_GB2312" w:hAnsi="仿宋_GB2312" w:cs="仿宋_GB2312" w:eastAsia="仿宋_GB2312"/>
        </w:rPr>
        <w:t>详见附件：样品情况表.docx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详见附件：格式自拟，内容不限.docx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详见附件：按要求提交的相关资格证明材料.docx</w:t>
      </w:r>
    </w:p>
    <w:p>
      <w:pPr>
        <w:pStyle w:val="null3"/>
        <w:ind w:firstLine="960"/>
      </w:pPr>
      <w:r>
        <w:rPr>
          <w:rFonts w:ascii="仿宋_GB2312" w:hAnsi="仿宋_GB2312" w:cs="仿宋_GB2312" w:eastAsia="仿宋_GB2312"/>
        </w:rPr>
        <w:t>详见附件：产品来源渠道资料及其他资料.docx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详见附件：演示产品情况表.docx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详见附件：合同文本响应.docx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详见附件：按要求提交的相关资格证明材料.docx</w:t>
      </w:r>
    </w:p>
    <w:p>
      <w:pPr>
        <w:pStyle w:val="null3"/>
        <w:ind w:firstLine="960"/>
      </w:pPr>
      <w:r>
        <w:rPr>
          <w:rFonts w:ascii="仿宋_GB2312" w:hAnsi="仿宋_GB2312" w:cs="仿宋_GB2312" w:eastAsia="仿宋_GB2312"/>
        </w:rPr>
        <w:t>详见附件：格式自拟，内容不限.docx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详见附件：产品来源渠道资料及其他资料.docx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详见附件：演示产品情况表.docx</w:t>
      </w:r>
    </w:p>
    <w:p>
      <w:pPr>
        <w:pStyle w:val="null3"/>
        <w:ind w:firstLine="960"/>
      </w:pPr>
      <w:r>
        <w:rPr>
          <w:rFonts w:ascii="仿宋_GB2312" w:hAnsi="仿宋_GB2312" w:cs="仿宋_GB2312" w:eastAsia="仿宋_GB2312"/>
        </w:rPr>
        <w:t>详见附件：合同文本响应.docx</w:t>
      </w:r>
    </w:p>
    <w:p>
      <w:pPr>
        <w:pStyle w:val="null3"/>
        <w:ind w:firstLine="960"/>
      </w:pPr>
      <w:r>
        <w:rPr>
          <w:rFonts w:ascii="仿宋_GB2312" w:hAnsi="仿宋_GB2312" w:cs="仿宋_GB2312" w:eastAsia="仿宋_GB2312"/>
        </w:rPr>
        <w:t>详见附件：样品情况表.docx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