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版本号：ZCSP-渭南市-2026-0012820260519001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2026年渭南重点工业企业产品宣传推介活动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ZCSP-渭南市-2026-00128</w:t>
      </w:r>
      <w:r>
        <w:br/>
      </w:r>
      <w:r>
        <w:br/>
      </w:r>
      <w:r>
        <w:br/>
      </w:r>
    </w:p>
    <w:p>
      <w:pPr>
        <w:pStyle w:val="null3"/>
        <w:jc w:val="center"/>
        <w:outlineLvl w:val="2"/>
      </w:pPr>
      <w:r>
        <w:rPr>
          <w:rFonts w:ascii="仿宋_GB2312" w:hAnsi="仿宋_GB2312" w:cs="仿宋_GB2312" w:eastAsia="仿宋_GB2312"/>
          <w:sz w:val="28"/>
          <w:b/>
        </w:rPr>
        <w:t>渭南市工业经济发展促进中心</w:t>
      </w:r>
    </w:p>
    <w:p>
      <w:pPr>
        <w:pStyle w:val="null3"/>
        <w:jc w:val="center"/>
        <w:outlineLvl w:val="2"/>
      </w:pPr>
      <w:r>
        <w:rPr>
          <w:rFonts w:ascii="仿宋_GB2312" w:hAnsi="仿宋_GB2312" w:cs="仿宋_GB2312" w:eastAsia="仿宋_GB2312"/>
          <w:sz w:val="28"/>
          <w:b/>
        </w:rPr>
        <w:t>丰诺工程咨询有限公司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丰诺工程咨询有限公司</w:t>
      </w:r>
      <w:r>
        <w:rPr>
          <w:rFonts w:ascii="仿宋_GB2312" w:hAnsi="仿宋_GB2312" w:cs="仿宋_GB2312" w:eastAsia="仿宋_GB2312"/>
        </w:rPr>
        <w:t>（以下简称“代理机构”）受</w:t>
      </w:r>
      <w:r>
        <w:rPr>
          <w:rFonts w:ascii="仿宋_GB2312" w:hAnsi="仿宋_GB2312" w:cs="仿宋_GB2312" w:eastAsia="仿宋_GB2312"/>
        </w:rPr>
        <w:t>渭南市工业经济发展促进中心</w:t>
      </w:r>
      <w:r>
        <w:rPr>
          <w:rFonts w:ascii="仿宋_GB2312" w:hAnsi="仿宋_GB2312" w:cs="仿宋_GB2312" w:eastAsia="仿宋_GB2312"/>
        </w:rPr>
        <w:t>委托，拟对</w:t>
      </w:r>
      <w:r>
        <w:rPr>
          <w:rFonts w:ascii="仿宋_GB2312" w:hAnsi="仿宋_GB2312" w:cs="仿宋_GB2312" w:eastAsia="仿宋_GB2312"/>
        </w:rPr>
        <w:t>2026年渭南重点工业企业产品宣传推介活动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ZCSP-渭南市-2026-00128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2026年渭南重点工业企业产品宣传推介活动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为进一步宣传推广渭南重点工业企业知名产品，帮助域内工业企业开拓产销渠道，助力全市工业稳增长，举办2026 年渭南重点工业企业产品宣传活动。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采购包1（2026年渭南重点工业企业产品宣传推介活 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以及有依法缴纳税收和社会保障资金的良好记录：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p>
      <w:pPr>
        <w:pStyle w:val="null3"/>
      </w:pPr>
      <w:r>
        <w:rPr>
          <w:rFonts w:ascii="仿宋_GB2312" w:hAnsi="仿宋_GB2312" w:cs="仿宋_GB2312" w:eastAsia="仿宋_GB2312"/>
        </w:rPr>
        <w:t>3、具有履行本合同所必需的设备和专业技术能力的说明或承诺：提供具有履行本合同所必需的设备和专业技术能力的说明或承诺（格式自拟，加盖供应商公章）</w:t>
      </w:r>
    </w:p>
    <w:p>
      <w:pPr>
        <w:pStyle w:val="null3"/>
      </w:pPr>
      <w:r>
        <w:rPr>
          <w:rFonts w:ascii="仿宋_GB2312" w:hAnsi="仿宋_GB2312" w:cs="仿宋_GB2312" w:eastAsia="仿宋_GB2312"/>
        </w:rPr>
        <w:t>4、参加政府采购活动前三年内在经营活动中没有重大违法记录的书面声明：提供参加政府采购活动前三年内在经营活动中没有重大违法记录的书面声明（格式自拟，加盖供应商公章）</w:t>
      </w:r>
    </w:p>
    <w:p>
      <w:pPr>
        <w:pStyle w:val="null3"/>
      </w:pPr>
      <w:r>
        <w:rPr>
          <w:rFonts w:ascii="仿宋_GB2312" w:hAnsi="仿宋_GB2312" w:cs="仿宋_GB2312" w:eastAsia="仿宋_GB2312"/>
        </w:rPr>
        <w:t>5、合法授权：法定代表人被授权人参加的，须出具授权书（附法定代表人、被授权人身份证复印件）及被授权人在本单位证明（提供开标前三个月内任一月在本单位的社保缴纳记录）；法定代表人参加的需提供法人身份证明书；</w:t>
      </w:r>
    </w:p>
    <w:p>
      <w:pPr>
        <w:pStyle w:val="null3"/>
      </w:pPr>
      <w:r>
        <w:rPr>
          <w:rFonts w:ascii="仿宋_GB2312" w:hAnsi="仿宋_GB2312" w:cs="仿宋_GB2312" w:eastAsia="仿宋_GB2312"/>
        </w:rPr>
        <w:t>6、信誉要求：供应商不得被“信用中国”（www.creditchina.gov.cn ）列入重大税收违法失信主体；不得被“中国执行信息公开网”（www.zxgk.court.gov.cn ）列入失信被执行人名单；不得被“中国政府采购网”（www.ccgp.gov.cn ）列入政府采购严重违法失信行为记录名单 ；</w:t>
      </w:r>
    </w:p>
    <w:p>
      <w:pPr>
        <w:pStyle w:val="null3"/>
      </w:pPr>
      <w:r>
        <w:rPr>
          <w:rFonts w:ascii="仿宋_GB2312" w:hAnsi="仿宋_GB2312" w:cs="仿宋_GB2312" w:eastAsia="仿宋_GB2312"/>
        </w:rPr>
        <w:t>7、控股关系：单位负责人为同一人或者存在直接控股、管理关系的不同投标供应商， 不得参加同一合同项下的政府采购活动；</w:t>
      </w:r>
    </w:p>
    <w:p>
      <w:pPr>
        <w:pStyle w:val="null3"/>
      </w:pPr>
      <w:r>
        <w:rPr>
          <w:rFonts w:ascii="仿宋_GB2312" w:hAnsi="仿宋_GB2312" w:cs="仿宋_GB2312" w:eastAsia="仿宋_GB2312"/>
        </w:rPr>
        <w:t>8、磋商保证金：磋商保证金缴纳凭证</w:t>
      </w:r>
    </w:p>
    <w:p>
      <w:pPr>
        <w:pStyle w:val="null3"/>
      </w:pPr>
      <w:r>
        <w:rPr>
          <w:rFonts w:ascii="仿宋_GB2312" w:hAnsi="仿宋_GB2312" w:cs="仿宋_GB2312" w:eastAsia="仿宋_GB2312"/>
        </w:rPr>
        <w:t>9、联合体：本项目不接受联合体磋商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渭南市工业经济发展促进中心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渭南市临渭区胜利大街117号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渭南市工业经济发展促进中心经办岗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13892331880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陕西省西安市未央区陕西省西安市经济技术开发区凤城九路海博广场C座1603室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13720676911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开户名称：丰诺工程咨询有限公司</w:t>
            </w:r>
          </w:p>
          <w:p>
            <w:pPr>
              <w:pStyle w:val="null3"/>
            </w:pPr>
            <w:r>
              <w:rPr>
                <w:rFonts w:ascii="仿宋_GB2312" w:hAnsi="仿宋_GB2312" w:cs="仿宋_GB2312" w:eastAsia="仿宋_GB2312"/>
              </w:rPr>
              <w:t>开户银行：中国工商银行股份有限公司西安朱雀路南段支行</w:t>
            </w:r>
          </w:p>
          <w:p>
            <w:pPr>
              <w:pStyle w:val="null3"/>
            </w:pPr>
            <w:r>
              <w:rPr>
                <w:rFonts w:ascii="仿宋_GB2312" w:hAnsi="仿宋_GB2312" w:cs="仿宋_GB2312" w:eastAsia="仿宋_GB2312"/>
              </w:rPr>
              <w:t>银行账号：3700083309100039532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 计价格【2002】1980号）及《国家发改委关于降低部分建设项目收费标准规范收费行为等有 关问题的通知》（发改价格[2011]534号）规定按标准收取。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渭南市工业经济发展促进中心</w:t>
      </w:r>
      <w:r>
        <w:rPr>
          <w:rFonts w:ascii="仿宋_GB2312" w:hAnsi="仿宋_GB2312" w:cs="仿宋_GB2312" w:eastAsia="仿宋_GB2312"/>
        </w:rPr>
        <w:t>和</w:t>
      </w:r>
      <w:r>
        <w:rPr>
          <w:rFonts w:ascii="仿宋_GB2312" w:hAnsi="仿宋_GB2312" w:cs="仿宋_GB2312" w:eastAsia="仿宋_GB2312"/>
        </w:rPr>
        <w:t>丰诺工程咨询有限公司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渭南市工业经济发展促进中心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丰诺工程咨询有限公司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渭南市工业经济发展促进中心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所有活动资料（包括不限于过程中物资配备、文件、汇总报告、相关文件资料等）均符合采购人要求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丰诺工程咨询有限公司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联系人：曹源</w:t>
      </w:r>
    </w:p>
    <w:p>
      <w:pPr>
        <w:pStyle w:val="null3"/>
      </w:pPr>
      <w:r>
        <w:rPr>
          <w:rFonts w:ascii="仿宋_GB2312" w:hAnsi="仿宋_GB2312" w:cs="仿宋_GB2312" w:eastAsia="仿宋_GB2312"/>
        </w:rPr>
        <w:t>联系电话：13720676911</w:t>
      </w:r>
    </w:p>
    <w:p>
      <w:pPr>
        <w:pStyle w:val="null3"/>
      </w:pPr>
      <w:r>
        <w:rPr>
          <w:rFonts w:ascii="仿宋_GB2312" w:hAnsi="仿宋_GB2312" w:cs="仿宋_GB2312" w:eastAsia="仿宋_GB2312"/>
        </w:rPr>
        <w:t>地址：陕西省西安市未央区陕西省西安市经济技术开发区凤城九路海博广场C座1603室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为充分展示企业技术创新能力和产品研发成果，帮助企业扩大产品销售、提升市场知名度，现筹备举办2026年渭南重点工业企业产品宣传推介活动。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2026年渭南重点工业企业产品宣传推介活动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标的名称：2026年渭南重点工业企业产品宣传推介活动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p>
            <w:pPr>
              <w:pStyle w:val="null3"/>
            </w:pPr>
            <w:r>
              <w:rPr>
                <w:rFonts w:ascii="仿宋_GB2312" w:hAnsi="仿宋_GB2312" w:cs="仿宋_GB2312" w:eastAsia="仿宋_GB2312"/>
                <w:sz w:val="21"/>
              </w:rPr>
              <w:t>1.项目名称：2026年渭南重点工业企业产品宣传推介活动;</w:t>
            </w:r>
          </w:p>
          <w:p>
            <w:pPr>
              <w:pStyle w:val="null3"/>
            </w:pPr>
            <w:r>
              <w:rPr>
                <w:rFonts w:ascii="仿宋_GB2312" w:hAnsi="仿宋_GB2312" w:cs="仿宋_GB2312" w:eastAsia="仿宋_GB2312"/>
                <w:sz w:val="21"/>
              </w:rPr>
              <w:t>2.预算金额：130万元;</w:t>
            </w:r>
          </w:p>
          <w:p>
            <w:pPr>
              <w:pStyle w:val="null3"/>
            </w:pPr>
            <w:r>
              <w:rPr>
                <w:rFonts w:ascii="仿宋_GB2312" w:hAnsi="仿宋_GB2312" w:cs="仿宋_GB2312" w:eastAsia="仿宋_GB2312"/>
                <w:sz w:val="21"/>
              </w:rPr>
              <w:t>3.服务期限：自合同签订之日起至2026年12月底；</w:t>
            </w:r>
          </w:p>
          <w:p>
            <w:pPr>
              <w:pStyle w:val="null3"/>
            </w:pPr>
            <w:r>
              <w:rPr>
                <w:rFonts w:ascii="仿宋_GB2312" w:hAnsi="仿宋_GB2312" w:cs="仿宋_GB2312" w:eastAsia="仿宋_GB2312"/>
                <w:sz w:val="21"/>
              </w:rPr>
              <w:t>4.服务地点：渭南市相关县市区、</w:t>
            </w:r>
            <w:r>
              <w:rPr>
                <w:rFonts w:ascii="仿宋_GB2312" w:hAnsi="仿宋_GB2312" w:cs="仿宋_GB2312" w:eastAsia="仿宋_GB2312"/>
                <w:sz w:val="21"/>
              </w:rPr>
              <w:t>省内市外</w:t>
            </w:r>
            <w:r>
              <w:rPr>
                <w:rFonts w:ascii="仿宋_GB2312" w:hAnsi="仿宋_GB2312" w:cs="仿宋_GB2312" w:eastAsia="仿宋_GB2312"/>
                <w:sz w:val="21"/>
              </w:rPr>
              <w:t>等企业所在园区或厂区内；</w:t>
            </w:r>
          </w:p>
          <w:p>
            <w:pPr>
              <w:pStyle w:val="null3"/>
            </w:pPr>
            <w:r>
              <w:rPr>
                <w:rFonts w:ascii="仿宋_GB2312" w:hAnsi="仿宋_GB2312" w:cs="仿宋_GB2312" w:eastAsia="仿宋_GB2312"/>
                <w:sz w:val="21"/>
              </w:rPr>
              <w:t>5.质量标准：在项目执行过程中，所有活动资料（包括不限于过程文件、汇总报告、相关文件资料等）均符合采购人要求。</w:t>
            </w:r>
          </w:p>
          <w:p>
            <w:pPr>
              <w:pStyle w:val="null3"/>
            </w:pPr>
            <w:r>
              <w:rPr>
                <w:rFonts w:ascii="仿宋_GB2312" w:hAnsi="仿宋_GB2312" w:cs="仿宋_GB2312" w:eastAsia="仿宋_GB2312"/>
                <w:sz w:val="21"/>
              </w:rPr>
              <w:t>二、技术要求</w:t>
            </w:r>
          </w:p>
          <w:p>
            <w:pPr>
              <w:pStyle w:val="null3"/>
            </w:pPr>
            <w:r>
              <w:rPr>
                <w:rFonts w:ascii="仿宋_GB2312" w:hAnsi="仿宋_GB2312" w:cs="仿宋_GB2312" w:eastAsia="仿宋_GB2312"/>
                <w:sz w:val="21"/>
              </w:rPr>
              <w:t>1.服务内容：2026 年渭南重点工业企业产品宣传活动共计举办 10 场（</w:t>
            </w:r>
            <w:r>
              <w:rPr>
                <w:rFonts w:ascii="仿宋_GB2312" w:hAnsi="仿宋_GB2312" w:cs="仿宋_GB2312" w:eastAsia="仿宋_GB2312"/>
                <w:sz w:val="21"/>
              </w:rPr>
              <w:t>其中市内 8 场、省内市外 2 场</w:t>
            </w:r>
            <w:r>
              <w:rPr>
                <w:rFonts w:ascii="仿宋_GB2312" w:hAnsi="仿宋_GB2312" w:cs="仿宋_GB2312" w:eastAsia="仿宋_GB2312"/>
                <w:sz w:val="21"/>
              </w:rPr>
              <w:t>）。严格按照 “一类企业一场活动” 要求，采取市内与省内市外相结合的形式组织实施，活动地点均设在相关县（市、区）企业所在园区或厂区内。</w:t>
            </w:r>
          </w:p>
          <w:p>
            <w:pPr>
              <w:pStyle w:val="null3"/>
            </w:pPr>
            <w:r>
              <w:rPr>
                <w:rFonts w:ascii="仿宋_GB2312" w:hAnsi="仿宋_GB2312" w:cs="仿宋_GB2312" w:eastAsia="仿宋_GB2312"/>
                <w:sz w:val="21"/>
              </w:rPr>
              <w:t>2.人员配置：服务团队人员应具有相关工作经验，包括安全培训、专业培训等。活动期间，安排专人现场协调对接落实活动各项具体事宜，严格执行方案，确保活动效果。</w:t>
            </w:r>
          </w:p>
          <w:p>
            <w:pPr>
              <w:pStyle w:val="null3"/>
            </w:pPr>
            <w:r>
              <w:rPr>
                <w:rFonts w:ascii="仿宋_GB2312" w:hAnsi="仿宋_GB2312" w:cs="仿宋_GB2312" w:eastAsia="仿宋_GB2312"/>
                <w:sz w:val="21"/>
              </w:rPr>
              <w:t>3.服务标准：服务团队应在规定时间内完成活动策划方案及整体设计，提交甲方进行审核；并结合甲方提出改进意见修改方案至甲方满意。严格按照甲方要求完成活动对接、现场布置、宣传制作、宣传发布、会务服务、资料整理等相关服务。</w:t>
            </w:r>
          </w:p>
          <w:p>
            <w:pPr>
              <w:pStyle w:val="null3"/>
            </w:pPr>
            <w:r>
              <w:rPr>
                <w:rFonts w:ascii="仿宋_GB2312" w:hAnsi="仿宋_GB2312" w:cs="仿宋_GB2312" w:eastAsia="仿宋_GB2312"/>
                <w:sz w:val="21"/>
              </w:rPr>
              <w:t>4.布展材料：布展所有材料要求环保节能、安全可靠，确保展会期间正常使用。展区的设计和搭建要确保结构安全稳定，并做好特殊展品、模型的位置安排。</w:t>
            </w:r>
          </w:p>
          <w:p>
            <w:pPr>
              <w:pStyle w:val="null3"/>
            </w:pPr>
            <w:r>
              <w:rPr>
                <w:rFonts w:ascii="仿宋_GB2312" w:hAnsi="仿宋_GB2312" w:cs="仿宋_GB2312" w:eastAsia="仿宋_GB2312"/>
                <w:sz w:val="21"/>
              </w:rPr>
              <w:t>5.安全管理：活动期间，负责做好现场布置、车辆保障等各类安全管理工作，自行负责施工人员的安全。</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渭南市相关县市区、省内市外等企业所在园区或厂区内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在项目执行过程中，所有活动资料（包括不限于过程文件、汇总报告、相关文件资料等）均符合采购人要求。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进度款，活动中期阶段完成并验收合格后，达到付款条件起7个工作日内，支付合同总金额的40.0%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进度款，活动全部整体结束且验收无误后，达到付款条件起7个工作日内，支付合同总金额的20.0%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需落实的政府采购政策： （1）《财政部 发展改革委 生态环境部 市场监管总局关于调整优化节能产品、环境标志产品政府采购执行机制的通知》（财库〔2019〕9号）； （2）《政府采购促进中小企业发展管理办法》（财库〔2020〕46号）； （3）《财政部司法部关于政府采购支持监狱企业发展有关问题的通知》（财库〔2014〕68号）； （4）《三部门联合发布关于促进残疾人就业政府采购政策的通知》（财库〔2017〕141号）； （5）陕西省财政厅关于印发《陕西省中小企业政府采购信用融资办法》（陕财办采〔2018〕23号）； （6）《关于运用政府采购政策支持乡村产业振兴的通知》（财库〔2021〕19号）； （7）《财政部住房和城乡建设部关于政府采购支持绿色建材促进建筑品质提升试点工作的通知》（财库〔2020〕31号）； （8）《陕西省财政厅关于进一步加强政府绿色采购有关问题的通知》（陕财办采〔2021〕29号）； （9）《财政部关于在政府采购活动中落实平等对待内外资企业有关政策的通知》（财库〔2021〕35号）； （10）《国务院办公厅关于在政府采购中实施本国产品标准及相关政策的通知》（国办发〔2025〕34号）政策； （11）《关于推动解决政府采购异常低价问题的通知》财库〔2026〕2号； （12）其他需要落实的政府采购政策。 （13）若享受以上政策优惠的企业，提供相应声明函或财政部会同有关部门规定的有关证明文件。如有最新颁布的政府采购政策，按最新的文件执行。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本国产品说明 关于符合本国产品标准的声明函 中国境内生产的组件成本核算基本规则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具有履行本合同所必需的设备和专业技术能力的说明或承诺</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提供具有履行本合同所必需的设备和专业技术能力的说明或承诺（格式自拟，加盖供应商公章）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法定代表人被授权人参加的，须出具授权书（附法定代表人、被授权人身份证复印件）及被授权人在本单位证明（提供开标前三个月内任一月在本单位的社保缴纳记录）；法定代表人参加的需提供法人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供应商不得被“信用中国”（www.creditchina.gov.cn ）列入重大税收违法失信主体；不得被“中国执行信息公开网”（www.zxgk.court.gov.cn ）列入失信被执行人名单；不得被“中国政府采购网”（www.ccgp.gov.cn ）列入政府采购严重违法失信行为记录名单 ；</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单位负责人为同一人或者存在直接控股、管理关系的不同投标供应商， 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服务内容及服务邀请应答表 本国产品说明 中小企业声明函 商务应答表 中国境内生产的组件成本核算基本规则 资格证明文件.docx 响应文件封面 残疾人福利性单位声明函 服务方案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报价未超过本项目预算金额</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磋商保证金按规定缴纳</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响应文件其他内容</w:t>
            </w:r>
          </w:p>
        </w:tc>
        <w:tc>
          <w:tcPr>
            <w:tcW w:type="dxa" w:w="3322"/>
          </w:tcPr>
          <w:p>
            <w:pPr>
              <w:pStyle w:val="null3"/>
            </w:pPr>
            <w:r>
              <w:rPr>
                <w:rFonts w:ascii="仿宋_GB2312" w:hAnsi="仿宋_GB2312" w:cs="仿宋_GB2312" w:eastAsia="仿宋_GB2312"/>
              </w:rPr>
              <w:t>（1）未附有采购人不能接受的条件 （2）符合磋商文件规定的其他实质性要求 （3）未违反《中华人民共和国政府采购法》和其他相关法律、法规的规定</w:t>
            </w:r>
          </w:p>
        </w:tc>
        <w:tc>
          <w:tcPr>
            <w:tcW w:type="dxa" w:w="1661"/>
          </w:tcPr>
          <w:p>
            <w:pPr>
              <w:pStyle w:val="null3"/>
            </w:pPr>
            <w:r>
              <w:rPr>
                <w:rFonts w:ascii="仿宋_GB2312" w:hAnsi="仿宋_GB2312" w:cs="仿宋_GB2312" w:eastAsia="仿宋_GB2312"/>
              </w:rPr>
              <w:t>服务内容及服务邀请应答表 本国产品说明 中小企业声明函 商务应答表 中国境内生产的组件成本核算基本规则 资格证明文件.docx 响应文件封面 残疾人福利性单位声明函 服务方案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评审得分相同的，按照最后报价由低到高的顺序推荐。评审得分且最后报价相同的，按照技术指标优劣顺序推荐。评审得分且最后报价且技术指标得分均相同的，成交候选供应商由磋商小组无记名投票决定。</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评审内容：包括但不限于①整体策划，②流程设计；③现场布置；④物料制作等。2、评审方法：方案各项内容全面详细、阐述条理清晰，能有效保障本项目实施，得20分；每有一项缺项扣5分；每有一项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包括但不限于①设备与物料保障；②全流程管控措施，③质量管理制度；④服务承诺。2、评审方法：措施各项内容全面详细、阐述条理清晰，能有效保障本项目实施，得16分；每有一项缺项扣4分；每有一项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针对本项目的应急预案</w:t>
            </w:r>
          </w:p>
        </w:tc>
        <w:tc>
          <w:tcPr>
            <w:tcW w:type="dxa" w:w="2492"/>
          </w:tcPr>
          <w:p>
            <w:pPr>
              <w:pStyle w:val="null3"/>
            </w:pPr>
            <w:r>
              <w:rPr>
                <w:rFonts w:ascii="仿宋_GB2312" w:hAnsi="仿宋_GB2312" w:cs="仿宋_GB2312" w:eastAsia="仿宋_GB2312"/>
              </w:rPr>
              <w:t>1、评审内容：包括但不限于①设备故障应急措施；②人员变动应急处置，③天气变化应急措施；④流程调整等突发情况。2、评审方法：应急预案各项内容全面详细、阐述条理清晰，能有效保障本项目实施，得16分；每有一项缺项扣4分；每有一项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1、评审内容：包括但不限于①人员配备整体架构；②人员岗位配置安排；③人员管理措施等。2、评审方法：方案各项内容全面详细、阐述条理清晰，能有效保障本项目实施，得6分；每有一项缺项扣2分；每有一项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安全保障措施方案</w:t>
            </w:r>
          </w:p>
        </w:tc>
        <w:tc>
          <w:tcPr>
            <w:tcW w:type="dxa" w:w="2492"/>
          </w:tcPr>
          <w:p>
            <w:pPr>
              <w:pStyle w:val="null3"/>
            </w:pPr>
            <w:r>
              <w:rPr>
                <w:rFonts w:ascii="仿宋_GB2312" w:hAnsi="仿宋_GB2312" w:cs="仿宋_GB2312" w:eastAsia="仿宋_GB2312"/>
              </w:rPr>
              <w:t>1、评审内容：提供安全保障措施。2、评审方法安全保障措施内容全面详细、阐述条理清晰，能有效保障本项目实施，得6分；内容存在缺陷，扣2分；不提供不得分。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主要风险识别与防控措施</w:t>
            </w:r>
          </w:p>
        </w:tc>
        <w:tc>
          <w:tcPr>
            <w:tcW w:type="dxa" w:w="2492"/>
          </w:tcPr>
          <w:p>
            <w:pPr>
              <w:pStyle w:val="null3"/>
            </w:pPr>
            <w:r>
              <w:rPr>
                <w:rFonts w:ascii="仿宋_GB2312" w:hAnsi="仿宋_GB2312" w:cs="仿宋_GB2312" w:eastAsia="仿宋_GB2312"/>
              </w:rPr>
              <w:t>1、评审内容：包括但不限于①安全风险；②舆论风险，③技术与执行风险；④组织与沟通风险。2、评审方法：应急预案各项内容全面详细、阐述条理清晰，能有效保障本项目实施，得12分；每有一项缺项扣3分；每有一项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近三年类似业绩</w:t>
            </w:r>
          </w:p>
        </w:tc>
        <w:tc>
          <w:tcPr>
            <w:tcW w:type="dxa" w:w="2492"/>
          </w:tcPr>
          <w:p>
            <w:pPr>
              <w:pStyle w:val="null3"/>
            </w:pPr>
            <w:r>
              <w:rPr>
                <w:rFonts w:ascii="仿宋_GB2312" w:hAnsi="仿宋_GB2312" w:cs="仿宋_GB2312" w:eastAsia="仿宋_GB2312"/>
              </w:rPr>
              <w:t>提供2023年至今承担过类似业绩，每提供一项类似业绩得2分，最高得分4分，以加盖公章的中标通知书或合同复印件为准。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价格分应当采用低价优先法计算，即满足磋商文件要求且磋商报价最低的报价为评标基准价，其价格分为满分。其他供应商的价格分统一按照下列公式计算： 磋商报价得分=(评标基准价／有效磋商报价)×价格权值×100 注：1.计算分数时四舍五入取小数点后两位。 2.因本项目为专门面向中小企业采购的项目，故不再执行价格评审优惠的扶持政策。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