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E703F">
      <w:pPr>
        <w:pStyle w:val="2"/>
        <w:rPr>
          <w:rFonts w:hint="eastAsia" w:ascii="宋体" w:hAnsi="宋体" w:cs="宋体"/>
          <w:b/>
          <w:color w:val="auto"/>
          <w:sz w:val="48"/>
          <w:szCs w:val="48"/>
          <w:lang w:val="en-US" w:eastAsia="zh-CN"/>
        </w:rPr>
      </w:pPr>
    </w:p>
    <w:p w14:paraId="1C4A5B9F">
      <w:pPr>
        <w:jc w:val="center"/>
        <w:rPr>
          <w:rFonts w:hint="eastAsia" w:ascii="宋体" w:hAnsi="宋体" w:cs="宋体"/>
          <w:b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cs="宋体"/>
          <w:b/>
          <w:color w:val="auto"/>
          <w:sz w:val="40"/>
          <w:szCs w:val="40"/>
          <w:lang w:val="en-US" w:eastAsia="zh-CN"/>
        </w:rPr>
        <w:t>2026年渭南重点工业企业产品宣传推介活动</w:t>
      </w:r>
    </w:p>
    <w:p w14:paraId="2B6C71B6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6C71629E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合</w:t>
      </w:r>
    </w:p>
    <w:p w14:paraId="010A0345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11850FD7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同</w:t>
      </w:r>
    </w:p>
    <w:p w14:paraId="513D3183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64B68FDA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书</w:t>
      </w:r>
    </w:p>
    <w:p w14:paraId="59E0294A">
      <w:pPr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 w14:paraId="029A3380">
      <w:pPr>
        <w:pStyle w:val="2"/>
        <w:rPr>
          <w:rFonts w:hint="eastAsia"/>
        </w:rPr>
      </w:pPr>
    </w:p>
    <w:p w14:paraId="2FA8DB1E">
      <w:pPr>
        <w:pStyle w:val="2"/>
        <w:rPr>
          <w:rFonts w:hint="eastAsia"/>
        </w:rPr>
      </w:pPr>
    </w:p>
    <w:p w14:paraId="4B2FC295">
      <w:pPr>
        <w:pStyle w:val="2"/>
        <w:rPr>
          <w:rFonts w:hint="eastAsia"/>
        </w:rPr>
      </w:pPr>
      <w:bookmarkStart w:id="0" w:name="_GoBack"/>
      <w:bookmarkEnd w:id="0"/>
    </w:p>
    <w:p w14:paraId="4FC85216">
      <w:pPr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8"/>
      </w:tblGrid>
      <w:tr w14:paraId="5DC21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398" w:type="dxa"/>
            <w:noWrap w:val="0"/>
            <w:vAlign w:val="top"/>
          </w:tcPr>
          <w:p w14:paraId="3D8F08DA">
            <w:pPr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>甲方：渭南市工业经济发展促进中心</w:t>
            </w:r>
          </w:p>
        </w:tc>
      </w:tr>
      <w:tr w14:paraId="5EC3B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398" w:type="dxa"/>
            <w:noWrap w:val="0"/>
            <w:vAlign w:val="top"/>
          </w:tcPr>
          <w:p w14:paraId="245BA6FB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>乙方：</w:t>
            </w:r>
          </w:p>
        </w:tc>
      </w:tr>
      <w:tr w14:paraId="7F7EA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5398" w:type="dxa"/>
            <w:noWrap w:val="0"/>
            <w:vAlign w:val="top"/>
          </w:tcPr>
          <w:p w14:paraId="3FE4A580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>日期：二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eastAsia="zh-CN"/>
              </w:rPr>
              <w:t>〇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zh-CN" w:eastAsia="zh-CN"/>
              </w:rPr>
              <w:t>二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zh-CN" w:eastAsia="zh-CN"/>
              </w:rPr>
              <w:t>年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zh-CN" w:eastAsia="zh-CN"/>
              </w:rPr>
              <w:t>月</w:t>
            </w:r>
          </w:p>
        </w:tc>
      </w:tr>
    </w:tbl>
    <w:p w14:paraId="11199205">
      <w:pPr>
        <w:spacing w:line="560" w:lineRule="exact"/>
        <w:ind w:firstLine="4337" w:firstLineChars="18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4E40781D">
      <w:pPr>
        <w:spacing w:line="560" w:lineRule="exact"/>
        <w:ind w:firstLine="4337" w:firstLineChars="18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4792C34B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08C8E990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28BCC0AC">
      <w:pPr>
        <w:spacing w:before="47" w:line="355" w:lineRule="auto"/>
        <w:rPr>
          <w:rFonts w:hint="eastAsia" w:ascii="宋体" w:hAnsi="宋体" w:eastAsia="宋体" w:cs="宋体"/>
          <w:color w:val="auto"/>
          <w:spacing w:val="-13"/>
          <w:sz w:val="24"/>
          <w:szCs w:val="24"/>
        </w:rPr>
      </w:pPr>
    </w:p>
    <w:p w14:paraId="6C98B5A1">
      <w:pPr>
        <w:spacing w:before="47" w:line="355" w:lineRule="auto"/>
        <w:rPr>
          <w:rFonts w:hint="eastAsia" w:ascii="宋体" w:hAnsi="宋体" w:eastAsia="宋体" w:cs="宋体"/>
          <w:color w:val="auto"/>
          <w:spacing w:val="-13"/>
          <w:sz w:val="24"/>
          <w:szCs w:val="24"/>
        </w:rPr>
      </w:pPr>
    </w:p>
    <w:p w14:paraId="4D69C644">
      <w:pPr>
        <w:spacing w:before="47" w:line="355" w:lineRule="auto"/>
        <w:rPr>
          <w:rFonts w:hint="eastAsia" w:ascii="宋体" w:hAnsi="宋体" w:eastAsia="宋体" w:cs="宋体"/>
          <w:color w:val="auto"/>
          <w:spacing w:val="-13"/>
          <w:sz w:val="24"/>
          <w:szCs w:val="24"/>
        </w:rPr>
      </w:pPr>
    </w:p>
    <w:p w14:paraId="708F4AEA">
      <w:pPr>
        <w:spacing w:before="47" w:line="355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3"/>
          <w:sz w:val="24"/>
          <w:szCs w:val="24"/>
        </w:rPr>
        <w:t>委托单位：</w:t>
      </w:r>
      <w:r>
        <w:rPr>
          <w:rFonts w:hint="eastAsia" w:ascii="宋体" w:hAnsi="宋体" w:eastAsia="宋体" w:cs="宋体"/>
          <w:color w:val="auto"/>
          <w:spacing w:val="3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u w:val="single" w:color="auto"/>
        </w:rPr>
        <w:t xml:space="preserve"> 渭南市工业经济发展促进中心</w:t>
      </w:r>
      <w:r>
        <w:rPr>
          <w:rFonts w:hint="eastAsia" w:ascii="宋体" w:hAnsi="宋体" w:eastAsia="宋体" w:cs="宋体"/>
          <w:color w:val="auto"/>
          <w:spacing w:val="-3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</w:rPr>
        <w:t>(以下称甲方)</w:t>
      </w:r>
    </w:p>
    <w:p w14:paraId="238A63B2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受托单位：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pacing w:val="5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(以下称乙方)</w:t>
      </w:r>
    </w:p>
    <w:p w14:paraId="4DAC9BC3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</w:p>
    <w:p w14:paraId="2711B14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2026年渭南重点工业企业产品宣传推介活动的采购结果，按照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》及其他有关法律、法规，遵循平等、自愿、公平和诚信的原则，双方就下述项目范围与相关服务事项协商一致，订立本合同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。</w:t>
      </w:r>
    </w:p>
    <w:p w14:paraId="60BB1CD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项目概况</w:t>
      </w:r>
    </w:p>
    <w:p w14:paraId="77B3FBA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2026年渭南重点工业企业产品宣传推介活动</w:t>
      </w:r>
    </w:p>
    <w:p w14:paraId="7A8082B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地点：渭南市相关县市区、省内市外等企业所在园区或厂区内。</w:t>
      </w:r>
    </w:p>
    <w:p w14:paraId="2CDC4C2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服务期：自合同签订之日起至2026年12月 </w:t>
      </w:r>
    </w:p>
    <w:p w14:paraId="28A0172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二、服务内容</w:t>
      </w:r>
    </w:p>
    <w:p w14:paraId="74C520E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为进一步宣传推广渭南重点工业企业知名产品，帮助域内工业企业开拓产销渠道，助力全市工业稳增长，举办2026 年渭南重点工业企业产品宣传活动，共计举办 10 场，其中市内 8 场、省内市外 2 场。严格按照 “一类企业一场活动” 要求，采取市内与省内市外相结合的形式组织实施，活动地点均设在相关县（市、区）企业所在园区或厂区内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 w14:paraId="7D15C69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三、合同金额及付款方式</w:t>
      </w:r>
    </w:p>
    <w:p w14:paraId="2FF0438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1.合同总价款为人民币：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元（人民币大写：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）</w:t>
      </w:r>
    </w:p>
    <w:p w14:paraId="4F6B3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2.支付方式：合同生效后，甲方向乙方支付合同总金额的40%；活动中期阶段完成并验收合格后，支付合同总金额的40%；活动全部整体结束且验收无误后，支付剩余合同总金额的20%。乙方需向甲方开具全额正规发票。</w:t>
      </w:r>
    </w:p>
    <w:p w14:paraId="17B4730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3.乙方账户信息</w:t>
      </w:r>
    </w:p>
    <w:p w14:paraId="71DDD86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户  名：</w:t>
      </w:r>
    </w:p>
    <w:p w14:paraId="3A8A676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开户行：</w:t>
      </w:r>
    </w:p>
    <w:p w14:paraId="63F75F4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地  址：</w:t>
      </w:r>
    </w:p>
    <w:p w14:paraId="422B547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行  号：</w:t>
      </w:r>
    </w:p>
    <w:p w14:paraId="224D196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账  号：</w:t>
      </w:r>
    </w:p>
    <w:p w14:paraId="043FC56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四、甲乙双方权利和义务 </w:t>
      </w:r>
    </w:p>
    <w:p w14:paraId="2FCAF65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1.甲方的权利及义务</w:t>
      </w:r>
    </w:p>
    <w:p w14:paraId="7FD68E8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（1）应在合同约定的时间内提供推介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本项目所需要的基础数据和技术资料，并协助乙方收集其他有关资料。</w:t>
      </w:r>
    </w:p>
    <w:p w14:paraId="1345193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（2）甲方按照约定及时向乙方支付本合同费用。</w:t>
      </w:r>
    </w:p>
    <w:p w14:paraId="1AA8594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（3）甲方在合同期内项目发生变化时应及时通知乙方。</w:t>
      </w:r>
    </w:p>
    <w:p w14:paraId="6DC75B6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（4）因甲方责任造成项目的重大调整，或返工的，需增加费用时，其数额由双方另行商定，同时，提交成果的时间相应调整，双方另行签订补充协议。</w:t>
      </w:r>
    </w:p>
    <w:p w14:paraId="3613C1B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5）在合同履行期间，有下列情况之一的，甲方有权终止合同的履行：（1）因不可抗力致使活动无法继续进行的；（2）乙方未及时履行合同中的主要义务；（3）其他因乙方原因致使推介活动无法正常进行的情形。</w:t>
      </w:r>
    </w:p>
    <w:p w14:paraId="5D79B6C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2.乙方的权利及义务</w:t>
      </w:r>
    </w:p>
    <w:p w14:paraId="20CDA39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（1）乙方应在合同约定的时间内完成服务，达到合同规定的要求。</w:t>
      </w:r>
    </w:p>
    <w:p w14:paraId="54F6D03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（2）乙方提供的服务成果达不到合同规定要求的，乙方应无条件完善、修改。</w:t>
      </w:r>
    </w:p>
    <w:p w14:paraId="6B593B2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（3）对甲方提供的项目技术资料，必须妥善保管，保证资料不遗失、损坏和防潮，并应对甲方提供的资料承担保密义务，否则由乙方自行承担。</w:t>
      </w:r>
    </w:p>
    <w:p w14:paraId="6DDD49E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（4）未经甲方同意，乙方不得擅自将成果提供给第三方使用，否则，由此发生的损失和法律责任由乙方承担。</w:t>
      </w:r>
    </w:p>
    <w:p w14:paraId="72C5DB5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（5）接受委托后，有下列情况之一的，乙方有权终止合同的履行：(1)提供的材料不真实或取得方式不合法；(2)因不可抗力致使服务无法继续进行的；(3)其他因甲方原因致使服务工作无法正常进行的情形。</w:t>
      </w:r>
    </w:p>
    <w:p w14:paraId="679E175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五、在发生不可抗力情况下的应对措施和解决办法 </w:t>
      </w:r>
    </w:p>
    <w:p w14:paraId="757540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不可抗力包括但不限于自然灾害如水灾、火灾、旱灾、台风、地震，以及社会事件如战争（不论曾否宣战）、疫情、动乱、骚乱、罢工、政府行为或法律规定等。声称受到不可抗力事件影响的一方应在不可抗力事件发生之日起3个工作日内通知对方。因不可抗力致使协议不能履行时，双方可协商解除协议。</w:t>
      </w:r>
    </w:p>
    <w:p w14:paraId="58509C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六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违约责任</w:t>
      </w:r>
    </w:p>
    <w:p w14:paraId="6D88FD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的违约责任</w:t>
      </w:r>
    </w:p>
    <w:p w14:paraId="511E78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违反约定，不能按时提供技术资料或工作条件或提供技术资料不准确，导致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无法按期完成并提交测评服务成果的，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有权按延误的时间予以顺延；造成服务成果返工或修改时，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应按实际完成的工作量增付费用。</w:t>
      </w:r>
    </w:p>
    <w:p w14:paraId="1237C8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因故要求中途终止合同时，应及时书面通知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不退还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支付的定金。若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已开展工作，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实际完成的工作量支付相应的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2AE68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的违约责任</w:t>
      </w:r>
    </w:p>
    <w:p w14:paraId="56AF4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未按合同约定日期提交服务成果时，对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造成直接损失的，应向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赔偿相应的直接损失。</w:t>
      </w:r>
    </w:p>
    <w:p w14:paraId="322EF5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故意或重大过失，提供错误或不合格信息而导致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损失的，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有责任采取补救措施，并按实际情况赔偿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因此而造成的直接损失。</w:t>
      </w:r>
    </w:p>
    <w:p w14:paraId="5F2417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恶意违反约定，未按合同约定提交测评服务成果的，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有权解除合同，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应返还已收取的咨询费用。</w:t>
      </w:r>
    </w:p>
    <w:p w14:paraId="3BDCB7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</w:rPr>
        <w:t>任何一方违反国家《中华人民共和国民法典》相关规定，违约方需承担法律责任。</w:t>
      </w:r>
    </w:p>
    <w:p w14:paraId="3C6FA28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七、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争议解决方式</w:t>
      </w:r>
    </w:p>
    <w:p w14:paraId="210C99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在履行本合同期间若发生争议，甲、乙双方应友好协商解决。若协商不成，任何一方均可向甲方所在地有管辖权的人民法院提起诉讼。</w:t>
      </w:r>
    </w:p>
    <w:p w14:paraId="25CFBA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合同未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>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事宜，由甲乙双方协商，补充条款跟原合同同等法律效力。</w:t>
      </w:r>
    </w:p>
    <w:p w14:paraId="4B53AEB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八、监督和管理</w:t>
      </w:r>
    </w:p>
    <w:p w14:paraId="49009B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1、政府采购合同履行中，采购人需追加与合同标的相同的货物、工程或者服务的，在不改变合同其他条款的前提下，可以与供应商协商签订补充合同，但所有补充合同的采购金额不得超过原合同采购金额的10%。</w:t>
      </w:r>
    </w:p>
    <w:p w14:paraId="3A9113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2、甲乙双方均应自觉配合有关监督管理部门对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合同履行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情况的监督检查，如实反映情况，提供有关资料；否则，将对有关单位、当事人按照有关规定予以处罚。</w:t>
      </w:r>
    </w:p>
    <w:p w14:paraId="0A58BA1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九、验收标准</w:t>
      </w:r>
    </w:p>
    <w:p w14:paraId="7B4A4A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本项目应按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询价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文件全部内容完成。</w:t>
      </w:r>
    </w:p>
    <w:p w14:paraId="50CB9E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依据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询价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文件及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成交人询价响应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文件进行验收。</w:t>
      </w:r>
    </w:p>
    <w:p w14:paraId="03B994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3.在项目执行完毕后，将成果资料移交采购人，经采购人或验收小组一致认为达到合格标准。</w:t>
      </w:r>
    </w:p>
    <w:p w14:paraId="06CC469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十、合同生效及其它 </w:t>
      </w:r>
    </w:p>
    <w:p w14:paraId="62F7F69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1、本合同经双方法定代表人或其委托人签字并加盖公章后生效。 </w:t>
      </w:r>
    </w:p>
    <w:p w14:paraId="7309E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本合同壹式肆份，合同双方甲方执贰份乙方执贰份，具有同等法律效力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600AD416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1D240FBF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2DE80636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7"/>
        <w:gridCol w:w="4743"/>
      </w:tblGrid>
      <w:tr w14:paraId="2796A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3FA63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甲方名称：</w:t>
            </w:r>
          </w:p>
        </w:tc>
        <w:tc>
          <w:tcPr>
            <w:tcW w:w="4743" w:type="dxa"/>
            <w:noWrap w:val="0"/>
            <w:vAlign w:val="top"/>
          </w:tcPr>
          <w:p w14:paraId="3425B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乙方名称： </w:t>
            </w:r>
          </w:p>
        </w:tc>
      </w:tr>
      <w:tr w14:paraId="05778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7026D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法定代表人或授权委托人（签字）：</w:t>
            </w:r>
          </w:p>
        </w:tc>
        <w:tc>
          <w:tcPr>
            <w:tcW w:w="4743" w:type="dxa"/>
            <w:noWrap w:val="0"/>
            <w:vAlign w:val="top"/>
          </w:tcPr>
          <w:p w14:paraId="56369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法定代表人或授权委托人（签字）：</w:t>
            </w:r>
          </w:p>
        </w:tc>
      </w:tr>
      <w:tr w14:paraId="0200C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3C3DE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    话：</w:t>
            </w:r>
          </w:p>
        </w:tc>
        <w:tc>
          <w:tcPr>
            <w:tcW w:w="4743" w:type="dxa"/>
            <w:noWrap w:val="0"/>
            <w:vAlign w:val="top"/>
          </w:tcPr>
          <w:p w14:paraId="6A9D5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    话：</w:t>
            </w:r>
          </w:p>
        </w:tc>
      </w:tr>
      <w:tr w14:paraId="24C74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29E9C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    址：</w:t>
            </w:r>
          </w:p>
        </w:tc>
        <w:tc>
          <w:tcPr>
            <w:tcW w:w="4743" w:type="dxa"/>
            <w:noWrap w:val="0"/>
            <w:vAlign w:val="top"/>
          </w:tcPr>
          <w:p w14:paraId="79BC6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20" w:hanging="1320" w:hangingChars="55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地    址： </w:t>
            </w:r>
          </w:p>
        </w:tc>
      </w:tr>
      <w:tr w14:paraId="3B17A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637" w:type="dxa"/>
            <w:noWrap w:val="0"/>
            <w:vAlign w:val="top"/>
          </w:tcPr>
          <w:p w14:paraId="3D56A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  <w:tc>
          <w:tcPr>
            <w:tcW w:w="4743" w:type="dxa"/>
            <w:noWrap w:val="0"/>
            <w:vAlign w:val="top"/>
          </w:tcPr>
          <w:p w14:paraId="7FCE3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40D332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04BBE"/>
    <w:multiLevelType w:val="singleLevel"/>
    <w:tmpl w:val="18404B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911C7"/>
    <w:rsid w:val="056D55F6"/>
    <w:rsid w:val="161931AB"/>
    <w:rsid w:val="24062A5E"/>
    <w:rsid w:val="28217C8E"/>
    <w:rsid w:val="498911C7"/>
    <w:rsid w:val="506A116F"/>
    <w:rsid w:val="79054AA3"/>
    <w:rsid w:val="7D1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2197</Words>
  <Characters>2268</Characters>
  <Lines>0</Lines>
  <Paragraphs>0</Paragraphs>
  <TotalTime>2</TotalTime>
  <ScaleCrop>false</ScaleCrop>
  <LinksUpToDate>false</LinksUpToDate>
  <CharactersWithSpaces>2344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2025-06-24T12:13:00Z</dcterms:created>
  <dc:creator>三羊开泰</dc:creator>
  <cp:lastModifiedBy>三羊开泰</cp:lastModifiedBy>
  <dcterms:modified xsi:type="dcterms:W3CDTF">2026-05-19T12:51:03Z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22A83252A2E441128C99CB59D2F0566B_13</vt:lpwstr>
  </property>
  <property fmtid="{D5CDD505-2E9C-101B-9397-08002B2CF9AE}" pid="4" name="KSOTemplateDocerSaveRecord">
    <vt:lpwstr>eyJoZGlkIjoiMjFmNmQ1OTI4OTA3OTc4YmQ0YWJhNTJiZDUwMDQ5NDciLCJ1c2VySWQiOiIyODE3OTg3NTAifQ==</vt:lpwstr>
  </property>
</Properties>
</file>