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版本号：CGZC-2026-045（ZR20GN2026-CS-033）20260630001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业务平台运维服务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CGZC-2026-045（ZR20GN2026-CS-033）</w:t>
      </w:r>
      <w:r>
        <w:br/>
      </w:r>
      <w:r>
        <w:br/>
      </w:r>
      <w:r>
        <w:br/>
      </w:r>
    </w:p>
    <w:p>
      <w:pPr>
        <w:pStyle w:val="null3"/>
        <w:jc w:val="center"/>
        <w:outlineLvl w:val="2"/>
      </w:pPr>
      <w:r>
        <w:rPr>
          <w:rFonts w:ascii="仿宋_GB2312" w:hAnsi="仿宋_GB2312" w:cs="仿宋_GB2312" w:eastAsia="仿宋_GB2312"/>
          <w:sz w:val="28"/>
          <w:b/>
        </w:rPr>
        <w:t>西安浐灞国际港财政金融局</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西安浐灞国际港财政金融局</w:t>
      </w:r>
      <w:r>
        <w:rPr>
          <w:rFonts w:ascii="仿宋_GB2312" w:hAnsi="仿宋_GB2312" w:cs="仿宋_GB2312" w:eastAsia="仿宋_GB2312"/>
        </w:rPr>
        <w:t>委托，拟对</w:t>
      </w:r>
      <w:r>
        <w:rPr>
          <w:rFonts w:ascii="仿宋_GB2312" w:hAnsi="仿宋_GB2312" w:cs="仿宋_GB2312" w:eastAsia="仿宋_GB2312"/>
        </w:rPr>
        <w:t>业务平台运维服务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CGZC-2026-045（ZR20GN2026-CS-033）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业务平台运维服务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采购财政金融局业务平台运维服务。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采购包1（业务平台运维服务）：属于专门面向中小企业采购。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2、供应商基本资格条件承诺函：供应商需在项目电子化交易系统中按要求填写《基本资格条件承诺函》完成承诺并进行电子签章。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4、联合体：本项目不接受联合体。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西安浐灞国际港财政金融局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029-83332451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若按照标准收取不足6000元，按6000元计取。 3、成交单位的代理服务费交纳信息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西安浐灞国际港财政金融局</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西安浐灞国际港财政金融局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西安浐灞国际港财政金融局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采购财政金融局业务平台运维服务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业务平台运维服务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标的名称：业务平台运维服务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ind w:firstLine="480"/>
            </w:pPr>
            <w:r>
              <w:rPr>
                <w:rFonts w:ascii="仿宋_GB2312" w:hAnsi="仿宋_GB2312" w:cs="仿宋_GB2312" w:eastAsia="仿宋_GB2312"/>
                <w:sz w:val="16"/>
              </w:rPr>
              <w:t>陕西财政云平台是覆盖财政局科室的核心业务系统，承载着预算管理、指标管理、国库集中支付、部门决算、监控平台、财政总会计账、资产管理、银行账户管理、人员台账、单位核算系统等核心业务。为减少运行故障，及时响应并处理问题，以“保障业务连续、服务高效”为核心目标，确保陕西财政云平台整体平稳运行。</w:t>
            </w:r>
          </w:p>
          <w:p>
            <w:pPr>
              <w:pStyle w:val="null3"/>
            </w:pPr>
            <w:r>
              <w:rPr>
                <w:rFonts w:ascii="仿宋_GB2312" w:hAnsi="仿宋_GB2312" w:cs="仿宋_GB2312" w:eastAsia="仿宋_GB2312"/>
                <w:sz w:val="16"/>
                <w:b/>
              </w:rPr>
              <w:t>二、服务内容</w:t>
            </w:r>
          </w:p>
          <w:p>
            <w:pPr>
              <w:pStyle w:val="null3"/>
              <w:ind w:firstLine="400"/>
            </w:pPr>
            <w:r>
              <w:rPr>
                <w:rFonts w:ascii="仿宋_GB2312" w:hAnsi="仿宋_GB2312" w:cs="仿宋_GB2312" w:eastAsia="仿宋_GB2312"/>
                <w:sz w:val="16"/>
              </w:rPr>
              <w:t>1.运维支持服务</w:t>
            </w:r>
          </w:p>
          <w:p>
            <w:pPr>
              <w:pStyle w:val="null3"/>
              <w:ind w:firstLine="400"/>
            </w:pPr>
            <w:r>
              <w:rPr>
                <w:rFonts w:ascii="仿宋_GB2312" w:hAnsi="仿宋_GB2312" w:cs="仿宋_GB2312" w:eastAsia="仿宋_GB2312"/>
                <w:sz w:val="16"/>
              </w:rPr>
              <w:t>供应商根据采购人上班时间对陕西财政云提供运维支持服务，运维支持团队应根据本项目运行情况制定日常维护工作计划；按照采购人需求对系统运行问题进行跟踪解决；根据采购人业务需求及趋势，对运维管理提出针对性的优化建议，内容包括：</w:t>
            </w:r>
          </w:p>
          <w:p>
            <w:pPr>
              <w:pStyle w:val="null3"/>
            </w:pPr>
            <w:r>
              <w:rPr>
                <w:rFonts w:ascii="仿宋_GB2312" w:hAnsi="仿宋_GB2312" w:cs="仿宋_GB2312" w:eastAsia="仿宋_GB2312"/>
                <w:sz w:val="16"/>
              </w:rPr>
              <w:t xml:space="preserve">  （1）运维管理支持，问题/故障跟踪管理、技能传递及运维服务等运维支持管理服务；根据事件优先级和人员技能，合理分配任务，确保支持服务有序进行；监督财政云运维状况，根据业务需求以及资源运行情况，对运维工作流程、制度提出合理化建议；提供财政云项目相关华为产品运维的技术解答，技术资料及咨询，财政云资产信息管理及更新，配合采购人做好财政云系统应急演练；制定有效措施，确保运维人员的服务质量、规范，维护良好工作环境与工作秩序；</w:t>
            </w:r>
          </w:p>
          <w:p>
            <w:pPr>
              <w:pStyle w:val="null3"/>
            </w:pPr>
            <w:r>
              <w:rPr>
                <w:rFonts w:ascii="仿宋_GB2312" w:hAnsi="仿宋_GB2312" w:cs="仿宋_GB2312" w:eastAsia="仿宋_GB2312"/>
                <w:sz w:val="16"/>
              </w:rPr>
              <w:t xml:space="preserve">  （2）FusionCloud平台资源发放与回收、变更审批、服务器及存储设备的配置变更、云平台升级保障；财政云平台的日常巡检、故障定位与处理、告警分派并跟踪解决，提供周巡检报告、月分析报告和年度总结报告；提供财政云云平台运维方面的技术解答，技术资料及咨询，关于云平台的合理化建议；</w:t>
            </w:r>
            <w:r>
              <w:rPr>
                <w:rFonts w:ascii="仿宋_GB2312" w:hAnsi="仿宋_GB2312" w:cs="仿宋_GB2312" w:eastAsia="仿宋_GB2312"/>
                <w:sz w:val="16"/>
              </w:rPr>
              <w:t xml:space="preserve"> </w:t>
            </w:r>
          </w:p>
          <w:p>
            <w:pPr>
              <w:pStyle w:val="null3"/>
            </w:pPr>
            <w:r>
              <w:rPr>
                <w:rFonts w:ascii="仿宋_GB2312" w:hAnsi="仿宋_GB2312" w:cs="仿宋_GB2312" w:eastAsia="仿宋_GB2312"/>
                <w:sz w:val="16"/>
              </w:rPr>
              <w:t xml:space="preserve">  （3）FusionStage平台巡检、问题定位、故障处理，微服务资源的日常监控，告警分派到对应接口人或者厂家，并跟踪解决；提供微服务问题现场处理、沟通协调、配置管理及变更、平台升级保障等运维活动的技术支持服务；提供财政云微服务运维方面的技术解答，技术资料及咨询，关于微服务的合理化建议；</w:t>
            </w:r>
          </w:p>
          <w:p>
            <w:pPr>
              <w:pStyle w:val="null3"/>
            </w:pPr>
            <w:r>
              <w:rPr>
                <w:rFonts w:ascii="仿宋_GB2312" w:hAnsi="仿宋_GB2312" w:cs="仿宋_GB2312" w:eastAsia="仿宋_GB2312"/>
                <w:sz w:val="16"/>
              </w:rPr>
              <w:t xml:space="preserve">  （4）GaussDB数据库的配置管理、备份与恢复、告警与故障处理、确保GaussDB数据库的稳定运行；配合专业团队完成数据库补丁升级，制定相关升级方案，保障升级成功；GaussDB数据库每天例行巡检，对潜在风险问题及时跟进，制定解决措施，提供周巡检报告、月分析报告和年度总结报告；根据数据库系统的特点和运行需求，对系统性能、容量、可用性、连续性等情况进行分析，提出物理资源调整、扩容、升级和数据库调优等合理化建议。</w:t>
            </w:r>
          </w:p>
          <w:p>
            <w:pPr>
              <w:pStyle w:val="null3"/>
            </w:pPr>
            <w:r>
              <w:rPr>
                <w:rFonts w:ascii="仿宋_GB2312" w:hAnsi="仿宋_GB2312" w:cs="仿宋_GB2312" w:eastAsia="仿宋_GB2312"/>
                <w:sz w:val="16"/>
              </w:rPr>
              <w:t xml:space="preserve">  （5）提供网络设备软件升级和补丁升级服务，结合人工巡检和使用网管系统与监控工具，对省财政网络运行状态、运行性能、资源使用分配情况进行日常监控、检查和分析，及时提供响应支持、故障处理、性能优化，并提供周巡检报告、月分析报告和年度总结报告；对网络设备的常规作业，包括但不少于安装部署、授权操作、策略配置、数据/配置备份等；定期修改网络设备登录密码和安全设置，做好设备安全防护，重大事件期间提供每天24小时网络技术支持保障服务。</w:t>
            </w:r>
          </w:p>
          <w:p>
            <w:pPr>
              <w:pStyle w:val="null3"/>
              <w:ind w:firstLine="400"/>
            </w:pPr>
            <w:r>
              <w:rPr>
                <w:rFonts w:ascii="仿宋_GB2312" w:hAnsi="仿宋_GB2312" w:cs="仿宋_GB2312" w:eastAsia="仿宋_GB2312"/>
                <w:sz w:val="16"/>
              </w:rPr>
              <w:t>2.热线电话服务</w:t>
            </w:r>
          </w:p>
          <w:p>
            <w:pPr>
              <w:pStyle w:val="null3"/>
              <w:ind w:firstLine="400"/>
            </w:pPr>
            <w:r>
              <w:rPr>
                <w:rFonts w:ascii="仿宋_GB2312" w:hAnsi="仿宋_GB2312" w:cs="仿宋_GB2312" w:eastAsia="仿宋_GB2312"/>
                <w:sz w:val="16"/>
              </w:rPr>
              <w:t>针对运维服务过程中无法及时解决的问题，通过电话、传真、电子邮件等方式为采购人提供每周5天(从星期一到星期五)每天8小时的服务。对采购人的服务请求和问题，及时响应，并将其直接转给相关技术工程师，确保1小时内给予解答或回复。</w:t>
            </w:r>
          </w:p>
          <w:p>
            <w:pPr>
              <w:pStyle w:val="null3"/>
              <w:ind w:firstLine="400"/>
            </w:pPr>
            <w:r>
              <w:rPr>
                <w:rFonts w:ascii="仿宋_GB2312" w:hAnsi="仿宋_GB2312" w:cs="仿宋_GB2312" w:eastAsia="仿宋_GB2312"/>
                <w:sz w:val="16"/>
              </w:rPr>
              <w:t>3.其他服务</w:t>
            </w:r>
          </w:p>
          <w:p>
            <w:pPr>
              <w:pStyle w:val="null3"/>
              <w:ind w:firstLine="400"/>
            </w:pPr>
            <w:r>
              <w:rPr>
                <w:rFonts w:ascii="仿宋_GB2312" w:hAnsi="仿宋_GB2312" w:cs="仿宋_GB2312" w:eastAsia="仿宋_GB2312"/>
                <w:sz w:val="16"/>
              </w:rPr>
              <w:t>在完成合同约定的服务期限后，根据采购人要求还需要继续提供服务或者由于业务重新调整导致的必须派工程师重新进行系统定制，成交供应商需提供与软件应用相关的服务。</w:t>
            </w:r>
          </w:p>
          <w:p>
            <w:pPr>
              <w:pStyle w:val="null3"/>
            </w:pPr>
            <w:r>
              <w:rPr>
                <w:rFonts w:ascii="仿宋_GB2312" w:hAnsi="仿宋_GB2312" w:cs="仿宋_GB2312" w:eastAsia="仿宋_GB2312"/>
                <w:sz w:val="16"/>
                <w:b/>
              </w:rPr>
              <w:t>三、服务</w:t>
            </w:r>
            <w:r>
              <w:rPr>
                <w:rFonts w:ascii="仿宋_GB2312" w:hAnsi="仿宋_GB2312" w:cs="仿宋_GB2312" w:eastAsia="仿宋_GB2312"/>
                <w:sz w:val="16"/>
                <w:b/>
              </w:rPr>
              <w:t>标准</w:t>
            </w:r>
          </w:p>
          <w:tbl>
            <w:tblPr>
              <w:tblBorders>
                <w:top w:val="none" w:color="000000" w:sz="4"/>
                <w:left w:val="none" w:color="000000" w:sz="4"/>
                <w:bottom w:val="none" w:color="000000" w:sz="4"/>
                <w:right w:val="none" w:color="000000" w:sz="4"/>
                <w:insideH w:val="none"/>
                <w:insideV w:val="none"/>
              </w:tblBorders>
            </w:tblPr>
            <w:tblGrid>
              <w:gridCol w:w="298"/>
              <w:gridCol w:w="843"/>
              <w:gridCol w:w="2049"/>
            </w:tblGrid>
            <w:tr>
              <w:tc>
                <w:tcPr>
                  <w:tcW w:type="dxa" w:w="2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rPr>
                    <w:t>序号</w:t>
                  </w:r>
                </w:p>
              </w:tc>
              <w:tc>
                <w:tcPr>
                  <w:tcW w:type="dxa" w:w="84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服务方式</w:t>
                  </w:r>
                </w:p>
              </w:tc>
              <w:tc>
                <w:tcPr>
                  <w:tcW w:type="dxa" w:w="204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服务内容</w:t>
                  </w:r>
                </w:p>
              </w:tc>
            </w:tr>
            <w:tr>
              <w:tc>
                <w:tcPr>
                  <w:tcW w:type="dxa" w:w="298"/>
                  <w:vMerge/>
                  <w:tcBorders>
                    <w:top w:val="single" w:color="000000" w:sz="4"/>
                    <w:left w:val="single" w:color="000000" w:sz="4"/>
                    <w:bottom w:val="single" w:color="000000" w:sz="4"/>
                    <w:right w:val="single" w:color="000000" w:sz="4"/>
                  </w:tcBorders>
                </w:tcPr>
                <w:p/>
              </w:tc>
              <w:tc>
                <w:tcPr>
                  <w:tcW w:type="dxa" w:w="843"/>
                  <w:vMerge/>
                  <w:tcBorders>
                    <w:top w:val="single" w:color="000000" w:sz="4"/>
                    <w:left w:val="single" w:color="000000" w:sz="4"/>
                    <w:bottom w:val="single" w:color="000000" w:sz="4"/>
                    <w:right w:val="single" w:color="000000" w:sz="4"/>
                  </w:tcBorders>
                </w:tcPr>
                <w:p/>
              </w:tc>
              <w:tc>
                <w:tcPr>
                  <w:tcW w:type="dxa" w:w="2049"/>
                  <w:vMerge/>
                  <w:tcBorders>
                    <w:top w:val="single" w:color="000000" w:sz="4"/>
                    <w:left w:val="singl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rPr>
                    <w:t>1</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rPr>
                    <w:t>Internet、网络服务、微信QQ等通讯工具、热线电话服务，通过远程方式实现的系统定制与调整。</w:t>
                  </w:r>
                </w:p>
              </w:tc>
              <w:tc>
                <w:tcPr>
                  <w:tcW w:type="dxa" w:w="20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6"/>
                    </w:rPr>
                    <w:t>1、财政局科室及预算单位软件培训（预算管理、指标管理、国库集中支付、部门决算、监控平台、财政总会计帐、资产管理、银行账户管理、人员台账、单位核算）。</w:t>
                  </w:r>
                </w:p>
                <w:p>
                  <w:pPr>
                    <w:pStyle w:val="null3"/>
                    <w:ind w:firstLine="400"/>
                  </w:pPr>
                  <w:r>
                    <w:rPr>
                      <w:rFonts w:ascii="仿宋_GB2312" w:hAnsi="仿宋_GB2312" w:cs="仿宋_GB2312" w:eastAsia="仿宋_GB2312"/>
                      <w:sz w:val="16"/>
                    </w:rPr>
                    <w:t>2、财政云系统人员、科室、角色等预算管理、指标管理、国库集中支付、部门决算、监控平台、财政总会计帐、资产管理、银行账户管理、人员台账、单位核算等基础数据、权限配置及财政云一体化系统的调试等工作。</w:t>
                  </w:r>
                </w:p>
                <w:p>
                  <w:pPr>
                    <w:pStyle w:val="null3"/>
                    <w:ind w:firstLine="400"/>
                  </w:pPr>
                  <w:r>
                    <w:rPr>
                      <w:rFonts w:ascii="仿宋_GB2312" w:hAnsi="仿宋_GB2312" w:cs="仿宋_GB2312" w:eastAsia="仿宋_GB2312"/>
                      <w:sz w:val="16"/>
                    </w:rPr>
                    <w:t>3、财政云上线运行后预算管理、指标管理、国库集中支付、部门决算、监控平台、财政总会计帐、资产管理、银行账户管理、人员台账、单位核算使用过程中的问题处理。</w:t>
                  </w:r>
                </w:p>
                <w:p>
                  <w:pPr>
                    <w:pStyle w:val="null3"/>
                    <w:ind w:firstLine="400"/>
                  </w:pPr>
                  <w:r>
                    <w:rPr>
                      <w:rFonts w:ascii="仿宋_GB2312" w:hAnsi="仿宋_GB2312" w:cs="仿宋_GB2312" w:eastAsia="仿宋_GB2312"/>
                      <w:sz w:val="16"/>
                    </w:rPr>
                    <w:t>4、所有运维工作都基于区划管理员权限范围内的服务。</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rPr>
                    <w:t>2</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rPr>
                    <w:t>由业务变动引起的系统重新定制或部分调整，由成交供应商根据采购人要求提供相关技术服务。</w:t>
                  </w:r>
                </w:p>
              </w:tc>
              <w:tc>
                <w:tcPr>
                  <w:tcW w:type="dxa" w:w="2049"/>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16"/>
                <w:b/>
              </w:rPr>
              <w:t>四、商务要求</w:t>
            </w:r>
          </w:p>
          <w:p>
            <w:pPr>
              <w:pStyle w:val="null3"/>
            </w:pPr>
            <w:r>
              <w:rPr>
                <w:rFonts w:ascii="仿宋_GB2312" w:hAnsi="仿宋_GB2312" w:cs="仿宋_GB2312" w:eastAsia="仿宋_GB2312"/>
                <w:sz w:val="16"/>
              </w:rPr>
              <w:t>(一)服务期限</w:t>
            </w:r>
          </w:p>
          <w:p>
            <w:pPr>
              <w:pStyle w:val="null3"/>
              <w:ind w:firstLine="400"/>
            </w:pPr>
            <w:r>
              <w:rPr>
                <w:rFonts w:ascii="仿宋_GB2312" w:hAnsi="仿宋_GB2312" w:cs="仿宋_GB2312" w:eastAsia="仿宋_GB2312"/>
                <w:sz w:val="16"/>
              </w:rPr>
              <w:t>自合同签订之日起至本项目服务结束止（最晚不超过2026年12月31日）。</w:t>
            </w:r>
          </w:p>
          <w:p>
            <w:pPr>
              <w:pStyle w:val="null3"/>
            </w:pPr>
            <w:r>
              <w:rPr>
                <w:rFonts w:ascii="仿宋_GB2312" w:hAnsi="仿宋_GB2312" w:cs="仿宋_GB2312" w:eastAsia="仿宋_GB2312"/>
                <w:sz w:val="16"/>
              </w:rPr>
              <w:t>(二)款项结算</w:t>
            </w:r>
          </w:p>
          <w:p>
            <w:pPr>
              <w:pStyle w:val="null3"/>
            </w:pPr>
            <w:r>
              <w:rPr>
                <w:rFonts w:ascii="仿宋_GB2312" w:hAnsi="仿宋_GB2312" w:cs="仿宋_GB2312" w:eastAsia="仿宋_GB2312"/>
                <w:sz w:val="16"/>
              </w:rPr>
              <w:t>服务期满并经采购人验收合格后一次性支付合同总价款的100%。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满足本项目服务要求，按需配备。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自合同签订之日起至本项目服务结束止（最晚不超过2026年12月31日）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进度款，服务期满并经采购人验收合格后，达到付款条件起30个工作日内，支付合同总金额的100.0%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3.4.2项目所属行业：（根据《工业和信息化部、国家统计局、国家发展和改革委员会、财政部关于印发中小企业划型标准规定的通知》（工信部联企业〔2011〕300 号）规定的划分标准：（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3.4.3落实政府采购政策：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供应商需在项目电子化交易系统中按要求填写《响应函》、《基本资格条件承诺函》完成承诺，提交相应资格证明文件并进行电子签章。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相关法律法规对供应商报价有规定的，从其规定。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 2.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首次磋商报价表.docx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首次磋商报价表.docx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业绩一览表.docx 供应商应提供的资格证明文件.docx 中小企业声明函 商务应答表 服务内容及服务要求应答表 首次磋商报价表.docx 报价表 响应文件封面 政府采购供应商拒绝政府采购领域商业贿赂承诺书.docx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首次磋商报价表.docx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 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提供针对本项目的需求分析； ①完整包含项目背景解读、项目整体意图、需求重难点分析、任务细化、完整工作思路全部模块，要素齐全，得 15分； ②包含项目背景、需求解读、重难点分析、基础工作思路，核心模块无缺失，未对任务进行细化，得 10 分； ③仅简述项目基本需求，重难点分析、完整工作思路等核心模块缺失较多，内容单薄，得 5 分； 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组织机构和人员构成</w:t>
            </w:r>
          </w:p>
        </w:tc>
        <w:tc>
          <w:tcPr>
            <w:tcW w:type="dxa" w:w="2492"/>
          </w:tcPr>
          <w:p>
            <w:pPr>
              <w:pStyle w:val="null3"/>
            </w:pPr>
            <w:r>
              <w:rPr>
                <w:rFonts w:ascii="仿宋_GB2312" w:hAnsi="仿宋_GB2312" w:cs="仿宋_GB2312" w:eastAsia="仿宋_GB2312"/>
              </w:rPr>
              <w:t>供应商提供针对本项目的组织机构和人员构成： ①提供完整岗位人员配置表，列明全部岗位职责，同时附有完整团队管理制度、人员管控细则，得9分； ②提供完整岗位人员配置表，仅标注岗位名称、未列明具体岗位职责，附有团队管理制度但缺少落地执行细则，得6分； ③仅提供岗位人员配置表，无任何人员分工内容，未制定有效团队管理相关制度，得3分；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供应商提供针对本项目的培训方案方案： ①方案要素齐全，包含培训计划、课程内容、人员安排、考核及复训机制，内容完整体系完善，得5分； ②方案核心模块基本完整，具备基础培训安排，部分细节内容缺失，得3分；③仅简述培训思路，无具体实施细则、内容粗略简略，得1分；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供应商针对本项目的应急方案包括但不限于故障分级、处置流程、人员职责、复盘机制等； ①内容全面、科学合理、阐述条理清晰、可实施性强，得6分； ②方案各项内容部分阐述条理清晰、部分具有可实施性，得4分； ③方案粗疏或不符合标准，应急处置混乱的得2分；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提供针对本项目的合理化建议； ①提出的意见建议详实可行、针对性强，具备完整落地要件，可有效改进项目技术、质量、进度等工作，得5分； ②提出的意见建议具备可行性，有明确改进方向，可对项目技术、质量、进度形成正向优化，得3分；③提出的意见建议内容笼统、无具体落地举措，可行性差，对项目改进无实质作用，得1分；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运维人员经验</w:t>
            </w:r>
          </w:p>
        </w:tc>
        <w:tc>
          <w:tcPr>
            <w:tcW w:type="dxa" w:w="2492"/>
          </w:tcPr>
          <w:p>
            <w:pPr>
              <w:pStyle w:val="null3"/>
            </w:pPr>
            <w:r>
              <w:rPr>
                <w:rFonts w:ascii="仿宋_GB2312" w:hAnsi="仿宋_GB2312" w:cs="仿宋_GB2312" w:eastAsia="仿宋_GB2312"/>
              </w:rPr>
              <w:t>①运维人员3 年及以上相关行业运维经验，得7分； ② 运维人员2 年（含）~3 年相关行业运维经验，得4 分； ③运维人员1 年（含）~2 年相关行业运维经验，得1 分； 无相关经验 /或未提供相关证明资料不得分。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依据供应商提供的服务承诺，格式自拟，内容为： ①承诺为采购人提供每周5天(从星期一到星期五)每天8小时的服务； ②承诺对采购人的服务请求和问题，及时响应，并将其直接转给相关技术工程师，确保1小时内给予解答或回复： 每提供一项得2.5分，本项满分5分。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依据供应商提供的本项目项目管理制度，包含四大管理制度： ①提供完善的人员管理办法，内容完整贴合财政云运维平台服务工作开展；②提供规范的运维服务质量标准，明确财政云运维平台值守、巡检、故障处置等服务管控标准及工作要求； ③提供健全的人员考核办法，明确财政云运维岗位考核细则、考核标准及奖惩机制； ④提供完备的日常运维管理制度，包含财政云平台日常值守、业务保障；每提供一项得2分，满分8分；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供应商提供针对本项目的 保密措施，内容包含： ①制定常态化工作人员安全保密教育机制； ②组织签订安全保密承诺书，明确保密管理内容、保密义务及责任。 每提供一项得5分，最高得10分；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提供2023年1月1日至今类似项目业绩，提供1份得2分，满分10分。（以合同签订时间为准，提供合同复印件）未提供不得分。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详见附件：合同--业务平台运维服务.docx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