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2CA8A">
      <w:pPr>
        <w:tabs>
          <w:tab w:val="left" w:pos="567"/>
        </w:tabs>
        <w:kinsoku w:val="0"/>
        <w:autoSpaceDE w:val="0"/>
        <w:autoSpaceDN w:val="0"/>
        <w:adjustRightInd w:val="0"/>
        <w:snapToGrid w:val="0"/>
        <w:spacing w:line="240" w:lineRule="auto"/>
        <w:jc w:val="center"/>
        <w:textAlignment w:val="baseline"/>
        <w:rPr>
          <w:rFonts w:hint="eastAsia" w:ascii="仿宋" w:hAnsi="仿宋" w:eastAsia="仿宋" w:cs="仿宋"/>
          <w:b/>
          <w:bCs/>
          <w:snapToGrid w:val="0"/>
          <w:color w:val="auto"/>
          <w:kern w:val="0"/>
          <w:sz w:val="40"/>
          <w:szCs w:val="40"/>
          <w:highlight w:val="none"/>
          <w:lang w:val="en-US" w:eastAsia="zh-CN" w:bidi="ar-SA"/>
        </w:rPr>
      </w:pPr>
    </w:p>
    <w:p w14:paraId="5789BC88">
      <w:pPr>
        <w:tabs>
          <w:tab w:val="left" w:pos="567"/>
        </w:tabs>
        <w:kinsoku w:val="0"/>
        <w:autoSpaceDE w:val="0"/>
        <w:autoSpaceDN w:val="0"/>
        <w:adjustRightInd w:val="0"/>
        <w:snapToGrid w:val="0"/>
        <w:spacing w:line="240" w:lineRule="auto"/>
        <w:jc w:val="center"/>
        <w:textAlignment w:val="baseline"/>
        <w:rPr>
          <w:rFonts w:hint="eastAsia" w:ascii="仿宋" w:hAnsi="仿宋" w:eastAsia="仿宋" w:cs="仿宋"/>
          <w:b/>
          <w:bCs/>
          <w:snapToGrid w:val="0"/>
          <w:color w:val="auto"/>
          <w:kern w:val="0"/>
          <w:sz w:val="40"/>
          <w:szCs w:val="40"/>
          <w:highlight w:val="none"/>
          <w:lang w:val="en-US" w:eastAsia="zh-CN" w:bidi="ar-SA"/>
        </w:rPr>
      </w:pPr>
    </w:p>
    <w:p w14:paraId="2C13D883">
      <w:pPr>
        <w:tabs>
          <w:tab w:val="left" w:pos="567"/>
        </w:tabs>
        <w:kinsoku w:val="0"/>
        <w:autoSpaceDE w:val="0"/>
        <w:autoSpaceDN w:val="0"/>
        <w:adjustRightInd w:val="0"/>
        <w:snapToGrid w:val="0"/>
        <w:spacing w:line="240" w:lineRule="auto"/>
        <w:jc w:val="center"/>
        <w:textAlignment w:val="baseline"/>
        <w:rPr>
          <w:rFonts w:hint="eastAsia" w:ascii="仿宋" w:hAnsi="仿宋" w:eastAsia="仿宋" w:cs="仿宋"/>
          <w:b/>
          <w:bCs/>
          <w:snapToGrid w:val="0"/>
          <w:color w:val="auto"/>
          <w:kern w:val="0"/>
          <w:sz w:val="40"/>
          <w:szCs w:val="40"/>
          <w:highlight w:val="none"/>
          <w:lang w:val="en-US" w:eastAsia="zh-CN" w:bidi="ar-SA"/>
        </w:rPr>
      </w:pPr>
    </w:p>
    <w:p w14:paraId="5F0797D7">
      <w:pPr>
        <w:tabs>
          <w:tab w:val="left" w:pos="567"/>
        </w:tabs>
        <w:kinsoku w:val="0"/>
        <w:autoSpaceDE w:val="0"/>
        <w:autoSpaceDN w:val="0"/>
        <w:adjustRightInd w:val="0"/>
        <w:snapToGrid w:val="0"/>
        <w:spacing w:line="240" w:lineRule="auto"/>
        <w:jc w:val="center"/>
        <w:textAlignment w:val="baseline"/>
        <w:rPr>
          <w:rFonts w:hint="eastAsia" w:ascii="仿宋" w:hAnsi="仿宋" w:eastAsia="仿宋" w:cs="仿宋"/>
          <w:b/>
          <w:bCs/>
          <w:snapToGrid w:val="0"/>
          <w:color w:val="auto"/>
          <w:kern w:val="0"/>
          <w:sz w:val="40"/>
          <w:szCs w:val="40"/>
          <w:highlight w:val="none"/>
          <w:lang w:val="en-US" w:eastAsia="zh-CN" w:bidi="ar-SA"/>
        </w:rPr>
      </w:pPr>
    </w:p>
    <w:p w14:paraId="30CC0745">
      <w:pPr>
        <w:tabs>
          <w:tab w:val="left" w:pos="567"/>
        </w:tabs>
        <w:kinsoku w:val="0"/>
        <w:autoSpaceDE w:val="0"/>
        <w:autoSpaceDN w:val="0"/>
        <w:adjustRightInd w:val="0"/>
        <w:snapToGrid w:val="0"/>
        <w:spacing w:line="240" w:lineRule="auto"/>
        <w:jc w:val="center"/>
        <w:textAlignment w:val="baseline"/>
        <w:rPr>
          <w:rFonts w:hint="eastAsia" w:ascii="仿宋" w:hAnsi="仿宋" w:eastAsia="仿宋" w:cs="仿宋"/>
          <w:b/>
          <w:bCs/>
          <w:snapToGrid w:val="0"/>
          <w:color w:val="auto"/>
          <w:kern w:val="0"/>
          <w:sz w:val="40"/>
          <w:szCs w:val="40"/>
          <w:highlight w:val="none"/>
          <w:lang w:val="en-US" w:eastAsia="zh-CN" w:bidi="ar-SA"/>
        </w:rPr>
      </w:pPr>
    </w:p>
    <w:p w14:paraId="300E6A3D">
      <w:pPr>
        <w:tabs>
          <w:tab w:val="left" w:pos="567"/>
        </w:tabs>
        <w:kinsoku w:val="0"/>
        <w:autoSpaceDE w:val="0"/>
        <w:autoSpaceDN w:val="0"/>
        <w:adjustRightInd w:val="0"/>
        <w:snapToGrid w:val="0"/>
        <w:spacing w:line="240" w:lineRule="auto"/>
        <w:jc w:val="center"/>
        <w:textAlignment w:val="baseline"/>
        <w:rPr>
          <w:rFonts w:hint="eastAsia" w:ascii="仿宋" w:hAnsi="仿宋" w:eastAsia="仿宋" w:cs="仿宋"/>
          <w:b/>
          <w:bCs/>
          <w:snapToGrid w:val="0"/>
          <w:color w:val="auto"/>
          <w:kern w:val="0"/>
          <w:sz w:val="40"/>
          <w:szCs w:val="40"/>
          <w:highlight w:val="none"/>
          <w:lang w:val="en-US" w:eastAsia="zh-CN" w:bidi="ar-SA"/>
        </w:rPr>
      </w:pPr>
    </w:p>
    <w:p w14:paraId="681927C5">
      <w:pPr>
        <w:tabs>
          <w:tab w:val="left" w:pos="567"/>
        </w:tabs>
        <w:kinsoku w:val="0"/>
        <w:autoSpaceDE w:val="0"/>
        <w:autoSpaceDN w:val="0"/>
        <w:adjustRightInd w:val="0"/>
        <w:snapToGrid w:val="0"/>
        <w:spacing w:line="240" w:lineRule="auto"/>
        <w:jc w:val="center"/>
        <w:textAlignment w:val="baseline"/>
        <w:rPr>
          <w:rFonts w:hint="eastAsia" w:ascii="仿宋" w:hAnsi="仿宋" w:eastAsia="仿宋" w:cs="仿宋"/>
          <w:b/>
          <w:bCs/>
          <w:snapToGrid w:val="0"/>
          <w:color w:val="auto"/>
          <w:kern w:val="0"/>
          <w:sz w:val="40"/>
          <w:szCs w:val="40"/>
          <w:highlight w:val="none"/>
          <w:lang w:val="en-US" w:eastAsia="zh-CN" w:bidi="ar-SA"/>
        </w:rPr>
      </w:pPr>
      <w:r>
        <w:rPr>
          <w:rFonts w:hint="eastAsia" w:ascii="仿宋" w:hAnsi="仿宋" w:eastAsia="仿宋" w:cs="仿宋"/>
          <w:b/>
          <w:bCs/>
          <w:snapToGrid w:val="0"/>
          <w:color w:val="auto"/>
          <w:kern w:val="0"/>
          <w:sz w:val="40"/>
          <w:szCs w:val="40"/>
          <w:highlight w:val="none"/>
          <w:lang w:val="en-US" w:eastAsia="zh-CN" w:bidi="ar-SA"/>
        </w:rPr>
        <w:t>业务平台运维服务</w:t>
      </w:r>
    </w:p>
    <w:p w14:paraId="7ECD6757">
      <w:pPr>
        <w:spacing w:line="240" w:lineRule="auto"/>
        <w:jc w:val="center"/>
        <w:rPr>
          <w:rFonts w:hint="eastAsia" w:ascii="仿宋" w:hAnsi="仿宋" w:eastAsia="仿宋" w:cs="仿宋"/>
          <w:b/>
          <w:color w:val="auto"/>
          <w:sz w:val="40"/>
          <w:szCs w:val="40"/>
          <w:highlight w:val="none"/>
        </w:rPr>
      </w:pPr>
    </w:p>
    <w:p w14:paraId="75C0AED4">
      <w:pPr>
        <w:spacing w:line="240" w:lineRule="auto"/>
        <w:rPr>
          <w:rFonts w:hint="eastAsia" w:ascii="仿宋" w:hAnsi="仿宋" w:eastAsia="仿宋" w:cs="仿宋"/>
          <w:color w:val="auto"/>
          <w:sz w:val="40"/>
          <w:szCs w:val="40"/>
          <w:highlight w:val="none"/>
        </w:rPr>
      </w:pPr>
    </w:p>
    <w:p w14:paraId="68D39F9E">
      <w:pPr>
        <w:spacing w:line="240" w:lineRule="auto"/>
        <w:rPr>
          <w:rFonts w:hint="eastAsia" w:ascii="仿宋" w:hAnsi="仿宋" w:eastAsia="仿宋" w:cs="仿宋"/>
          <w:color w:val="auto"/>
          <w:sz w:val="40"/>
          <w:szCs w:val="40"/>
          <w:highlight w:val="none"/>
        </w:rPr>
      </w:pPr>
    </w:p>
    <w:p w14:paraId="248DC061">
      <w:pPr>
        <w:spacing w:line="240" w:lineRule="auto"/>
        <w:rPr>
          <w:rFonts w:hint="eastAsia" w:ascii="仿宋" w:hAnsi="仿宋" w:eastAsia="仿宋" w:cs="仿宋"/>
          <w:color w:val="auto"/>
          <w:sz w:val="40"/>
          <w:szCs w:val="40"/>
          <w:highlight w:val="none"/>
        </w:rPr>
      </w:pPr>
    </w:p>
    <w:p w14:paraId="51CD1A69">
      <w:pPr>
        <w:spacing w:line="240" w:lineRule="auto"/>
        <w:rPr>
          <w:rFonts w:hint="eastAsia" w:ascii="仿宋" w:hAnsi="仿宋" w:eastAsia="仿宋" w:cs="仿宋"/>
          <w:color w:val="auto"/>
          <w:sz w:val="40"/>
          <w:szCs w:val="40"/>
          <w:highlight w:val="none"/>
        </w:rPr>
      </w:pPr>
    </w:p>
    <w:p w14:paraId="57D3A7CA">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合 同 书</w:t>
      </w:r>
    </w:p>
    <w:p w14:paraId="06CA07BD">
      <w:pPr>
        <w:spacing w:line="240" w:lineRule="auto"/>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（仅供参考，具体合同内容以甲乙双方签订为准）</w:t>
      </w:r>
    </w:p>
    <w:p w14:paraId="4497348D">
      <w:pPr>
        <w:spacing w:line="240" w:lineRule="auto"/>
        <w:jc w:val="center"/>
        <w:rPr>
          <w:rFonts w:hint="eastAsia" w:ascii="仿宋" w:hAnsi="仿宋" w:eastAsia="仿宋" w:cs="仿宋"/>
          <w:b/>
          <w:color w:val="auto"/>
          <w:sz w:val="28"/>
          <w:szCs w:val="28"/>
          <w:highlight w:val="none"/>
        </w:rPr>
      </w:pPr>
    </w:p>
    <w:p w14:paraId="68454667">
      <w:pPr>
        <w:spacing w:line="240" w:lineRule="auto"/>
        <w:rPr>
          <w:rFonts w:hint="eastAsia" w:ascii="仿宋" w:hAnsi="仿宋" w:eastAsia="仿宋" w:cs="仿宋"/>
          <w:b/>
          <w:color w:val="auto"/>
          <w:sz w:val="28"/>
          <w:szCs w:val="28"/>
          <w:highlight w:val="none"/>
        </w:rPr>
      </w:pPr>
    </w:p>
    <w:p w14:paraId="7BBAC743">
      <w:pPr>
        <w:spacing w:line="240" w:lineRule="auto"/>
        <w:rPr>
          <w:rFonts w:hint="eastAsia" w:ascii="仿宋" w:hAnsi="仿宋" w:eastAsia="仿宋" w:cs="仿宋"/>
          <w:color w:val="auto"/>
          <w:sz w:val="28"/>
          <w:szCs w:val="28"/>
          <w:highlight w:val="none"/>
        </w:rPr>
      </w:pPr>
    </w:p>
    <w:p w14:paraId="6296F1F5">
      <w:pPr>
        <w:spacing w:line="240" w:lineRule="auto"/>
        <w:rPr>
          <w:rFonts w:hint="eastAsia" w:ascii="仿宋" w:hAnsi="仿宋" w:eastAsia="仿宋" w:cs="仿宋"/>
          <w:color w:val="auto"/>
          <w:sz w:val="28"/>
          <w:szCs w:val="28"/>
          <w:highlight w:val="none"/>
        </w:rPr>
      </w:pPr>
    </w:p>
    <w:p w14:paraId="173D5888">
      <w:pPr>
        <w:spacing w:line="240" w:lineRule="auto"/>
        <w:rPr>
          <w:rFonts w:hint="eastAsia" w:ascii="仿宋" w:hAnsi="仿宋" w:eastAsia="仿宋" w:cs="仿宋"/>
          <w:color w:val="auto"/>
          <w:sz w:val="28"/>
          <w:szCs w:val="28"/>
          <w:highlight w:val="none"/>
        </w:rPr>
      </w:pPr>
    </w:p>
    <w:p w14:paraId="26FA6926">
      <w:pPr>
        <w:spacing w:line="240" w:lineRule="auto"/>
        <w:rPr>
          <w:rFonts w:hint="eastAsia" w:ascii="仿宋" w:hAnsi="仿宋" w:eastAsia="仿宋" w:cs="仿宋"/>
          <w:color w:val="auto"/>
          <w:sz w:val="28"/>
          <w:szCs w:val="28"/>
          <w:highlight w:val="none"/>
        </w:rPr>
      </w:pPr>
    </w:p>
    <w:p w14:paraId="1C6F84F1">
      <w:pPr>
        <w:tabs>
          <w:tab w:val="left" w:pos="567"/>
        </w:tabs>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8"/>
          <w:szCs w:val="28"/>
          <w:highlight w:val="none"/>
          <w:lang w:val="en-US" w:eastAsia="en-US" w:bidi="ar-SA"/>
        </w:rPr>
      </w:pPr>
    </w:p>
    <w:p w14:paraId="00A786BB">
      <w:pPr>
        <w:spacing w:line="240" w:lineRule="auto"/>
        <w:ind w:left="987" w:hanging="1630" w:hangingChars="400"/>
        <w:jc w:val="center"/>
        <w:rPr>
          <w:rFonts w:hint="eastAsia" w:ascii="仿宋" w:hAnsi="仿宋" w:eastAsia="仿宋" w:cs="仿宋"/>
          <w:b/>
          <w:color w:val="auto"/>
          <w:spacing w:val="23"/>
          <w:sz w:val="36"/>
          <w:szCs w:val="36"/>
          <w:highlight w:val="none"/>
        </w:rPr>
      </w:pPr>
    </w:p>
    <w:p w14:paraId="77CAD396">
      <w:pPr>
        <w:spacing w:line="240" w:lineRule="auto"/>
        <w:ind w:left="1308" w:hanging="1630" w:hangingChars="400"/>
        <w:jc w:val="center"/>
        <w:rPr>
          <w:rFonts w:hint="eastAsia" w:ascii="仿宋" w:hAnsi="仿宋" w:eastAsia="仿宋" w:cs="仿宋"/>
          <w:b/>
          <w:color w:val="auto"/>
          <w:spacing w:val="23"/>
          <w:sz w:val="36"/>
          <w:szCs w:val="36"/>
          <w:highlight w:val="none"/>
        </w:rPr>
      </w:pPr>
      <w:r>
        <w:rPr>
          <w:rFonts w:hint="eastAsia" w:ascii="仿宋" w:hAnsi="仿宋" w:eastAsia="仿宋" w:cs="仿宋"/>
          <w:b/>
          <w:color w:val="auto"/>
          <w:spacing w:val="23"/>
          <w:sz w:val="36"/>
          <w:szCs w:val="36"/>
          <w:highlight w:val="none"/>
        </w:rPr>
        <w:t>甲方(</w:t>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color w:val="auto"/>
          <w:sz w:val="36"/>
          <w:szCs w:val="36"/>
          <w:highlight w:val="none"/>
        </w:rPr>
        <w:fldChar w:fldCharType="separate"/>
      </w:r>
      <w:r>
        <w:rPr>
          <w:rFonts w:hint="eastAsia" w:ascii="仿宋" w:hAnsi="仿宋" w:eastAsia="仿宋" w:cs="仿宋"/>
          <w:b/>
          <w:color w:val="auto"/>
          <w:spacing w:val="23"/>
          <w:sz w:val="36"/>
          <w:szCs w:val="36"/>
          <w:highlight w:val="none"/>
        </w:rPr>
        <w:t>采购人</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w:t>
      </w:r>
      <w:r>
        <w:rPr>
          <w:rFonts w:hint="eastAsia" w:ascii="仿宋" w:hAnsi="仿宋" w:eastAsia="仿宋" w:cs="仿宋"/>
          <w:color w:val="auto"/>
          <w:spacing w:val="23"/>
          <w:sz w:val="36"/>
          <w:szCs w:val="36"/>
          <w:highlight w:val="none"/>
          <w:u w:val="single"/>
        </w:rPr>
        <w:t></w:t>
      </w:r>
    </w:p>
    <w:p w14:paraId="1E4ADE72">
      <w:pPr>
        <w:spacing w:line="240" w:lineRule="auto"/>
        <w:ind w:left="840" w:hanging="1440" w:hangingChars="400"/>
        <w:jc w:val="center"/>
        <w:rPr>
          <w:rFonts w:hint="eastAsia" w:ascii="仿宋" w:hAnsi="仿宋" w:eastAsia="仿宋" w:cs="仿宋"/>
          <w:color w:val="auto"/>
          <w:spacing w:val="23"/>
          <w:sz w:val="36"/>
          <w:szCs w:val="36"/>
          <w:highlight w:val="none"/>
          <w:u w:val="single"/>
        </w:rPr>
      </w:pP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36"/>
          <w:szCs w:val="36"/>
          <w:highlight w:val="none"/>
        </w:rPr>
        <w:fldChar w:fldCharType="separate"/>
      </w:r>
      <w:r>
        <w:rPr>
          <w:rFonts w:hint="eastAsia" w:ascii="仿宋" w:hAnsi="仿宋" w:eastAsia="仿宋" w:cs="仿宋"/>
          <w:b/>
          <w:color w:val="auto"/>
          <w:spacing w:val="23"/>
          <w:sz w:val="36"/>
          <w:szCs w:val="36"/>
          <w:highlight w:val="none"/>
        </w:rPr>
        <w:t>乙方</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(供应商)：</w:t>
      </w:r>
      <w:r>
        <w:rPr>
          <w:rFonts w:hint="eastAsia" w:ascii="仿宋" w:hAnsi="仿宋" w:eastAsia="仿宋" w:cs="仿宋"/>
          <w:color w:val="auto"/>
          <w:spacing w:val="23"/>
          <w:sz w:val="36"/>
          <w:szCs w:val="36"/>
          <w:highlight w:val="none"/>
          <w:u w:val="single"/>
        </w:rPr>
        <w:t></w:t>
      </w:r>
    </w:p>
    <w:p w14:paraId="5A6721FB">
      <w:pPr>
        <w:tabs>
          <w:tab w:val="left" w:pos="1995"/>
        </w:tabs>
        <w:spacing w:line="240" w:lineRule="auto"/>
        <w:ind w:left="1308" w:hanging="1630" w:hangingChars="400"/>
        <w:jc w:val="center"/>
        <w:rPr>
          <w:rFonts w:hint="eastAsia" w:ascii="仿宋" w:hAnsi="仿宋" w:eastAsia="仿宋" w:cs="仿宋"/>
          <w:bCs/>
          <w:color w:val="auto"/>
          <w:sz w:val="36"/>
          <w:szCs w:val="36"/>
          <w:highlight w:val="none"/>
        </w:rPr>
      </w:pPr>
      <w:r>
        <w:rPr>
          <w:rFonts w:hint="eastAsia" w:ascii="仿宋" w:hAnsi="仿宋" w:eastAsia="仿宋" w:cs="仿宋"/>
          <w:b/>
          <w:color w:val="auto"/>
          <w:spacing w:val="23"/>
          <w:sz w:val="36"/>
          <w:szCs w:val="36"/>
          <w:highlight w:val="none"/>
        </w:rPr>
        <w:t>签订时间：</w:t>
      </w:r>
      <w:r>
        <w:rPr>
          <w:rFonts w:hint="eastAsia" w:ascii="仿宋" w:hAnsi="仿宋" w:eastAsia="仿宋" w:cs="仿宋"/>
          <w:color w:val="auto"/>
          <w:spacing w:val="23"/>
          <w:sz w:val="36"/>
          <w:szCs w:val="36"/>
          <w:highlight w:val="none"/>
          <w:u w:val="single"/>
        </w:rPr>
        <w:t></w:t>
      </w:r>
      <w:r>
        <w:rPr>
          <w:rFonts w:hint="eastAsia" w:ascii="仿宋" w:hAnsi="仿宋" w:eastAsia="仿宋" w:cs="仿宋"/>
          <w:b/>
          <w:color w:val="auto"/>
          <w:spacing w:val="23"/>
          <w:sz w:val="36"/>
          <w:szCs w:val="36"/>
          <w:highlight w:val="none"/>
        </w:rPr>
        <w:t>年</w:t>
      </w:r>
      <w:r>
        <w:rPr>
          <w:rFonts w:hint="eastAsia" w:ascii="仿宋" w:hAnsi="仿宋" w:eastAsia="仿宋" w:cs="仿宋"/>
          <w:color w:val="auto"/>
          <w:spacing w:val="23"/>
          <w:sz w:val="36"/>
          <w:szCs w:val="36"/>
          <w:highlight w:val="none"/>
          <w:u w:val="single"/>
        </w:rPr>
        <w:t></w:t>
      </w:r>
      <w:r>
        <w:rPr>
          <w:rFonts w:hint="eastAsia" w:ascii="仿宋" w:hAnsi="仿宋" w:eastAsia="仿宋" w:cs="仿宋"/>
          <w:b/>
          <w:color w:val="auto"/>
          <w:spacing w:val="23"/>
          <w:sz w:val="36"/>
          <w:szCs w:val="36"/>
          <w:highlight w:val="none"/>
        </w:rPr>
        <w:t>月</w:t>
      </w:r>
      <w:r>
        <w:rPr>
          <w:rFonts w:hint="eastAsia" w:ascii="仿宋" w:hAnsi="仿宋" w:eastAsia="仿宋" w:cs="仿宋"/>
          <w:color w:val="auto"/>
          <w:spacing w:val="23"/>
          <w:sz w:val="36"/>
          <w:szCs w:val="36"/>
          <w:highlight w:val="none"/>
          <w:u w:val="single"/>
        </w:rPr>
        <w:t></w:t>
      </w:r>
      <w:r>
        <w:rPr>
          <w:rFonts w:hint="eastAsia" w:ascii="仿宋" w:hAnsi="仿宋" w:eastAsia="仿宋" w:cs="仿宋"/>
          <w:b/>
          <w:color w:val="auto"/>
          <w:spacing w:val="23"/>
          <w:sz w:val="36"/>
          <w:szCs w:val="36"/>
          <w:highlight w:val="none"/>
        </w:rPr>
        <w:t>日</w:t>
      </w:r>
    </w:p>
    <w:p w14:paraId="7E0F4299">
      <w:pPr>
        <w:spacing w:line="240" w:lineRule="auto"/>
        <w:rPr>
          <w:rFonts w:hint="eastAsia" w:ascii="仿宋" w:hAnsi="仿宋" w:eastAsia="仿宋" w:cs="仿宋"/>
          <w:bCs/>
          <w:color w:val="auto"/>
          <w:sz w:val="20"/>
          <w:szCs w:val="20"/>
          <w:highlight w:val="none"/>
        </w:rPr>
      </w:pPr>
    </w:p>
    <w:p w14:paraId="052F8464">
      <w:pPr>
        <w:spacing w:line="240" w:lineRule="auto"/>
        <w:rPr>
          <w:rFonts w:hint="eastAsia" w:ascii="仿宋" w:hAnsi="仿宋" w:eastAsia="仿宋" w:cs="仿宋"/>
          <w:bCs/>
          <w:color w:val="auto"/>
          <w:sz w:val="20"/>
          <w:szCs w:val="20"/>
          <w:highlight w:val="none"/>
        </w:rPr>
      </w:pPr>
    </w:p>
    <w:p w14:paraId="21064EAE">
      <w:pPr>
        <w:widowControl/>
        <w:spacing w:line="240" w:lineRule="auto"/>
        <w:rPr>
          <w:rFonts w:hint="eastAsia" w:ascii="仿宋" w:hAnsi="仿宋" w:eastAsia="仿宋" w:cs="仿宋"/>
          <w:color w:val="auto"/>
          <w:sz w:val="20"/>
          <w:szCs w:val="20"/>
          <w:highlight w:val="none"/>
        </w:rPr>
      </w:pPr>
      <w:bookmarkStart w:id="0" w:name="OLE_LINK48"/>
      <w:r>
        <w:rPr>
          <w:rFonts w:hint="eastAsia" w:ascii="仿宋" w:hAnsi="仿宋" w:eastAsia="仿宋" w:cs="仿宋"/>
          <w:color w:val="auto"/>
          <w:sz w:val="20"/>
          <w:szCs w:val="20"/>
          <w:highlight w:val="none"/>
        </w:rPr>
        <w:br w:type="page"/>
      </w:r>
      <w:bookmarkEnd w:id="0"/>
    </w:p>
    <w:p w14:paraId="38F7664B">
      <w:pPr>
        <w:widowControl/>
        <w:spacing w:after="240" w:afterLines="100" w:line="240" w:lineRule="auto"/>
        <w:jc w:val="center"/>
        <w:outlineLvl w:val="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32"/>
          <w:szCs w:val="32"/>
          <w:highlight w:val="none"/>
        </w:rPr>
        <w:t>合同</w:t>
      </w:r>
      <w:r>
        <w:rPr>
          <w:rFonts w:hint="eastAsia" w:ascii="仿宋" w:hAnsi="仿宋" w:eastAsia="仿宋" w:cs="仿宋"/>
          <w:b/>
          <w:bCs/>
          <w:color w:val="auto"/>
          <w:sz w:val="32"/>
          <w:szCs w:val="32"/>
          <w:highlight w:val="none"/>
          <w:lang w:val="en-US" w:eastAsia="zh-CN"/>
        </w:rPr>
        <w:t>书</w:t>
      </w:r>
    </w:p>
    <w:p w14:paraId="3F8CD99F">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snapToGrid w:val="0"/>
          <w:color w:val="auto"/>
          <w:kern w:val="0"/>
          <w:sz w:val="20"/>
          <w:szCs w:val="20"/>
          <w:highlight w:val="none"/>
          <w:lang w:val="en-US" w:eastAsia="en-US" w:bidi="ar-SA"/>
        </w:rPr>
      </w:pPr>
      <w:r>
        <w:rPr>
          <w:rFonts w:hint="eastAsia" w:ascii="仿宋" w:hAnsi="仿宋" w:eastAsia="仿宋" w:cs="仿宋"/>
          <w:snapToGrid w:val="0"/>
          <w:color w:val="auto"/>
          <w:kern w:val="0"/>
          <w:sz w:val="20"/>
          <w:szCs w:val="20"/>
          <w:highlight w:val="none"/>
          <w:lang w:val="en-US" w:eastAsia="en-US" w:bidi="ar-SA"/>
        </w:rPr>
        <w:t>采购人（甲方）：</w:t>
      </w:r>
      <w:r>
        <w:rPr>
          <w:rFonts w:hint="eastAsia" w:ascii="仿宋" w:hAnsi="仿宋" w:eastAsia="仿宋" w:cs="仿宋"/>
          <w:snapToGrid w:val="0"/>
          <w:color w:val="auto"/>
          <w:kern w:val="0"/>
          <w:sz w:val="20"/>
          <w:szCs w:val="20"/>
          <w:highlight w:val="none"/>
          <w:u w:val="single"/>
          <w:lang w:val="en-US" w:eastAsia="zh-CN" w:bidi="ar-SA"/>
        </w:rPr>
        <w:t xml:space="preserve">            </w:t>
      </w:r>
    </w:p>
    <w:p w14:paraId="5AD3B780">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snapToGrid w:val="0"/>
          <w:color w:val="auto"/>
          <w:kern w:val="0"/>
          <w:sz w:val="20"/>
          <w:szCs w:val="20"/>
          <w:highlight w:val="none"/>
          <w:lang w:val="en-US" w:eastAsia="en-US" w:bidi="ar-SA"/>
        </w:rPr>
      </w:pPr>
      <w:r>
        <w:rPr>
          <w:rFonts w:hint="eastAsia" w:ascii="仿宋" w:hAnsi="仿宋" w:eastAsia="仿宋" w:cs="仿宋"/>
          <w:snapToGrid w:val="0"/>
          <w:color w:val="auto"/>
          <w:kern w:val="0"/>
          <w:sz w:val="20"/>
          <w:szCs w:val="20"/>
          <w:highlight w:val="none"/>
          <w:lang w:val="en-US" w:eastAsia="en-US" w:bidi="ar-SA"/>
        </w:rPr>
        <w:t>供应商（乙方）：</w:t>
      </w:r>
      <w:r>
        <w:rPr>
          <w:rFonts w:hint="eastAsia" w:ascii="仿宋" w:hAnsi="仿宋" w:eastAsia="仿宋" w:cs="仿宋"/>
          <w:snapToGrid w:val="0"/>
          <w:color w:val="auto"/>
          <w:kern w:val="0"/>
          <w:sz w:val="20"/>
          <w:szCs w:val="20"/>
          <w:highlight w:val="none"/>
          <w:u w:val="single"/>
          <w:lang w:val="en-US" w:eastAsia="zh-CN" w:bidi="ar-SA"/>
        </w:rPr>
        <w:t xml:space="preserve">            </w:t>
      </w:r>
    </w:p>
    <w:p w14:paraId="5EA56BD6">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snapToGrid w:val="0"/>
          <w:color w:val="auto"/>
          <w:kern w:val="0"/>
          <w:sz w:val="20"/>
          <w:szCs w:val="20"/>
          <w:highlight w:val="none"/>
          <w:lang w:val="en-US" w:eastAsia="en-US" w:bidi="ar-SA"/>
        </w:rPr>
      </w:pPr>
      <w:r>
        <w:rPr>
          <w:rFonts w:hint="eastAsia" w:ascii="仿宋" w:hAnsi="仿宋" w:eastAsia="仿宋" w:cs="仿宋"/>
          <w:bCs/>
          <w:snapToGrid w:val="0"/>
          <w:color w:val="auto"/>
          <w:kern w:val="0"/>
          <w:sz w:val="20"/>
          <w:szCs w:val="20"/>
          <w:highlight w:val="none"/>
          <w:u w:val="none"/>
          <w:lang w:val="zh-CN" w:eastAsia="en-US" w:bidi="ar-SA"/>
        </w:rPr>
        <w:t>依照《中华人民共和国政府采购法》及实施条例、《中华人民共和国民法典》等法律、行政法规，遵循平等、自愿、公平和诚实信用的原则，双方就本项目</w:t>
      </w:r>
      <w:r>
        <w:rPr>
          <w:rFonts w:hint="eastAsia" w:ascii="仿宋" w:hAnsi="仿宋" w:eastAsia="仿宋" w:cs="仿宋"/>
          <w:bCs/>
          <w:snapToGrid w:val="0"/>
          <w:color w:val="auto"/>
          <w:kern w:val="0"/>
          <w:sz w:val="20"/>
          <w:szCs w:val="20"/>
          <w:highlight w:val="none"/>
          <w:u w:val="none"/>
          <w:lang w:val="en-US" w:eastAsia="zh-CN" w:bidi="ar-SA"/>
        </w:rPr>
        <w:t>服务范围</w:t>
      </w:r>
      <w:r>
        <w:rPr>
          <w:rFonts w:hint="eastAsia" w:ascii="仿宋" w:hAnsi="仿宋" w:eastAsia="仿宋" w:cs="仿宋"/>
          <w:bCs/>
          <w:snapToGrid w:val="0"/>
          <w:color w:val="auto"/>
          <w:kern w:val="0"/>
          <w:sz w:val="20"/>
          <w:szCs w:val="20"/>
          <w:highlight w:val="none"/>
          <w:u w:val="none"/>
          <w:lang w:val="zh-CN" w:eastAsia="en-US" w:bidi="ar-SA"/>
        </w:rPr>
        <w:t>与相关</w:t>
      </w:r>
      <w:r>
        <w:rPr>
          <w:rFonts w:hint="eastAsia" w:ascii="仿宋" w:hAnsi="仿宋" w:eastAsia="仿宋" w:cs="仿宋"/>
          <w:bCs/>
          <w:snapToGrid w:val="0"/>
          <w:color w:val="auto"/>
          <w:kern w:val="0"/>
          <w:sz w:val="20"/>
          <w:szCs w:val="20"/>
          <w:highlight w:val="none"/>
          <w:u w:val="none"/>
          <w:lang w:val="en-US" w:eastAsia="zh-CN" w:bidi="ar-SA"/>
        </w:rPr>
        <w:t>服务</w:t>
      </w:r>
      <w:r>
        <w:rPr>
          <w:rFonts w:hint="eastAsia" w:ascii="仿宋" w:hAnsi="仿宋" w:eastAsia="仿宋" w:cs="仿宋"/>
          <w:bCs/>
          <w:snapToGrid w:val="0"/>
          <w:color w:val="auto"/>
          <w:kern w:val="0"/>
          <w:sz w:val="20"/>
          <w:szCs w:val="20"/>
          <w:highlight w:val="none"/>
          <w:u w:val="none"/>
          <w:lang w:val="zh-CN" w:eastAsia="en-US" w:bidi="ar-SA"/>
        </w:rPr>
        <w:t>事项协商一致，订立本合同。</w:t>
      </w:r>
    </w:p>
    <w:p w14:paraId="1943A887">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仿宋" w:hAnsi="仿宋" w:eastAsia="仿宋" w:cs="仿宋"/>
          <w:b/>
          <w:snapToGrid w:val="0"/>
          <w:color w:val="auto"/>
          <w:kern w:val="0"/>
          <w:sz w:val="20"/>
          <w:szCs w:val="20"/>
          <w:highlight w:val="none"/>
          <w:lang w:val="en-US" w:eastAsia="en-US" w:bidi="ar-SA"/>
        </w:rPr>
      </w:pPr>
      <w:r>
        <w:rPr>
          <w:rFonts w:hint="eastAsia" w:ascii="仿宋" w:hAnsi="仿宋" w:eastAsia="仿宋" w:cs="仿宋"/>
          <w:b/>
          <w:snapToGrid w:val="0"/>
          <w:color w:val="auto"/>
          <w:kern w:val="0"/>
          <w:sz w:val="20"/>
          <w:szCs w:val="20"/>
          <w:highlight w:val="none"/>
          <w:lang w:val="en-US" w:eastAsia="zh-CN" w:bidi="ar-SA"/>
        </w:rPr>
        <w:t>一、</w:t>
      </w:r>
      <w:r>
        <w:rPr>
          <w:rFonts w:hint="eastAsia" w:ascii="仿宋" w:hAnsi="仿宋" w:eastAsia="仿宋" w:cs="仿宋"/>
          <w:b/>
          <w:snapToGrid w:val="0"/>
          <w:color w:val="auto"/>
          <w:kern w:val="0"/>
          <w:sz w:val="20"/>
          <w:szCs w:val="20"/>
          <w:highlight w:val="none"/>
          <w:lang w:val="en-US" w:eastAsia="en-US" w:bidi="ar-SA"/>
        </w:rPr>
        <w:t>项目概况</w:t>
      </w:r>
    </w:p>
    <w:p w14:paraId="62CB313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 w:val="0"/>
          <w:bCs/>
          <w:snapToGrid w:val="0"/>
          <w:color w:val="auto"/>
          <w:kern w:val="0"/>
          <w:sz w:val="20"/>
          <w:szCs w:val="20"/>
          <w:highlight w:val="none"/>
          <w:lang w:val="en-US" w:eastAsia="zh-CN" w:bidi="ar-SA"/>
        </w:rPr>
      </w:pPr>
      <w:r>
        <w:rPr>
          <w:rFonts w:hint="eastAsia" w:ascii="仿宋" w:hAnsi="仿宋" w:eastAsia="仿宋" w:cs="仿宋"/>
          <w:b w:val="0"/>
          <w:bCs/>
          <w:snapToGrid w:val="0"/>
          <w:color w:val="auto"/>
          <w:kern w:val="0"/>
          <w:sz w:val="20"/>
          <w:szCs w:val="20"/>
          <w:highlight w:val="none"/>
          <w:lang w:val="en-US" w:eastAsia="zh-CN" w:bidi="ar-SA"/>
        </w:rPr>
        <w:t>1.项目名称：</w:t>
      </w:r>
      <w:r>
        <w:rPr>
          <w:rFonts w:hint="eastAsia" w:ascii="仿宋" w:hAnsi="仿宋" w:eastAsia="仿宋" w:cs="仿宋"/>
          <w:b w:val="0"/>
          <w:bCs/>
          <w:snapToGrid w:val="0"/>
          <w:color w:val="auto"/>
          <w:kern w:val="0"/>
          <w:sz w:val="20"/>
          <w:szCs w:val="20"/>
          <w:highlight w:val="none"/>
          <w:u w:val="single"/>
          <w:lang w:val="en-US" w:eastAsia="zh-CN" w:bidi="ar-SA"/>
        </w:rPr>
        <w:t xml:space="preserve">                 </w:t>
      </w:r>
      <w:r>
        <w:rPr>
          <w:rFonts w:hint="eastAsia" w:ascii="仿宋" w:hAnsi="仿宋" w:eastAsia="仿宋" w:cs="仿宋"/>
          <w:b w:val="0"/>
          <w:bCs/>
          <w:snapToGrid w:val="0"/>
          <w:color w:val="auto"/>
          <w:kern w:val="0"/>
          <w:sz w:val="20"/>
          <w:szCs w:val="20"/>
          <w:highlight w:val="none"/>
          <w:lang w:val="en-US" w:eastAsia="zh-CN" w:bidi="ar-SA"/>
        </w:rPr>
        <w:t>；</w:t>
      </w:r>
    </w:p>
    <w:p w14:paraId="3A25766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 w:val="0"/>
          <w:bCs/>
          <w:snapToGrid w:val="0"/>
          <w:color w:val="auto"/>
          <w:kern w:val="0"/>
          <w:sz w:val="20"/>
          <w:szCs w:val="20"/>
          <w:highlight w:val="none"/>
          <w:lang w:val="en-US" w:eastAsia="zh-CN" w:bidi="ar-SA"/>
        </w:rPr>
      </w:pPr>
      <w:r>
        <w:rPr>
          <w:rFonts w:hint="eastAsia" w:ascii="仿宋" w:hAnsi="仿宋" w:eastAsia="仿宋" w:cs="仿宋"/>
          <w:b w:val="0"/>
          <w:bCs/>
          <w:snapToGrid w:val="0"/>
          <w:color w:val="auto"/>
          <w:kern w:val="0"/>
          <w:sz w:val="20"/>
          <w:szCs w:val="20"/>
          <w:highlight w:val="none"/>
          <w:lang w:val="en-US" w:eastAsia="zh-CN" w:bidi="ar-SA"/>
        </w:rPr>
        <w:t>2.项目地点：甲方指定地点。</w:t>
      </w:r>
    </w:p>
    <w:p w14:paraId="73CDE5E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default" w:ascii="仿宋" w:hAnsi="仿宋" w:eastAsia="仿宋" w:cs="仿宋"/>
          <w:b w:val="0"/>
          <w:bCs/>
          <w:snapToGrid w:val="0"/>
          <w:color w:val="auto"/>
          <w:kern w:val="0"/>
          <w:sz w:val="20"/>
          <w:szCs w:val="20"/>
          <w:highlight w:val="none"/>
          <w:lang w:val="en-US" w:eastAsia="zh-CN" w:bidi="ar-SA"/>
        </w:rPr>
      </w:pPr>
      <w:r>
        <w:rPr>
          <w:rFonts w:hint="eastAsia" w:ascii="仿宋" w:hAnsi="仿宋" w:eastAsia="仿宋" w:cs="仿宋"/>
          <w:b w:val="0"/>
          <w:bCs/>
          <w:snapToGrid w:val="0"/>
          <w:color w:val="auto"/>
          <w:kern w:val="0"/>
          <w:sz w:val="20"/>
          <w:szCs w:val="20"/>
          <w:highlight w:val="none"/>
          <w:lang w:val="en-US" w:eastAsia="zh-CN" w:bidi="ar-SA"/>
        </w:rPr>
        <w:t>3.服务期限：自合同签订之日起至本项目服务结束止（最晚不超过2026年12月31日）。</w:t>
      </w:r>
    </w:p>
    <w:p w14:paraId="73255CF1">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仿宋" w:hAnsi="仿宋" w:eastAsia="仿宋" w:cs="仿宋"/>
          <w:b/>
          <w:snapToGrid w:val="0"/>
          <w:color w:val="auto"/>
          <w:kern w:val="0"/>
          <w:sz w:val="20"/>
          <w:szCs w:val="20"/>
          <w:highlight w:val="none"/>
          <w:lang w:val="en-US" w:eastAsia="en-US" w:bidi="ar-SA"/>
        </w:rPr>
      </w:pPr>
      <w:r>
        <w:rPr>
          <w:rFonts w:hint="eastAsia" w:ascii="仿宋" w:hAnsi="仿宋" w:eastAsia="仿宋" w:cs="仿宋"/>
          <w:b/>
          <w:snapToGrid w:val="0"/>
          <w:color w:val="auto"/>
          <w:kern w:val="0"/>
          <w:sz w:val="20"/>
          <w:szCs w:val="20"/>
          <w:highlight w:val="none"/>
          <w:lang w:val="en-US" w:eastAsia="zh-CN" w:bidi="ar-SA"/>
        </w:rPr>
        <w:t>二、</w:t>
      </w:r>
      <w:r>
        <w:rPr>
          <w:rFonts w:hint="eastAsia" w:ascii="仿宋" w:hAnsi="仿宋" w:eastAsia="仿宋" w:cs="仿宋"/>
          <w:b/>
          <w:snapToGrid w:val="0"/>
          <w:color w:val="auto"/>
          <w:kern w:val="0"/>
          <w:sz w:val="20"/>
          <w:szCs w:val="20"/>
          <w:highlight w:val="none"/>
          <w:lang w:val="en-US" w:eastAsia="en-US" w:bidi="ar-SA"/>
        </w:rPr>
        <w:t>组成本合同的文件</w:t>
      </w:r>
    </w:p>
    <w:p w14:paraId="53FA463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 w:val="0"/>
          <w:bCs/>
          <w:snapToGrid w:val="0"/>
          <w:color w:val="auto"/>
          <w:kern w:val="0"/>
          <w:sz w:val="20"/>
          <w:szCs w:val="20"/>
          <w:highlight w:val="none"/>
          <w:lang w:val="en-US" w:eastAsia="zh-CN" w:bidi="ar-SA"/>
        </w:rPr>
      </w:pPr>
      <w:r>
        <w:rPr>
          <w:rFonts w:hint="eastAsia" w:ascii="仿宋" w:hAnsi="仿宋" w:eastAsia="仿宋" w:cs="仿宋"/>
          <w:b w:val="0"/>
          <w:bCs/>
          <w:snapToGrid w:val="0"/>
          <w:color w:val="auto"/>
          <w:kern w:val="0"/>
          <w:sz w:val="20"/>
          <w:szCs w:val="20"/>
          <w:highlight w:val="none"/>
          <w:lang w:val="en-US" w:eastAsia="zh-CN" w:bidi="ar-SA"/>
        </w:rPr>
        <w:t>1.协议书；</w:t>
      </w:r>
    </w:p>
    <w:p w14:paraId="5303B8B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 w:val="0"/>
          <w:bCs/>
          <w:snapToGrid w:val="0"/>
          <w:color w:val="auto"/>
          <w:kern w:val="0"/>
          <w:sz w:val="20"/>
          <w:szCs w:val="20"/>
          <w:highlight w:val="none"/>
          <w:lang w:val="en-US" w:eastAsia="zh-CN" w:bidi="ar-SA"/>
        </w:rPr>
      </w:pPr>
      <w:r>
        <w:rPr>
          <w:rFonts w:hint="eastAsia" w:ascii="仿宋" w:hAnsi="仿宋" w:eastAsia="仿宋" w:cs="仿宋"/>
          <w:b w:val="0"/>
          <w:bCs/>
          <w:snapToGrid w:val="0"/>
          <w:color w:val="auto"/>
          <w:kern w:val="0"/>
          <w:sz w:val="20"/>
          <w:szCs w:val="20"/>
          <w:highlight w:val="none"/>
          <w:lang w:val="en-US" w:eastAsia="zh-CN" w:bidi="ar-SA"/>
        </w:rPr>
        <w:t>2.成交通知书、响应文件、磋商文件、澄清、磋商文件补充文件（或委托书）；</w:t>
      </w:r>
    </w:p>
    <w:p w14:paraId="50732A2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
          <w:snapToGrid w:val="0"/>
          <w:color w:val="auto"/>
          <w:kern w:val="0"/>
          <w:sz w:val="20"/>
          <w:szCs w:val="20"/>
          <w:highlight w:val="none"/>
          <w:lang w:val="en-US" w:eastAsia="zh-CN" w:bidi="ar-SA"/>
        </w:rPr>
      </w:pPr>
      <w:r>
        <w:rPr>
          <w:rFonts w:hint="eastAsia" w:ascii="仿宋" w:hAnsi="仿宋" w:eastAsia="仿宋" w:cs="仿宋"/>
          <w:b w:val="0"/>
          <w:bCs/>
          <w:snapToGrid w:val="0"/>
          <w:color w:val="auto"/>
          <w:kern w:val="0"/>
          <w:sz w:val="20"/>
          <w:szCs w:val="20"/>
          <w:highlight w:val="none"/>
          <w:lang w:val="en-US" w:eastAsia="zh-CN" w:bidi="ar-SA"/>
        </w:rPr>
        <w:t>3.相关服务建议书；</w:t>
      </w:r>
    </w:p>
    <w:p w14:paraId="1A60CE8A">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仿宋" w:hAnsi="仿宋" w:eastAsia="仿宋" w:cs="仿宋"/>
          <w:b/>
          <w:bCs/>
          <w:snapToGrid w:val="0"/>
          <w:color w:val="auto"/>
          <w:kern w:val="0"/>
          <w:sz w:val="20"/>
          <w:szCs w:val="20"/>
          <w:highlight w:val="none"/>
          <w:lang w:val="en-US" w:eastAsia="en-US" w:bidi="ar-SA"/>
        </w:rPr>
      </w:pPr>
      <w:r>
        <w:rPr>
          <w:rFonts w:hint="eastAsia" w:ascii="仿宋" w:hAnsi="仿宋" w:eastAsia="仿宋" w:cs="仿宋"/>
          <w:b/>
          <w:snapToGrid w:val="0"/>
          <w:color w:val="auto"/>
          <w:kern w:val="0"/>
          <w:sz w:val="20"/>
          <w:szCs w:val="20"/>
          <w:highlight w:val="none"/>
          <w:lang w:val="en-US" w:eastAsia="zh-CN" w:bidi="ar-SA"/>
        </w:rPr>
        <w:t>三、</w:t>
      </w:r>
      <w:r>
        <w:rPr>
          <w:rFonts w:hint="eastAsia" w:ascii="仿宋" w:hAnsi="仿宋" w:eastAsia="仿宋" w:cs="仿宋"/>
          <w:b/>
          <w:snapToGrid w:val="0"/>
          <w:color w:val="auto"/>
          <w:kern w:val="0"/>
          <w:sz w:val="20"/>
          <w:szCs w:val="20"/>
          <w:highlight w:val="none"/>
          <w:lang w:val="en-US" w:eastAsia="en-US" w:bidi="ar-SA"/>
        </w:rPr>
        <w:t>合同价款</w:t>
      </w:r>
    </w:p>
    <w:p w14:paraId="65B5D04C">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1.合同形式：固定总价合同；</w:t>
      </w:r>
    </w:p>
    <w:p w14:paraId="0DD8400F">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2.合同总价：大写：人民币</w:t>
      </w:r>
      <w:r>
        <w:rPr>
          <w:rFonts w:hint="eastAsia" w:ascii="仿宋" w:hAnsi="仿宋" w:eastAsia="仿宋" w:cs="仿宋"/>
          <w:bCs/>
          <w:color w:val="auto"/>
          <w:sz w:val="20"/>
          <w:szCs w:val="20"/>
          <w:highlight w:val="none"/>
          <w:u w:val="single"/>
          <w:lang w:val="zh-CN"/>
        </w:rPr>
        <w:t xml:space="preserve">         </w:t>
      </w:r>
      <w:r>
        <w:rPr>
          <w:rFonts w:hint="eastAsia" w:ascii="仿宋" w:hAnsi="仿宋" w:eastAsia="仿宋" w:cs="仿宋"/>
          <w:bCs/>
          <w:color w:val="auto"/>
          <w:sz w:val="20"/>
          <w:szCs w:val="20"/>
          <w:highlight w:val="none"/>
          <w:lang w:val="zh-CN"/>
        </w:rPr>
        <w:t>；小写：¥</w:t>
      </w:r>
      <w:r>
        <w:rPr>
          <w:rFonts w:hint="eastAsia" w:ascii="仿宋" w:hAnsi="仿宋" w:eastAsia="仿宋" w:cs="仿宋"/>
          <w:bCs/>
          <w:color w:val="auto"/>
          <w:sz w:val="20"/>
          <w:szCs w:val="20"/>
          <w:highlight w:val="none"/>
          <w:u w:val="single"/>
          <w:lang w:val="zh-CN"/>
        </w:rPr>
        <w:t xml:space="preserve">         </w:t>
      </w:r>
      <w:r>
        <w:rPr>
          <w:rFonts w:hint="eastAsia" w:ascii="仿宋" w:hAnsi="仿宋" w:eastAsia="仿宋" w:cs="仿宋"/>
          <w:bCs/>
          <w:color w:val="auto"/>
          <w:sz w:val="20"/>
          <w:szCs w:val="20"/>
          <w:highlight w:val="none"/>
          <w:lang w:val="zh-CN"/>
        </w:rPr>
        <w:t>元</w:t>
      </w:r>
    </w:p>
    <w:p w14:paraId="0224319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3.合同总价款包括但不限于</w:t>
      </w:r>
      <w:r>
        <w:rPr>
          <w:rFonts w:hint="eastAsia" w:ascii="仿宋" w:hAnsi="仿宋" w:eastAsia="仿宋" w:cs="仿宋"/>
          <w:bCs/>
          <w:color w:val="auto"/>
          <w:sz w:val="20"/>
          <w:szCs w:val="20"/>
          <w:highlight w:val="none"/>
          <w:lang w:val="en-US" w:eastAsia="zh-CN"/>
        </w:rPr>
        <w:t>为</w:t>
      </w:r>
      <w:r>
        <w:rPr>
          <w:rFonts w:hint="eastAsia" w:ascii="仿宋" w:hAnsi="仿宋" w:eastAsia="仿宋" w:cs="仿宋"/>
          <w:bCs/>
          <w:color w:val="auto"/>
          <w:sz w:val="20"/>
          <w:szCs w:val="20"/>
          <w:highlight w:val="none"/>
          <w:lang w:val="zh-CN"/>
        </w:rPr>
        <w:t>完成本项目</w:t>
      </w:r>
      <w:r>
        <w:rPr>
          <w:rFonts w:hint="eastAsia" w:ascii="仿宋" w:hAnsi="仿宋" w:eastAsia="仿宋" w:cs="仿宋"/>
          <w:bCs/>
          <w:color w:val="auto"/>
          <w:sz w:val="20"/>
          <w:szCs w:val="20"/>
          <w:highlight w:val="none"/>
          <w:lang w:val="en-US" w:eastAsia="zh-CN"/>
        </w:rPr>
        <w:t>的日常运维服务费</w:t>
      </w:r>
      <w:r>
        <w:rPr>
          <w:rFonts w:hint="eastAsia" w:ascii="仿宋" w:hAnsi="仿宋" w:eastAsia="仿宋" w:cs="仿宋"/>
          <w:bCs/>
          <w:color w:val="auto"/>
          <w:sz w:val="20"/>
          <w:szCs w:val="20"/>
          <w:highlight w:val="none"/>
          <w:lang w:val="zh-CN"/>
        </w:rPr>
        <w:t>、利润、税金、风险等其他一切相关费用。该合同价款不受市场因素的影响。</w:t>
      </w:r>
    </w:p>
    <w:p w14:paraId="1A1B5755">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default" w:ascii="仿宋" w:hAnsi="仿宋" w:eastAsia="仿宋" w:cs="仿宋"/>
          <w:b/>
          <w:snapToGrid w:val="0"/>
          <w:color w:val="auto"/>
          <w:kern w:val="0"/>
          <w:sz w:val="20"/>
          <w:szCs w:val="20"/>
          <w:highlight w:val="none"/>
          <w:lang w:val="en-US" w:eastAsia="zh-CN" w:bidi="ar-SA"/>
        </w:rPr>
      </w:pPr>
      <w:r>
        <w:rPr>
          <w:rFonts w:hint="eastAsia" w:ascii="仿宋" w:hAnsi="仿宋" w:eastAsia="仿宋" w:cs="仿宋"/>
          <w:b/>
          <w:snapToGrid w:val="0"/>
          <w:color w:val="auto"/>
          <w:kern w:val="0"/>
          <w:sz w:val="20"/>
          <w:szCs w:val="20"/>
          <w:highlight w:val="none"/>
          <w:lang w:val="en-US" w:eastAsia="zh-CN" w:bidi="ar-SA"/>
        </w:rPr>
        <w:t>四、款项结算</w:t>
      </w:r>
    </w:p>
    <w:p w14:paraId="163E263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 w:val="0"/>
          <w:bCs/>
          <w:snapToGrid w:val="0"/>
          <w:color w:val="auto"/>
          <w:kern w:val="0"/>
          <w:sz w:val="20"/>
          <w:szCs w:val="20"/>
          <w:highlight w:val="none"/>
          <w:lang w:val="en-US" w:eastAsia="zh-CN" w:bidi="ar-SA"/>
        </w:rPr>
      </w:pPr>
      <w:r>
        <w:rPr>
          <w:rFonts w:hint="eastAsia" w:ascii="仿宋" w:hAnsi="仿宋" w:eastAsia="仿宋" w:cs="仿宋"/>
          <w:b w:val="0"/>
          <w:bCs/>
          <w:snapToGrid w:val="0"/>
          <w:color w:val="auto"/>
          <w:kern w:val="0"/>
          <w:sz w:val="20"/>
          <w:szCs w:val="20"/>
          <w:highlight w:val="none"/>
          <w:lang w:val="en-US" w:eastAsia="zh-CN" w:bidi="ar-SA"/>
        </w:rPr>
        <w:t>（一）付款方式：</w:t>
      </w:r>
      <w:r>
        <w:rPr>
          <w:rFonts w:hint="eastAsia" w:ascii="仿宋_GB2312" w:hAnsi="仿宋_GB2312" w:eastAsia="仿宋_GB2312" w:cs="仿宋_GB2312"/>
          <w:snapToGrid/>
          <w:color w:val="auto"/>
          <w:kern w:val="0"/>
          <w:sz w:val="20"/>
          <w:szCs w:val="20"/>
          <w:highlight w:val="none"/>
          <w:lang w:val="en-US" w:eastAsia="zh-CN" w:bidi="ar-SA"/>
        </w:rPr>
        <w:t>服务期满并经甲方验收合格后一次性支付合同总价款的100%</w:t>
      </w:r>
      <w:r>
        <w:rPr>
          <w:rFonts w:hint="eastAsia" w:ascii="仿宋" w:hAnsi="仿宋" w:eastAsia="仿宋" w:cs="仿宋"/>
          <w:b w:val="0"/>
          <w:bCs/>
          <w:snapToGrid w:val="0"/>
          <w:color w:val="auto"/>
          <w:kern w:val="0"/>
          <w:sz w:val="20"/>
          <w:szCs w:val="20"/>
          <w:highlight w:val="none"/>
          <w:lang w:val="en-US" w:eastAsia="zh-CN" w:bidi="ar-SA"/>
        </w:rPr>
        <w:t>。</w:t>
      </w:r>
    </w:p>
    <w:p w14:paraId="4D70B51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 w:val="0"/>
          <w:bCs/>
          <w:snapToGrid w:val="0"/>
          <w:color w:val="auto"/>
          <w:kern w:val="0"/>
          <w:sz w:val="20"/>
          <w:szCs w:val="20"/>
          <w:highlight w:val="none"/>
          <w:lang w:val="en-US" w:eastAsia="zh-CN" w:bidi="ar-SA"/>
        </w:rPr>
      </w:pPr>
      <w:r>
        <w:rPr>
          <w:rFonts w:hint="eastAsia" w:ascii="仿宋" w:hAnsi="仿宋" w:eastAsia="仿宋" w:cs="仿宋"/>
          <w:b w:val="0"/>
          <w:bCs/>
          <w:snapToGrid w:val="0"/>
          <w:color w:val="auto"/>
          <w:kern w:val="0"/>
          <w:sz w:val="20"/>
          <w:szCs w:val="20"/>
          <w:highlight w:val="none"/>
          <w:lang w:val="en-US" w:eastAsia="zh-CN" w:bidi="ar-SA"/>
        </w:rPr>
        <w:t>（二）支付方式：银行转账。</w:t>
      </w:r>
    </w:p>
    <w:p w14:paraId="051B8C4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
          <w:snapToGrid w:val="0"/>
          <w:color w:val="auto"/>
          <w:kern w:val="0"/>
          <w:sz w:val="20"/>
          <w:szCs w:val="20"/>
          <w:highlight w:val="none"/>
          <w:lang w:val="en-US" w:eastAsia="zh-CN" w:bidi="ar-SA"/>
        </w:rPr>
      </w:pPr>
      <w:r>
        <w:rPr>
          <w:rFonts w:hint="eastAsia" w:ascii="仿宋" w:hAnsi="仿宋" w:eastAsia="仿宋" w:cs="仿宋"/>
          <w:b w:val="0"/>
          <w:bCs/>
          <w:snapToGrid w:val="0"/>
          <w:color w:val="auto"/>
          <w:kern w:val="0"/>
          <w:sz w:val="20"/>
          <w:szCs w:val="20"/>
          <w:highlight w:val="none"/>
          <w:lang w:val="en-US" w:eastAsia="zh-CN" w:bidi="ar-SA"/>
        </w:rPr>
        <w:t>（三）结算方式：付款前乙方应向甲方提供合法有效的等额发票。</w:t>
      </w:r>
    </w:p>
    <w:p w14:paraId="77A4BD37">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仿宋" w:hAnsi="仿宋" w:eastAsia="仿宋" w:cs="仿宋"/>
          <w:b/>
          <w:snapToGrid w:val="0"/>
          <w:color w:val="auto"/>
          <w:kern w:val="0"/>
          <w:sz w:val="20"/>
          <w:szCs w:val="20"/>
          <w:highlight w:val="none"/>
          <w:lang w:val="en-US" w:eastAsia="zh-CN" w:bidi="ar-SA"/>
        </w:rPr>
      </w:pPr>
      <w:r>
        <w:rPr>
          <w:rFonts w:hint="eastAsia" w:ascii="仿宋" w:hAnsi="仿宋" w:eastAsia="仿宋" w:cs="仿宋"/>
          <w:b/>
          <w:snapToGrid w:val="0"/>
          <w:color w:val="auto"/>
          <w:kern w:val="0"/>
          <w:sz w:val="20"/>
          <w:szCs w:val="20"/>
          <w:highlight w:val="none"/>
          <w:lang w:val="en-US" w:eastAsia="zh-CN" w:bidi="ar-SA"/>
        </w:rPr>
        <w:t>五、服务内容</w:t>
      </w:r>
    </w:p>
    <w:p w14:paraId="7E95DEB1">
      <w:pPr>
        <w:numPr>
          <w:ilvl w:val="0"/>
          <w:numId w:val="0"/>
        </w:numPr>
        <w:ind w:firstLine="400" w:firstLineChars="200"/>
        <w:rPr>
          <w:rFonts w:hint="default" w:ascii="仿宋" w:hAnsi="仿宋" w:eastAsia="仿宋" w:cs="仿宋"/>
          <w:bCs/>
          <w:snapToGrid w:val="0"/>
          <w:color w:val="auto"/>
          <w:kern w:val="0"/>
          <w:sz w:val="20"/>
          <w:szCs w:val="20"/>
          <w:highlight w:val="none"/>
          <w:lang w:val="en-US" w:eastAsia="zh-CN" w:bidi="ar-SA"/>
        </w:rPr>
      </w:pPr>
      <w:bookmarkStart w:id="1" w:name="_Toc238984975"/>
      <w:bookmarkStart w:id="2" w:name="_Toc251768862"/>
      <w:bookmarkStart w:id="3" w:name="_Toc232492928"/>
      <w:bookmarkStart w:id="4" w:name="_Toc211854449"/>
      <w:bookmarkStart w:id="5" w:name="_Toc283019214"/>
      <w:bookmarkStart w:id="6" w:name="_Toc212019594"/>
      <w:bookmarkStart w:id="7" w:name="_Toc237145406"/>
      <w:bookmarkStart w:id="8" w:name="_Toc239568418"/>
      <w:bookmarkStart w:id="9" w:name="_Toc239233914"/>
      <w:bookmarkStart w:id="10" w:name="_Toc247334841"/>
      <w:bookmarkStart w:id="11" w:name="_Toc211911348"/>
      <w:bookmarkStart w:id="12" w:name="_Toc225244852"/>
      <w:bookmarkStart w:id="13" w:name="_Toc241833903"/>
      <w:bookmarkStart w:id="14" w:name="_Toc225670751"/>
      <w:bookmarkStart w:id="15" w:name="_Toc225654644"/>
      <w:bookmarkStart w:id="16" w:name="_Toc286993786"/>
      <w:bookmarkStart w:id="17" w:name="_Toc282696226"/>
      <w:bookmarkStart w:id="18" w:name="_Toc185395249"/>
      <w:r>
        <w:rPr>
          <w:rFonts w:hint="default" w:ascii="仿宋" w:hAnsi="仿宋" w:eastAsia="仿宋" w:cs="仿宋"/>
          <w:bCs/>
          <w:snapToGrid w:val="0"/>
          <w:color w:val="auto"/>
          <w:kern w:val="0"/>
          <w:sz w:val="20"/>
          <w:szCs w:val="20"/>
          <w:highlight w:val="none"/>
          <w:lang w:val="en-US" w:eastAsia="zh-CN" w:bidi="ar-SA"/>
        </w:rPr>
        <w:t>1.运维支持服务</w:t>
      </w:r>
    </w:p>
    <w:p w14:paraId="4E5235DA">
      <w:pPr>
        <w:numPr>
          <w:ilvl w:val="0"/>
          <w:numId w:val="0"/>
        </w:numPr>
        <w:ind w:firstLine="400" w:firstLineChars="200"/>
        <w:rPr>
          <w:rFonts w:hint="default" w:ascii="仿宋" w:hAnsi="仿宋" w:eastAsia="仿宋" w:cs="仿宋"/>
          <w:bCs/>
          <w:snapToGrid w:val="0"/>
          <w:color w:val="auto"/>
          <w:kern w:val="0"/>
          <w:sz w:val="20"/>
          <w:szCs w:val="20"/>
          <w:highlight w:val="none"/>
          <w:lang w:val="en-US" w:eastAsia="zh-CN" w:bidi="ar-SA"/>
        </w:rPr>
      </w:pPr>
      <w:r>
        <w:rPr>
          <w:rFonts w:hint="eastAsia" w:ascii="仿宋" w:hAnsi="仿宋" w:eastAsia="仿宋" w:cs="仿宋"/>
          <w:bCs/>
          <w:snapToGrid w:val="0"/>
          <w:color w:val="auto"/>
          <w:kern w:val="0"/>
          <w:sz w:val="20"/>
          <w:szCs w:val="20"/>
          <w:highlight w:val="none"/>
          <w:lang w:val="en-US" w:eastAsia="zh-CN" w:bidi="ar-SA"/>
        </w:rPr>
        <w:t>乙方</w:t>
      </w:r>
      <w:r>
        <w:rPr>
          <w:rFonts w:hint="default" w:ascii="仿宋" w:hAnsi="仿宋" w:eastAsia="仿宋" w:cs="仿宋"/>
          <w:bCs/>
          <w:snapToGrid w:val="0"/>
          <w:color w:val="auto"/>
          <w:kern w:val="0"/>
          <w:sz w:val="20"/>
          <w:szCs w:val="20"/>
          <w:highlight w:val="none"/>
          <w:lang w:val="en-US" w:eastAsia="zh-CN" w:bidi="ar-SA"/>
        </w:rPr>
        <w:t>根据</w:t>
      </w:r>
      <w:r>
        <w:rPr>
          <w:rFonts w:hint="eastAsia" w:ascii="仿宋" w:hAnsi="仿宋" w:eastAsia="仿宋" w:cs="仿宋"/>
          <w:bCs/>
          <w:snapToGrid w:val="0"/>
          <w:color w:val="auto"/>
          <w:kern w:val="0"/>
          <w:sz w:val="20"/>
          <w:szCs w:val="20"/>
          <w:highlight w:val="none"/>
          <w:lang w:val="en-US" w:eastAsia="zh-CN" w:bidi="ar-SA"/>
        </w:rPr>
        <w:t>甲方</w:t>
      </w:r>
      <w:r>
        <w:rPr>
          <w:rFonts w:hint="default" w:ascii="仿宋" w:hAnsi="仿宋" w:eastAsia="仿宋" w:cs="仿宋"/>
          <w:bCs/>
          <w:snapToGrid w:val="0"/>
          <w:color w:val="auto"/>
          <w:kern w:val="0"/>
          <w:sz w:val="20"/>
          <w:szCs w:val="20"/>
          <w:highlight w:val="none"/>
          <w:lang w:val="en-US" w:eastAsia="zh-CN" w:bidi="ar-SA"/>
        </w:rPr>
        <w:t>上班时间对陕西财政云提供运维支持服务，运维支持团队应根据本项目运行情况制定日常维护工作计划；按照</w:t>
      </w:r>
      <w:r>
        <w:rPr>
          <w:rFonts w:hint="eastAsia" w:ascii="仿宋" w:hAnsi="仿宋" w:eastAsia="仿宋" w:cs="仿宋"/>
          <w:bCs/>
          <w:snapToGrid w:val="0"/>
          <w:color w:val="auto"/>
          <w:kern w:val="0"/>
          <w:sz w:val="20"/>
          <w:szCs w:val="20"/>
          <w:highlight w:val="none"/>
          <w:lang w:val="en-US" w:eastAsia="zh-CN" w:bidi="ar-SA"/>
        </w:rPr>
        <w:t>甲方</w:t>
      </w:r>
      <w:r>
        <w:rPr>
          <w:rFonts w:hint="default" w:ascii="仿宋" w:hAnsi="仿宋" w:eastAsia="仿宋" w:cs="仿宋"/>
          <w:bCs/>
          <w:snapToGrid w:val="0"/>
          <w:color w:val="auto"/>
          <w:kern w:val="0"/>
          <w:sz w:val="20"/>
          <w:szCs w:val="20"/>
          <w:highlight w:val="none"/>
          <w:lang w:val="en-US" w:eastAsia="zh-CN" w:bidi="ar-SA"/>
        </w:rPr>
        <w:t>需求对系统运行问题进行跟踪解决；根据</w:t>
      </w:r>
      <w:r>
        <w:rPr>
          <w:rFonts w:hint="eastAsia" w:ascii="仿宋" w:hAnsi="仿宋" w:eastAsia="仿宋" w:cs="仿宋"/>
          <w:bCs/>
          <w:snapToGrid w:val="0"/>
          <w:color w:val="auto"/>
          <w:kern w:val="0"/>
          <w:sz w:val="20"/>
          <w:szCs w:val="20"/>
          <w:highlight w:val="none"/>
          <w:lang w:val="en-US" w:eastAsia="zh-CN" w:bidi="ar-SA"/>
        </w:rPr>
        <w:t>甲方</w:t>
      </w:r>
      <w:r>
        <w:rPr>
          <w:rFonts w:hint="default" w:ascii="仿宋" w:hAnsi="仿宋" w:eastAsia="仿宋" w:cs="仿宋"/>
          <w:bCs/>
          <w:snapToGrid w:val="0"/>
          <w:color w:val="auto"/>
          <w:kern w:val="0"/>
          <w:sz w:val="20"/>
          <w:szCs w:val="20"/>
          <w:highlight w:val="none"/>
          <w:lang w:val="en-US" w:eastAsia="zh-CN" w:bidi="ar-SA"/>
        </w:rPr>
        <w:t>业务需求及趋势，对运维管理提出针对性的优化建议，内容包括：</w:t>
      </w:r>
    </w:p>
    <w:p w14:paraId="6158DAA7">
      <w:pPr>
        <w:numPr>
          <w:ilvl w:val="0"/>
          <w:numId w:val="0"/>
        </w:numPr>
        <w:ind w:firstLine="400" w:firstLineChars="200"/>
        <w:rPr>
          <w:rFonts w:hint="default" w:ascii="仿宋" w:hAnsi="仿宋" w:eastAsia="仿宋" w:cs="仿宋"/>
          <w:bCs/>
          <w:snapToGrid w:val="0"/>
          <w:color w:val="auto"/>
          <w:kern w:val="0"/>
          <w:sz w:val="20"/>
          <w:szCs w:val="20"/>
          <w:highlight w:val="none"/>
          <w:lang w:val="en-US" w:eastAsia="zh-CN" w:bidi="ar-SA"/>
        </w:rPr>
      </w:pPr>
      <w:r>
        <w:rPr>
          <w:rFonts w:hint="eastAsia" w:ascii="仿宋" w:hAnsi="仿宋" w:eastAsia="仿宋" w:cs="仿宋"/>
          <w:bCs/>
          <w:snapToGrid w:val="0"/>
          <w:color w:val="auto"/>
          <w:kern w:val="0"/>
          <w:sz w:val="20"/>
          <w:szCs w:val="20"/>
          <w:highlight w:val="none"/>
          <w:lang w:val="en-US" w:eastAsia="zh-CN" w:bidi="ar-SA"/>
        </w:rPr>
        <w:t>（1）</w:t>
      </w:r>
      <w:r>
        <w:rPr>
          <w:rFonts w:hint="default" w:ascii="仿宋" w:hAnsi="仿宋" w:eastAsia="仿宋" w:cs="仿宋"/>
          <w:bCs/>
          <w:snapToGrid w:val="0"/>
          <w:color w:val="auto"/>
          <w:kern w:val="0"/>
          <w:sz w:val="20"/>
          <w:szCs w:val="20"/>
          <w:highlight w:val="none"/>
          <w:lang w:val="en-US" w:eastAsia="zh-CN" w:bidi="ar-SA"/>
        </w:rPr>
        <w:t>运维管理支持，问题/故障跟踪管理、技能传递及运维服务月报等运维支持管理服务；根据事件优先级和人员技能，合理分配任务，确保支持服务有序进行；监督财政云运维状况，根据业务需求以及资源运行情况，对运维工作流程、制度提出合理化建议；提供财政云项目相关华为产品运维的技术解答，技术资料及咨询，财政云资产信息管理及更新，配合</w:t>
      </w:r>
      <w:r>
        <w:rPr>
          <w:rFonts w:hint="eastAsia" w:ascii="仿宋" w:hAnsi="仿宋" w:eastAsia="仿宋" w:cs="仿宋"/>
          <w:bCs/>
          <w:snapToGrid w:val="0"/>
          <w:color w:val="auto"/>
          <w:kern w:val="0"/>
          <w:sz w:val="20"/>
          <w:szCs w:val="20"/>
          <w:highlight w:val="none"/>
          <w:lang w:val="en-US" w:eastAsia="zh-CN" w:bidi="ar-SA"/>
        </w:rPr>
        <w:t>甲方</w:t>
      </w:r>
      <w:r>
        <w:rPr>
          <w:rFonts w:hint="default" w:ascii="仿宋" w:hAnsi="仿宋" w:eastAsia="仿宋" w:cs="仿宋"/>
          <w:bCs/>
          <w:snapToGrid w:val="0"/>
          <w:color w:val="auto"/>
          <w:kern w:val="0"/>
          <w:sz w:val="20"/>
          <w:szCs w:val="20"/>
          <w:highlight w:val="none"/>
          <w:lang w:val="en-US" w:eastAsia="zh-CN" w:bidi="ar-SA"/>
        </w:rPr>
        <w:t>做好财政云系统应急演练；制定有效措施，确保运维人员的服务质量、规范，维护良好工作环境与工作秩序；</w:t>
      </w:r>
    </w:p>
    <w:p w14:paraId="633D60B1">
      <w:pPr>
        <w:numPr>
          <w:ilvl w:val="0"/>
          <w:numId w:val="0"/>
        </w:numPr>
        <w:ind w:firstLine="400" w:firstLineChars="200"/>
        <w:rPr>
          <w:rFonts w:hint="default" w:ascii="仿宋" w:hAnsi="仿宋" w:eastAsia="仿宋" w:cs="仿宋"/>
          <w:bCs/>
          <w:snapToGrid w:val="0"/>
          <w:color w:val="auto"/>
          <w:kern w:val="0"/>
          <w:sz w:val="20"/>
          <w:szCs w:val="20"/>
          <w:highlight w:val="none"/>
          <w:lang w:val="en-US" w:eastAsia="zh-CN" w:bidi="ar-SA"/>
        </w:rPr>
      </w:pPr>
      <w:r>
        <w:rPr>
          <w:rFonts w:hint="eastAsia" w:ascii="仿宋" w:hAnsi="仿宋" w:eastAsia="仿宋" w:cs="仿宋"/>
          <w:bCs/>
          <w:snapToGrid w:val="0"/>
          <w:color w:val="auto"/>
          <w:kern w:val="0"/>
          <w:sz w:val="20"/>
          <w:szCs w:val="20"/>
          <w:highlight w:val="none"/>
          <w:lang w:val="en-US" w:eastAsia="zh-CN" w:bidi="ar-SA"/>
        </w:rPr>
        <w:t>（2）</w:t>
      </w:r>
      <w:r>
        <w:rPr>
          <w:rFonts w:hint="default" w:ascii="仿宋" w:hAnsi="仿宋" w:eastAsia="仿宋" w:cs="仿宋"/>
          <w:bCs/>
          <w:snapToGrid w:val="0"/>
          <w:color w:val="auto"/>
          <w:kern w:val="0"/>
          <w:sz w:val="20"/>
          <w:szCs w:val="20"/>
          <w:highlight w:val="none"/>
          <w:lang w:val="en-US" w:eastAsia="zh-CN" w:bidi="ar-SA"/>
        </w:rPr>
        <w:t>FusionCloud平台资源发放与回收、变更审批、服务器及存储设备的配置变更、云平台升级保障；财政云平台的日常巡检、故障定位与处理、告警分派并跟踪解决，提供周巡检报告、月分析报告和年度总结报告；提供财政云云平台运维方面的技术解答，技术资料及咨询，关于云平台的合理化建议；</w:t>
      </w:r>
    </w:p>
    <w:p w14:paraId="4D3F5904">
      <w:pPr>
        <w:numPr>
          <w:ilvl w:val="0"/>
          <w:numId w:val="0"/>
        </w:numPr>
        <w:ind w:firstLine="400" w:firstLineChars="200"/>
        <w:rPr>
          <w:rFonts w:hint="default" w:ascii="仿宋" w:hAnsi="仿宋" w:eastAsia="仿宋" w:cs="仿宋"/>
          <w:bCs/>
          <w:snapToGrid w:val="0"/>
          <w:color w:val="auto"/>
          <w:kern w:val="0"/>
          <w:sz w:val="20"/>
          <w:szCs w:val="20"/>
          <w:highlight w:val="none"/>
          <w:lang w:val="en-US" w:eastAsia="zh-CN" w:bidi="ar-SA"/>
        </w:rPr>
      </w:pPr>
      <w:r>
        <w:rPr>
          <w:rFonts w:hint="eastAsia" w:ascii="仿宋" w:hAnsi="仿宋" w:eastAsia="仿宋" w:cs="仿宋"/>
          <w:bCs/>
          <w:snapToGrid w:val="0"/>
          <w:color w:val="auto"/>
          <w:kern w:val="0"/>
          <w:sz w:val="20"/>
          <w:szCs w:val="20"/>
          <w:highlight w:val="none"/>
          <w:lang w:val="en-US" w:eastAsia="zh-CN" w:bidi="ar-SA"/>
        </w:rPr>
        <w:t>（3）</w:t>
      </w:r>
      <w:r>
        <w:rPr>
          <w:rFonts w:hint="default" w:ascii="仿宋" w:hAnsi="仿宋" w:eastAsia="仿宋" w:cs="仿宋"/>
          <w:bCs/>
          <w:snapToGrid w:val="0"/>
          <w:color w:val="auto"/>
          <w:kern w:val="0"/>
          <w:sz w:val="20"/>
          <w:szCs w:val="20"/>
          <w:highlight w:val="none"/>
          <w:lang w:val="en-US" w:eastAsia="zh-CN" w:bidi="ar-SA"/>
        </w:rPr>
        <w:t>FusionStage平台巡检、问题定位、故障处理，微服务资源的日常监控，告警分派到对应接口人或者厂家，并跟踪解决；提供微服务问题现场处理、沟通协调、配置管理及变更、平台升级保障等运维活动的技术支持服务；提供财政云微服务运维方面的技术解答，技术资料及咨询，关于微服务的合理化建议；</w:t>
      </w:r>
    </w:p>
    <w:p w14:paraId="4700C271">
      <w:pPr>
        <w:numPr>
          <w:ilvl w:val="0"/>
          <w:numId w:val="0"/>
        </w:numPr>
        <w:ind w:firstLine="400" w:firstLineChars="200"/>
        <w:rPr>
          <w:rFonts w:hint="default" w:ascii="仿宋" w:hAnsi="仿宋" w:eastAsia="仿宋" w:cs="仿宋"/>
          <w:bCs/>
          <w:snapToGrid w:val="0"/>
          <w:color w:val="auto"/>
          <w:kern w:val="0"/>
          <w:sz w:val="20"/>
          <w:szCs w:val="20"/>
          <w:highlight w:val="none"/>
          <w:lang w:val="en-US" w:eastAsia="zh-CN" w:bidi="ar-SA"/>
        </w:rPr>
      </w:pPr>
      <w:r>
        <w:rPr>
          <w:rFonts w:hint="eastAsia" w:ascii="仿宋" w:hAnsi="仿宋" w:eastAsia="仿宋" w:cs="仿宋"/>
          <w:bCs/>
          <w:snapToGrid w:val="0"/>
          <w:color w:val="auto"/>
          <w:kern w:val="0"/>
          <w:sz w:val="20"/>
          <w:szCs w:val="20"/>
          <w:highlight w:val="none"/>
          <w:lang w:val="en-US" w:eastAsia="zh-CN" w:bidi="ar-SA"/>
        </w:rPr>
        <w:t>（4）</w:t>
      </w:r>
      <w:r>
        <w:rPr>
          <w:rFonts w:hint="default" w:ascii="仿宋" w:hAnsi="仿宋" w:eastAsia="仿宋" w:cs="仿宋"/>
          <w:bCs/>
          <w:snapToGrid w:val="0"/>
          <w:color w:val="auto"/>
          <w:kern w:val="0"/>
          <w:sz w:val="20"/>
          <w:szCs w:val="20"/>
          <w:highlight w:val="none"/>
          <w:lang w:val="en-US" w:eastAsia="zh-CN" w:bidi="ar-SA"/>
        </w:rPr>
        <w:t>GaussDB数据库的配置管理、备份与恢复、告警与故障处理、确保GaussDB数据库的稳定运行；配合专业团队完成数据库补丁升级，制定相关升级方案，保障升级成功；GaussDB数据库每天例行巡检，对潜在风险问题及时跟进，制定解决措施，提供周巡检报告、月分析报告和年度总结报告；根据数据库系统的特点和运行需求，对系统性能、容量、可用性、连续性等情况进行分析，提出物理资源调整、扩容、升级和数据库调优等合理化建议。</w:t>
      </w:r>
    </w:p>
    <w:p w14:paraId="4E5CD7E6">
      <w:pPr>
        <w:numPr>
          <w:ilvl w:val="0"/>
          <w:numId w:val="0"/>
        </w:numPr>
        <w:ind w:firstLine="400" w:firstLineChars="200"/>
        <w:rPr>
          <w:rFonts w:hint="default" w:ascii="仿宋" w:hAnsi="仿宋" w:eastAsia="仿宋" w:cs="仿宋"/>
          <w:bCs/>
          <w:snapToGrid w:val="0"/>
          <w:color w:val="auto"/>
          <w:kern w:val="0"/>
          <w:sz w:val="20"/>
          <w:szCs w:val="20"/>
          <w:highlight w:val="none"/>
          <w:lang w:val="en-US" w:eastAsia="zh-CN" w:bidi="ar-SA"/>
        </w:rPr>
      </w:pPr>
      <w:r>
        <w:rPr>
          <w:rFonts w:hint="eastAsia" w:ascii="仿宋" w:hAnsi="仿宋" w:eastAsia="仿宋" w:cs="仿宋"/>
          <w:bCs/>
          <w:snapToGrid w:val="0"/>
          <w:color w:val="auto"/>
          <w:kern w:val="0"/>
          <w:sz w:val="20"/>
          <w:szCs w:val="20"/>
          <w:highlight w:val="none"/>
          <w:lang w:val="en-US" w:eastAsia="zh-CN" w:bidi="ar-SA"/>
        </w:rPr>
        <w:t>（5）</w:t>
      </w:r>
      <w:r>
        <w:rPr>
          <w:rFonts w:hint="default" w:ascii="仿宋" w:hAnsi="仿宋" w:eastAsia="仿宋" w:cs="仿宋"/>
          <w:bCs/>
          <w:snapToGrid w:val="0"/>
          <w:color w:val="auto"/>
          <w:kern w:val="0"/>
          <w:sz w:val="20"/>
          <w:szCs w:val="20"/>
          <w:highlight w:val="none"/>
          <w:lang w:val="en-US" w:eastAsia="zh-CN" w:bidi="ar-SA"/>
        </w:rPr>
        <w:t>提供网络设备软件升级和补丁升级服务，结合人工巡检和使用网管系统与监控工具，对省财政网络运行状态、运行性能、资源使用分配情况进行日常监控、检查和分析，及时提供响应支持、故障处理、性能优化，并提供周巡检报告、月分析报告和年度总结报告；对网络设备的常规作业，包括但不少于安装部署、授权操作、策略配置、数据/配置备份等；定期修改网络设备登录密码和安全设置，做好设备安全防护，重大事件期间提供每天24小时网络技术支持保障服务。</w:t>
      </w:r>
    </w:p>
    <w:p w14:paraId="43F42DBB">
      <w:pPr>
        <w:numPr>
          <w:ilvl w:val="0"/>
          <w:numId w:val="0"/>
        </w:numPr>
        <w:ind w:firstLine="400" w:firstLineChars="200"/>
        <w:rPr>
          <w:rFonts w:hint="default" w:ascii="仿宋" w:hAnsi="仿宋" w:eastAsia="仿宋" w:cs="仿宋"/>
          <w:bCs/>
          <w:snapToGrid w:val="0"/>
          <w:color w:val="auto"/>
          <w:kern w:val="0"/>
          <w:sz w:val="20"/>
          <w:szCs w:val="20"/>
          <w:highlight w:val="none"/>
          <w:lang w:val="en-US" w:eastAsia="zh-CN" w:bidi="ar-SA"/>
        </w:rPr>
      </w:pPr>
      <w:r>
        <w:rPr>
          <w:rFonts w:hint="eastAsia" w:ascii="仿宋" w:hAnsi="仿宋" w:eastAsia="仿宋" w:cs="仿宋"/>
          <w:bCs/>
          <w:snapToGrid w:val="0"/>
          <w:color w:val="auto"/>
          <w:kern w:val="0"/>
          <w:sz w:val="20"/>
          <w:szCs w:val="20"/>
          <w:highlight w:val="none"/>
          <w:lang w:val="en-US" w:eastAsia="zh-CN" w:bidi="ar-SA"/>
        </w:rPr>
        <w:t>2</w:t>
      </w:r>
      <w:r>
        <w:rPr>
          <w:rFonts w:hint="default" w:ascii="仿宋" w:hAnsi="仿宋" w:eastAsia="仿宋" w:cs="仿宋"/>
          <w:bCs/>
          <w:snapToGrid w:val="0"/>
          <w:color w:val="auto"/>
          <w:kern w:val="0"/>
          <w:sz w:val="20"/>
          <w:szCs w:val="20"/>
          <w:highlight w:val="none"/>
          <w:lang w:val="en-US" w:eastAsia="zh-CN" w:bidi="ar-SA"/>
        </w:rPr>
        <w:t>.热线电话服务</w:t>
      </w:r>
    </w:p>
    <w:p w14:paraId="0E60FA96">
      <w:pPr>
        <w:numPr>
          <w:ilvl w:val="0"/>
          <w:numId w:val="0"/>
        </w:numPr>
        <w:ind w:firstLine="400" w:firstLineChars="200"/>
        <w:rPr>
          <w:rFonts w:hint="default" w:ascii="仿宋" w:hAnsi="仿宋" w:eastAsia="仿宋" w:cs="仿宋"/>
          <w:bCs/>
          <w:snapToGrid w:val="0"/>
          <w:color w:val="auto"/>
          <w:kern w:val="0"/>
          <w:sz w:val="20"/>
          <w:szCs w:val="20"/>
          <w:highlight w:val="none"/>
          <w:lang w:val="en-US" w:eastAsia="zh-CN" w:bidi="ar-SA"/>
        </w:rPr>
      </w:pPr>
      <w:r>
        <w:rPr>
          <w:rFonts w:hint="default" w:ascii="仿宋" w:hAnsi="仿宋" w:eastAsia="仿宋" w:cs="仿宋"/>
          <w:bCs/>
          <w:snapToGrid w:val="0"/>
          <w:color w:val="auto"/>
          <w:kern w:val="0"/>
          <w:sz w:val="20"/>
          <w:szCs w:val="20"/>
          <w:highlight w:val="none"/>
          <w:lang w:val="en-US" w:eastAsia="zh-CN" w:bidi="ar-SA"/>
        </w:rPr>
        <w:t>针对运维服务过程中无法即时解决的问题，通过电话、传真、电子邮件等方式为</w:t>
      </w:r>
      <w:r>
        <w:rPr>
          <w:rFonts w:hint="eastAsia" w:ascii="仿宋" w:hAnsi="仿宋" w:eastAsia="仿宋" w:cs="仿宋"/>
          <w:bCs/>
          <w:snapToGrid w:val="0"/>
          <w:color w:val="auto"/>
          <w:kern w:val="0"/>
          <w:sz w:val="20"/>
          <w:szCs w:val="20"/>
          <w:highlight w:val="none"/>
          <w:lang w:val="en-US" w:eastAsia="zh-CN" w:bidi="ar-SA"/>
        </w:rPr>
        <w:t>甲方</w:t>
      </w:r>
      <w:r>
        <w:rPr>
          <w:rFonts w:hint="default" w:ascii="仿宋" w:hAnsi="仿宋" w:eastAsia="仿宋" w:cs="仿宋"/>
          <w:bCs/>
          <w:snapToGrid w:val="0"/>
          <w:color w:val="auto"/>
          <w:kern w:val="0"/>
          <w:sz w:val="20"/>
          <w:szCs w:val="20"/>
          <w:highlight w:val="none"/>
          <w:lang w:val="en-US" w:eastAsia="zh-CN" w:bidi="ar-SA"/>
        </w:rPr>
        <w:t>提供每周5天(从星期一到星期五)每天8小时的服务。对</w:t>
      </w:r>
      <w:r>
        <w:rPr>
          <w:rFonts w:hint="eastAsia" w:ascii="仿宋" w:hAnsi="仿宋" w:eastAsia="仿宋" w:cs="仿宋"/>
          <w:bCs/>
          <w:snapToGrid w:val="0"/>
          <w:color w:val="auto"/>
          <w:kern w:val="0"/>
          <w:sz w:val="20"/>
          <w:szCs w:val="20"/>
          <w:highlight w:val="none"/>
          <w:lang w:val="en-US" w:eastAsia="zh-CN" w:bidi="ar-SA"/>
        </w:rPr>
        <w:t>甲方</w:t>
      </w:r>
      <w:r>
        <w:rPr>
          <w:rFonts w:hint="default" w:ascii="仿宋" w:hAnsi="仿宋" w:eastAsia="仿宋" w:cs="仿宋"/>
          <w:bCs/>
          <w:snapToGrid w:val="0"/>
          <w:color w:val="auto"/>
          <w:kern w:val="0"/>
          <w:sz w:val="20"/>
          <w:szCs w:val="20"/>
          <w:highlight w:val="none"/>
          <w:lang w:val="en-US" w:eastAsia="zh-CN" w:bidi="ar-SA"/>
        </w:rPr>
        <w:t>的服务请求和问题，及时响应，并将其直接转给相关技术工程师，确保1小时内给予解答或回复。</w:t>
      </w:r>
    </w:p>
    <w:p w14:paraId="4C5BA805">
      <w:pPr>
        <w:numPr>
          <w:ilvl w:val="0"/>
          <w:numId w:val="0"/>
        </w:numPr>
        <w:ind w:firstLine="400" w:firstLineChars="200"/>
        <w:rPr>
          <w:rFonts w:hint="default" w:ascii="仿宋" w:hAnsi="仿宋" w:eastAsia="仿宋" w:cs="仿宋"/>
          <w:bCs/>
          <w:snapToGrid w:val="0"/>
          <w:color w:val="auto"/>
          <w:kern w:val="0"/>
          <w:sz w:val="20"/>
          <w:szCs w:val="20"/>
          <w:highlight w:val="none"/>
          <w:lang w:val="en-US" w:eastAsia="zh-CN" w:bidi="ar-SA"/>
        </w:rPr>
      </w:pPr>
      <w:r>
        <w:rPr>
          <w:rFonts w:hint="eastAsia" w:ascii="仿宋" w:hAnsi="仿宋" w:eastAsia="仿宋" w:cs="仿宋"/>
          <w:bCs/>
          <w:snapToGrid w:val="0"/>
          <w:color w:val="auto"/>
          <w:kern w:val="0"/>
          <w:sz w:val="20"/>
          <w:szCs w:val="20"/>
          <w:highlight w:val="none"/>
          <w:lang w:val="en-US" w:eastAsia="zh-CN" w:bidi="ar-SA"/>
        </w:rPr>
        <w:t>3</w:t>
      </w:r>
      <w:r>
        <w:rPr>
          <w:rFonts w:hint="default" w:ascii="仿宋" w:hAnsi="仿宋" w:eastAsia="仿宋" w:cs="仿宋"/>
          <w:bCs/>
          <w:snapToGrid w:val="0"/>
          <w:color w:val="auto"/>
          <w:kern w:val="0"/>
          <w:sz w:val="20"/>
          <w:szCs w:val="20"/>
          <w:highlight w:val="none"/>
          <w:lang w:val="en-US" w:eastAsia="zh-CN" w:bidi="ar-SA"/>
        </w:rPr>
        <w:t>.其他服务</w:t>
      </w:r>
    </w:p>
    <w:p w14:paraId="7097533C">
      <w:pPr>
        <w:numPr>
          <w:ilvl w:val="0"/>
          <w:numId w:val="0"/>
        </w:numPr>
        <w:ind w:firstLine="400" w:firstLineChars="200"/>
        <w:rPr>
          <w:rFonts w:hint="eastAsia" w:ascii="仿宋" w:hAnsi="仿宋" w:eastAsia="仿宋" w:cs="仿宋"/>
          <w:bCs/>
          <w:snapToGrid w:val="0"/>
          <w:color w:val="auto"/>
          <w:kern w:val="0"/>
          <w:sz w:val="20"/>
          <w:szCs w:val="20"/>
          <w:highlight w:val="none"/>
          <w:lang w:val="zh-CN" w:eastAsia="en-US" w:bidi="ar-SA"/>
        </w:rPr>
      </w:pPr>
      <w:r>
        <w:rPr>
          <w:rFonts w:hint="default" w:ascii="仿宋" w:hAnsi="仿宋" w:eastAsia="仿宋" w:cs="仿宋"/>
          <w:bCs/>
          <w:snapToGrid w:val="0"/>
          <w:color w:val="auto"/>
          <w:kern w:val="0"/>
          <w:sz w:val="20"/>
          <w:szCs w:val="20"/>
          <w:highlight w:val="none"/>
          <w:lang w:val="en-US" w:eastAsia="zh-CN" w:bidi="ar-SA"/>
        </w:rPr>
        <w:t>在完成合同约定的服务期限后，根据</w:t>
      </w:r>
      <w:r>
        <w:rPr>
          <w:rFonts w:hint="eastAsia" w:ascii="仿宋" w:hAnsi="仿宋" w:eastAsia="仿宋" w:cs="仿宋"/>
          <w:bCs/>
          <w:snapToGrid w:val="0"/>
          <w:color w:val="auto"/>
          <w:kern w:val="0"/>
          <w:sz w:val="20"/>
          <w:szCs w:val="20"/>
          <w:highlight w:val="none"/>
          <w:lang w:val="en-US" w:eastAsia="zh-CN" w:bidi="ar-SA"/>
        </w:rPr>
        <w:t>甲方</w:t>
      </w:r>
      <w:r>
        <w:rPr>
          <w:rFonts w:hint="default" w:ascii="仿宋" w:hAnsi="仿宋" w:eastAsia="仿宋" w:cs="仿宋"/>
          <w:bCs/>
          <w:snapToGrid w:val="0"/>
          <w:color w:val="auto"/>
          <w:kern w:val="0"/>
          <w:sz w:val="20"/>
          <w:szCs w:val="20"/>
          <w:highlight w:val="none"/>
          <w:lang w:val="en-US" w:eastAsia="zh-CN" w:bidi="ar-SA"/>
        </w:rPr>
        <w:t>要求还需要继续提供服务或者由于业务重新调整导致的必须派工程师重新进行系统定制，</w:t>
      </w:r>
      <w:r>
        <w:rPr>
          <w:rFonts w:hint="eastAsia" w:ascii="仿宋" w:hAnsi="仿宋" w:eastAsia="仿宋" w:cs="仿宋"/>
          <w:bCs/>
          <w:snapToGrid w:val="0"/>
          <w:color w:val="auto"/>
          <w:kern w:val="0"/>
          <w:sz w:val="20"/>
          <w:szCs w:val="20"/>
          <w:highlight w:val="none"/>
          <w:lang w:val="en-US" w:eastAsia="zh-CN" w:bidi="ar-SA"/>
        </w:rPr>
        <w:t>乙方</w:t>
      </w:r>
      <w:r>
        <w:rPr>
          <w:rFonts w:hint="default" w:ascii="仿宋" w:hAnsi="仿宋" w:eastAsia="仿宋" w:cs="仿宋"/>
          <w:bCs/>
          <w:snapToGrid w:val="0"/>
          <w:color w:val="auto"/>
          <w:kern w:val="0"/>
          <w:sz w:val="20"/>
          <w:szCs w:val="20"/>
          <w:highlight w:val="none"/>
          <w:lang w:val="en-US" w:eastAsia="zh-CN" w:bidi="ar-SA"/>
        </w:rPr>
        <w:t>需提供与软件应用相关的服务。</w:t>
      </w:r>
    </w:p>
    <w:p w14:paraId="53450A01">
      <w:pPr>
        <w:numPr>
          <w:ilvl w:val="0"/>
          <w:numId w:val="0"/>
        </w:numPr>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六、服务范围</w:t>
      </w:r>
    </w:p>
    <w:p w14:paraId="50E9DE63">
      <w:p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收集甲方业务需求，在需求明确并经甲方确认后，在陕西财政云系统功能范围内的环境上予以实现，主要包括：预算管理、指标管理、国库集中支付、部门决算、监控平台、财政总会计帐、资产管理、银行账户管理、人员台账、单位核算人员权限、流程调整等；</w:t>
      </w:r>
    </w:p>
    <w:p w14:paraId="01049E57">
      <w:p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2.软件服务过程中，乙方按照约定的天数提供与陕西财政云系统有关的技术支持。</w:t>
      </w:r>
    </w:p>
    <w:p w14:paraId="408D85DC">
      <w:pPr>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七、</w:t>
      </w:r>
      <w:r>
        <w:rPr>
          <w:rFonts w:hint="eastAsia" w:ascii="仿宋_GB2312" w:hAnsi="仿宋_GB2312" w:eastAsia="仿宋_GB2312" w:cs="仿宋_GB2312"/>
          <w:b/>
          <w:bCs/>
          <w:color w:val="auto"/>
          <w:highlight w:val="none"/>
          <w:lang w:val="en-US" w:eastAsia="zh-Hans"/>
        </w:rPr>
        <w:t>服务</w:t>
      </w:r>
      <w:r>
        <w:rPr>
          <w:rFonts w:hint="eastAsia" w:ascii="仿宋_GB2312" w:hAnsi="仿宋_GB2312" w:eastAsia="仿宋_GB2312" w:cs="仿宋_GB2312"/>
          <w:b/>
          <w:bCs/>
          <w:color w:val="auto"/>
          <w:highlight w:val="none"/>
          <w:lang w:val="en-US" w:eastAsia="zh-CN"/>
        </w:rPr>
        <w:t>标准</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2219"/>
        <w:gridCol w:w="3568"/>
      </w:tblGrid>
      <w:tr w14:paraId="3A50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0" w:type="auto"/>
            <w:vMerge w:val="restart"/>
            <w:shd w:val="clear" w:color="auto" w:fill="auto"/>
            <w:noWrap w:val="0"/>
            <w:vAlign w:val="center"/>
          </w:tcPr>
          <w:p w14:paraId="376A141D">
            <w:pP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序号</w:t>
            </w:r>
          </w:p>
        </w:tc>
        <w:tc>
          <w:tcPr>
            <w:tcW w:w="2219" w:type="dxa"/>
            <w:vMerge w:val="restart"/>
            <w:noWrap w:val="0"/>
            <w:vAlign w:val="center"/>
          </w:tcPr>
          <w:p w14:paraId="4CC04CDA">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服务方式</w:t>
            </w:r>
          </w:p>
        </w:tc>
        <w:tc>
          <w:tcPr>
            <w:tcW w:w="3568" w:type="dxa"/>
            <w:vMerge w:val="restart"/>
            <w:noWrap w:val="0"/>
            <w:vAlign w:val="center"/>
          </w:tcPr>
          <w:p w14:paraId="6FBDEFC8">
            <w:pPr>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服务内容</w:t>
            </w:r>
          </w:p>
        </w:tc>
      </w:tr>
      <w:tr w14:paraId="2177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jc w:val="center"/>
        </w:trPr>
        <w:tc>
          <w:tcPr>
            <w:tcW w:w="0" w:type="auto"/>
            <w:vMerge w:val="continue"/>
            <w:tcBorders>
              <w:bottom w:val="single" w:color="auto" w:sz="4" w:space="0"/>
            </w:tcBorders>
            <w:noWrap w:val="0"/>
            <w:vAlign w:val="center"/>
          </w:tcPr>
          <w:p w14:paraId="71D14122">
            <w:pPr>
              <w:ind w:firstLine="400" w:firstLineChars="200"/>
              <w:rPr>
                <w:rFonts w:hint="eastAsia" w:ascii="仿宋_GB2312" w:hAnsi="仿宋_GB2312" w:eastAsia="仿宋_GB2312" w:cs="仿宋_GB2312"/>
                <w:color w:val="auto"/>
                <w:highlight w:val="none"/>
                <w:lang w:val="en-US" w:eastAsia="zh-CN"/>
              </w:rPr>
            </w:pPr>
          </w:p>
        </w:tc>
        <w:tc>
          <w:tcPr>
            <w:tcW w:w="2219" w:type="dxa"/>
            <w:vMerge w:val="continue"/>
            <w:tcBorders>
              <w:bottom w:val="single" w:color="auto" w:sz="4" w:space="0"/>
            </w:tcBorders>
            <w:noWrap w:val="0"/>
            <w:vAlign w:val="center"/>
          </w:tcPr>
          <w:p w14:paraId="0F8797F5">
            <w:pPr>
              <w:ind w:firstLine="400" w:firstLineChars="200"/>
              <w:rPr>
                <w:rFonts w:hint="eastAsia" w:ascii="仿宋_GB2312" w:hAnsi="仿宋_GB2312" w:eastAsia="仿宋_GB2312" w:cs="仿宋_GB2312"/>
                <w:color w:val="auto"/>
                <w:highlight w:val="none"/>
                <w:lang w:val="en-US" w:eastAsia="zh-CN"/>
              </w:rPr>
            </w:pPr>
          </w:p>
        </w:tc>
        <w:tc>
          <w:tcPr>
            <w:tcW w:w="3568" w:type="dxa"/>
            <w:vMerge w:val="continue"/>
            <w:tcBorders>
              <w:bottom w:val="single" w:color="auto" w:sz="4" w:space="0"/>
            </w:tcBorders>
            <w:noWrap w:val="0"/>
            <w:vAlign w:val="center"/>
          </w:tcPr>
          <w:p w14:paraId="764B1420">
            <w:pPr>
              <w:ind w:firstLine="400" w:firstLineChars="200"/>
              <w:rPr>
                <w:rFonts w:hint="eastAsia" w:ascii="仿宋_GB2312" w:hAnsi="仿宋_GB2312" w:eastAsia="仿宋_GB2312" w:cs="仿宋_GB2312"/>
                <w:color w:val="auto"/>
                <w:highlight w:val="none"/>
                <w:lang w:val="en-US" w:eastAsia="zh-CN"/>
              </w:rPr>
            </w:pPr>
          </w:p>
        </w:tc>
      </w:tr>
      <w:tr w14:paraId="7D704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24" w:hRule="atLeast"/>
          <w:jc w:val="center"/>
        </w:trPr>
        <w:tc>
          <w:tcPr>
            <w:tcW w:w="0" w:type="auto"/>
            <w:noWrap w:val="0"/>
            <w:vAlign w:val="center"/>
          </w:tcPr>
          <w:p w14:paraId="40CE2C6C">
            <w:pP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w:t>
            </w:r>
          </w:p>
        </w:tc>
        <w:tc>
          <w:tcPr>
            <w:tcW w:w="2219" w:type="dxa"/>
            <w:noWrap w:val="0"/>
            <w:vAlign w:val="center"/>
          </w:tcPr>
          <w:p w14:paraId="6F8BEA91">
            <w:pP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Internet、网络服务、微信QQ等通讯工具、热线电话服务，通过远程方式实现的系统定制与调整。</w:t>
            </w:r>
          </w:p>
        </w:tc>
        <w:tc>
          <w:tcPr>
            <w:tcW w:w="3568" w:type="dxa"/>
            <w:vMerge w:val="restart"/>
            <w:shd w:val="clear" w:color="auto" w:fill="auto"/>
            <w:noWrap w:val="0"/>
            <w:vAlign w:val="center"/>
          </w:tcPr>
          <w:p w14:paraId="38081267">
            <w:p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1、财政局科室及预算单位软件培训（预算管理、指标管理、国库集中支付、部门决算、监控平台、财政总会计帐、资产管理、银行账户管理、人员台账、单位核算）。</w:t>
            </w:r>
          </w:p>
          <w:p w14:paraId="6DED8240">
            <w:p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财政云系统人员、科室、角色等预算管理、指标管理、国库集中支付、部门决算、监控平台、财政总会计帐、资产管理、银行账户管理、人员台账、单位核算等基础数据、权限配置及财政云一体化系统的调试等工作。</w:t>
            </w:r>
          </w:p>
          <w:p w14:paraId="0542EA94">
            <w:p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3、财政云上线运行后预算管理、指标管理、国库集中支付、部门决算、监控平台、财政总会计帐、资产管理、银行账户管理、人员台账、单位核算使用过程中的问题处理。</w:t>
            </w:r>
          </w:p>
          <w:p w14:paraId="42C36423">
            <w:p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4、所有运维工作都基于区划管理员权限范围内的服务。</w:t>
            </w:r>
          </w:p>
        </w:tc>
      </w:tr>
      <w:tr w14:paraId="663D2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 w:hRule="atLeast"/>
          <w:jc w:val="center"/>
        </w:trPr>
        <w:tc>
          <w:tcPr>
            <w:tcW w:w="0" w:type="auto"/>
            <w:noWrap w:val="0"/>
            <w:vAlign w:val="center"/>
          </w:tcPr>
          <w:p w14:paraId="1483409A">
            <w:pPr>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w:t>
            </w:r>
          </w:p>
        </w:tc>
        <w:tc>
          <w:tcPr>
            <w:tcW w:w="2219" w:type="dxa"/>
            <w:noWrap w:val="0"/>
            <w:vAlign w:val="center"/>
          </w:tcPr>
          <w:p w14:paraId="35CFC502">
            <w:pP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由业务变动引起的系统重新定制或部分调整，由乙方根据甲方要求提供相关技术服务。</w:t>
            </w:r>
          </w:p>
        </w:tc>
        <w:tc>
          <w:tcPr>
            <w:tcW w:w="3568" w:type="dxa"/>
            <w:vMerge w:val="continue"/>
            <w:noWrap w:val="0"/>
            <w:vAlign w:val="center"/>
          </w:tcPr>
          <w:p w14:paraId="3597B3DB">
            <w:pPr>
              <w:ind w:firstLine="400" w:firstLineChars="200"/>
              <w:rPr>
                <w:rFonts w:hint="eastAsia" w:ascii="仿宋_GB2312" w:hAnsi="仿宋_GB2312" w:eastAsia="仿宋_GB2312" w:cs="仿宋_GB2312"/>
                <w:color w:val="auto"/>
                <w:highlight w:val="none"/>
                <w:lang w:val="en-US" w:eastAsia="zh-CN"/>
              </w:rPr>
            </w:pPr>
          </w:p>
        </w:tc>
      </w:tr>
    </w:tbl>
    <w:p w14:paraId="0BC9B70B">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八</w:t>
      </w:r>
      <w:r>
        <w:rPr>
          <w:rFonts w:hint="eastAsia" w:ascii="仿宋" w:hAnsi="仿宋" w:eastAsia="仿宋" w:cs="仿宋"/>
          <w:b/>
          <w:color w:val="auto"/>
          <w:sz w:val="20"/>
          <w:szCs w:val="20"/>
          <w:highlight w:val="none"/>
          <w:lang w:val="zh-CN"/>
        </w:rPr>
        <w:t>、</w:t>
      </w:r>
      <w:r>
        <w:rPr>
          <w:rFonts w:hint="eastAsia" w:ascii="仿宋" w:hAnsi="仿宋" w:eastAsia="仿宋" w:cs="仿宋"/>
          <w:b/>
          <w:color w:val="auto"/>
          <w:sz w:val="20"/>
          <w:szCs w:val="20"/>
          <w:highlight w:val="none"/>
          <w:lang w:val="en-US" w:eastAsia="zh-CN"/>
        </w:rPr>
        <w:t>双方责任</w:t>
      </w:r>
    </w:p>
    <w:p w14:paraId="69063B09">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甲方责任：</w:t>
      </w:r>
    </w:p>
    <w:p w14:paraId="4CF7EDA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1.成立“财政云”实施领导工作小组，明确人员配置，对软件服务过程进行组织、协调、监督和检查，确保服务全过程中每一业务项都有专人负责配合乙方；</w:t>
      </w:r>
    </w:p>
    <w:p w14:paraId="293E5FD1">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2.项目实施和服务过程的实施服务方法与技术方案遵照财政厅推广办以及财政厅信息处要求执行；</w:t>
      </w:r>
    </w:p>
    <w:p w14:paraId="3037F09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3.确认服务“财政云系统”的时间进度，并提交正式的进度安排表，并确保严格执行；</w:t>
      </w:r>
    </w:p>
    <w:p w14:paraId="4D8C56BD">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4.根据乙方提供的计划、服务方案安排相关人员配合，并督导计划方案的执行,在每一阶段与乙方有效协作，确保各项顺利完成；</w:t>
      </w:r>
    </w:p>
    <w:p w14:paraId="52AC903F">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5.甲方应确保在维护服务期间软件系统的运行环境(包括网络、计算机、打印机及相关硬件设备)的运行良好，为软件服务正常进行提供保障。</w:t>
      </w:r>
    </w:p>
    <w:p w14:paraId="135B0A8F">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乙方责任：</w:t>
      </w:r>
    </w:p>
    <w:p w14:paraId="033D3CE6">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1.实行项目负责制，确保有专人对项目负责，项目组负责人负责对软件的整个服务工作进行监督，对维护服务过程中出现的问题进行协调；</w:t>
      </w:r>
    </w:p>
    <w:p w14:paraId="1AD3D634">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2.乙方除向甲方提供合同中规定的服务项目外，对甲方应用该软件系统的软硬件环境进行检查，对不能满足系统运行的情况，提供改进意见；</w:t>
      </w:r>
    </w:p>
    <w:p w14:paraId="6CF63F4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3.乙方应遵守甲方有关安全规定，对系统服务过程中涉及的甲方业务数据予以保密，未经甲方许可，乙方不得向第三方泄露甲方业务数据内容或在公开场合引用甲方数据；</w:t>
      </w:r>
    </w:p>
    <w:p w14:paraId="2DADEA6E">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4.未经甲方许可，乙方服务人员不得对甲方的设置定制好的系统进行变动，包括不得对业务数据进行增删、修改、复制、传送、记录等。</w:t>
      </w:r>
    </w:p>
    <w:p w14:paraId="7A8B79DE">
      <w:pPr>
        <w:keepNext w:val="0"/>
        <w:keepLines w:val="0"/>
        <w:pageBreakBefore w:val="0"/>
        <w:widowControl/>
        <w:kinsoku w:val="0"/>
        <w:wordWrap/>
        <w:overflowPunct/>
        <w:topLinePunct w:val="0"/>
        <w:autoSpaceDE w:val="0"/>
        <w:autoSpaceDN w:val="0"/>
        <w:bidi w:val="0"/>
        <w:adjustRightInd w:val="0"/>
        <w:snapToGrid w:val="0"/>
        <w:spacing w:line="360" w:lineRule="auto"/>
        <w:ind w:firstLine="402" w:firstLineChars="200"/>
        <w:jc w:val="left"/>
        <w:textAlignment w:val="baseline"/>
        <w:rPr>
          <w:rFonts w:hint="eastAsia" w:ascii="仿宋" w:hAnsi="仿宋" w:eastAsia="仿宋" w:cs="仿宋"/>
          <w:b/>
          <w:color w:val="auto"/>
          <w:sz w:val="20"/>
          <w:szCs w:val="20"/>
          <w:highlight w:val="none"/>
          <w:lang w:val="zh-CN"/>
        </w:rPr>
      </w:pPr>
      <w:r>
        <w:rPr>
          <w:rFonts w:hint="eastAsia" w:ascii="仿宋" w:hAnsi="仿宋" w:eastAsia="仿宋" w:cs="仿宋"/>
          <w:b/>
          <w:color w:val="auto"/>
          <w:sz w:val="20"/>
          <w:szCs w:val="20"/>
          <w:highlight w:val="none"/>
          <w:lang w:val="en-US" w:eastAsia="zh-CN"/>
        </w:rPr>
        <w:t>九</w:t>
      </w:r>
      <w:r>
        <w:rPr>
          <w:rFonts w:hint="eastAsia" w:ascii="仿宋" w:hAnsi="仿宋" w:eastAsia="仿宋" w:cs="仿宋"/>
          <w:b/>
          <w:color w:val="auto"/>
          <w:sz w:val="20"/>
          <w:szCs w:val="20"/>
          <w:highlight w:val="none"/>
          <w:lang w:val="zh-CN"/>
        </w:rPr>
        <w:t>、保密责任</w:t>
      </w:r>
    </w:p>
    <w:p w14:paraId="7DBF0B53">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1.保密范围</w:t>
      </w:r>
    </w:p>
    <w:p w14:paraId="5E50B823">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1.1未经甲方同意，乙方不得以任何形式公开本合同书及其附件的任何内容；</w:t>
      </w:r>
    </w:p>
    <w:p w14:paraId="3E038BF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1.2乙方在未征得甲方同意的情况下，不得向第三方泄露在项目中涉及到的需要保密的情报、资料和数据；</w:t>
      </w:r>
    </w:p>
    <w:p w14:paraId="73C61606">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1.3乙方在未征得甲方同意的情况下，不得为任何其它目的而自行使用或允许他人使用从甲方获得的信息（包括但不限于所有的报告、摘录、纪要、文件、计划、报表、复印件和业务数据等）；</w:t>
      </w:r>
    </w:p>
    <w:p w14:paraId="4FD2DC9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1.4乙方应与参加项目的人员签订保密协议，严格遵守有关保密的法律法规，任何人不得将与本项目有关的资料信息泄露给第三方；</w:t>
      </w:r>
    </w:p>
    <w:p w14:paraId="6F1A236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1.5如果乙方违反本条款的规定，并给甲方造成损失，乙方应向甲方承担补偿责任。触犯保密法律法规的情况由乙方独自承担相应法律责任；</w:t>
      </w:r>
    </w:p>
    <w:p w14:paraId="08109931">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1.6乙方认为的乙方商业秘密需要乙方事先向甲方书面声明。</w:t>
      </w:r>
    </w:p>
    <w:p w14:paraId="36B6FB3F">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2.保密期限</w:t>
      </w:r>
    </w:p>
    <w:p w14:paraId="661217B9">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甲乙双方应对上述保密范围所约定的内容承担保密义务。自本项目开始日始至本项目约定的信息全部成为公开信息止。</w:t>
      </w:r>
    </w:p>
    <w:p w14:paraId="2AC031C1">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3.服务约定</w:t>
      </w:r>
    </w:p>
    <w:p w14:paraId="7C63F6E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3.1本合同中所述的服务期间原则上不包括双休日和公共假日，每个工作日以8小时计。如在合同双方均同意的前提下，考虑双方的利益，可以在工作日外安排工作或延长工作时间；</w:t>
      </w:r>
    </w:p>
    <w:p w14:paraId="76338BC3">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3.</w:t>
      </w:r>
      <w:r>
        <w:rPr>
          <w:rFonts w:hint="eastAsia" w:ascii="仿宋" w:hAnsi="仿宋" w:eastAsia="仿宋" w:cs="仿宋"/>
          <w:bCs/>
          <w:color w:val="auto"/>
          <w:sz w:val="20"/>
          <w:szCs w:val="20"/>
          <w:highlight w:val="none"/>
          <w:lang w:val="en-US" w:eastAsia="zh-CN"/>
        </w:rPr>
        <w:t>2</w:t>
      </w:r>
      <w:r>
        <w:rPr>
          <w:rFonts w:hint="eastAsia" w:ascii="仿宋" w:hAnsi="仿宋" w:eastAsia="仿宋" w:cs="仿宋"/>
          <w:bCs/>
          <w:color w:val="auto"/>
          <w:sz w:val="20"/>
          <w:szCs w:val="20"/>
          <w:highlight w:val="none"/>
          <w:lang w:val="zh-CN"/>
        </w:rPr>
        <w:t>对于现场支持天数超出本合同约定的服务天数所产生的费用，双方需签订补充合同；</w:t>
      </w:r>
    </w:p>
    <w:p w14:paraId="36260BDE">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
          <w:color w:val="auto"/>
          <w:sz w:val="20"/>
          <w:szCs w:val="20"/>
          <w:highlight w:val="none"/>
          <w:lang w:val="zh-CN"/>
        </w:rPr>
      </w:pPr>
      <w:r>
        <w:rPr>
          <w:rFonts w:hint="eastAsia" w:ascii="仿宋" w:hAnsi="仿宋" w:eastAsia="仿宋" w:cs="仿宋"/>
          <w:bCs/>
          <w:color w:val="auto"/>
          <w:sz w:val="20"/>
          <w:szCs w:val="20"/>
          <w:highlight w:val="none"/>
          <w:lang w:val="zh-CN"/>
        </w:rPr>
        <w:t>3.</w:t>
      </w: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lang w:val="zh-CN"/>
        </w:rPr>
        <w:t>对于超出服务范围的服务，双方须签订其它软件服务合同</w:t>
      </w:r>
    </w:p>
    <w:p w14:paraId="62B5B93F">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十、政府采购合同履行</w:t>
      </w:r>
    </w:p>
    <w:p w14:paraId="02B5F8F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政府采购合同履行中，甲方需追加与合同标的相同服务的，在不改变合同其他条款的前提下，可以与乙方协商签订补充合同，但所有补充合同的采购金额不得超过原合同采购金额的10%。</w:t>
      </w:r>
    </w:p>
    <w:p w14:paraId="0D6F27E5">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color w:val="auto"/>
          <w:sz w:val="20"/>
          <w:szCs w:val="20"/>
          <w:highlight w:val="none"/>
          <w:lang w:val="zh-CN" w:eastAsia="zh-CN"/>
        </w:rPr>
      </w:pPr>
      <w:r>
        <w:rPr>
          <w:rFonts w:hint="eastAsia" w:ascii="仿宋" w:hAnsi="仿宋" w:eastAsia="仿宋" w:cs="仿宋"/>
          <w:b/>
          <w:color w:val="auto"/>
          <w:sz w:val="20"/>
          <w:szCs w:val="20"/>
          <w:highlight w:val="none"/>
          <w:lang w:val="zh-CN" w:eastAsia="zh-CN"/>
        </w:rPr>
        <w:t>十</w:t>
      </w:r>
      <w:r>
        <w:rPr>
          <w:rFonts w:hint="eastAsia" w:ascii="仿宋" w:hAnsi="仿宋" w:eastAsia="仿宋" w:cs="仿宋"/>
          <w:b/>
          <w:color w:val="auto"/>
          <w:sz w:val="20"/>
          <w:szCs w:val="20"/>
          <w:highlight w:val="none"/>
          <w:lang w:val="en-US" w:eastAsia="zh-CN"/>
        </w:rPr>
        <w:t>一</w:t>
      </w:r>
      <w:r>
        <w:rPr>
          <w:rFonts w:hint="eastAsia" w:ascii="仿宋" w:hAnsi="仿宋" w:eastAsia="仿宋" w:cs="仿宋"/>
          <w:b/>
          <w:color w:val="auto"/>
          <w:sz w:val="20"/>
          <w:szCs w:val="20"/>
          <w:highlight w:val="none"/>
          <w:lang w:val="zh-CN" w:eastAsia="zh-CN"/>
        </w:rPr>
        <w:t>、不可抗力条款</w:t>
      </w:r>
    </w:p>
    <w:p w14:paraId="160DB79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 w:val="0"/>
          <w:bCs/>
          <w:color w:val="auto"/>
          <w:sz w:val="20"/>
          <w:szCs w:val="20"/>
          <w:highlight w:val="none"/>
          <w:lang w:val="zh-CN" w:eastAsia="zh-CN"/>
        </w:rPr>
        <w:t>甲乙双方任何一方在合同执行过程中由于不可抗力的原因，即该方不能控制的事件发生，如战争、火灾、台风、地震、禁令和其它政府的发令及其它双方认可的不可抗力情况等原因的影响不能正常执行合同，则合同应延期执行，延期的时间应与不可抗力事件的持续时间相等。在不可抗力的影响下，受阻方可暂时停止执行合同的受阻部分，当不可抗力时间持续的时间超过6个月，双方可就解除合同及其它未尽事宜进行协商处理。</w:t>
      </w:r>
    </w:p>
    <w:p w14:paraId="60492CF2">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 w:hAnsi="仿宋" w:eastAsia="仿宋" w:cs="仿宋"/>
          <w:b/>
          <w:color w:val="auto"/>
          <w:sz w:val="20"/>
          <w:szCs w:val="20"/>
          <w:highlight w:val="none"/>
          <w:lang w:val="zh-CN" w:eastAsia="zh-CN"/>
        </w:rPr>
      </w:pPr>
      <w:r>
        <w:rPr>
          <w:rFonts w:hint="eastAsia" w:ascii="仿宋" w:hAnsi="仿宋" w:eastAsia="仿宋" w:cs="仿宋"/>
          <w:b/>
          <w:color w:val="auto"/>
          <w:sz w:val="20"/>
          <w:szCs w:val="20"/>
          <w:highlight w:val="none"/>
          <w:lang w:val="zh-CN" w:eastAsia="zh-CN"/>
        </w:rPr>
        <w:t>十</w:t>
      </w:r>
      <w:r>
        <w:rPr>
          <w:rFonts w:hint="eastAsia" w:ascii="仿宋" w:hAnsi="仿宋" w:eastAsia="仿宋" w:cs="仿宋"/>
          <w:b/>
          <w:color w:val="auto"/>
          <w:sz w:val="20"/>
          <w:szCs w:val="20"/>
          <w:highlight w:val="none"/>
          <w:lang w:val="en-US" w:eastAsia="zh-CN"/>
        </w:rPr>
        <w:t>二</w:t>
      </w:r>
      <w:r>
        <w:rPr>
          <w:rFonts w:hint="eastAsia" w:ascii="仿宋" w:hAnsi="仿宋" w:eastAsia="仿宋" w:cs="仿宋"/>
          <w:b/>
          <w:color w:val="auto"/>
          <w:sz w:val="20"/>
          <w:szCs w:val="20"/>
          <w:highlight w:val="none"/>
          <w:lang w:val="zh-CN" w:eastAsia="zh-CN"/>
        </w:rPr>
        <w:t>、法律效力</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05917CE">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1.本合同适用于自合同签订后“财政云”运行维护服务工作，在完成合同规定的服务项目预算管理、指标管理、国库集中支付、</w:t>
      </w:r>
      <w:r>
        <w:rPr>
          <w:rFonts w:hint="eastAsia" w:ascii="仿宋" w:hAnsi="仿宋" w:eastAsia="仿宋" w:cs="仿宋"/>
          <w:bCs/>
          <w:color w:val="auto"/>
          <w:sz w:val="20"/>
          <w:szCs w:val="20"/>
          <w:highlight w:val="none"/>
          <w:lang w:val="zh-CN" w:eastAsia="zh-CN"/>
        </w:rPr>
        <w:t>部门决算</w:t>
      </w:r>
      <w:r>
        <w:rPr>
          <w:rFonts w:hint="eastAsia" w:ascii="仿宋" w:hAnsi="仿宋" w:eastAsia="仿宋" w:cs="仿宋"/>
          <w:bCs/>
          <w:color w:val="auto"/>
          <w:sz w:val="20"/>
          <w:szCs w:val="20"/>
          <w:highlight w:val="none"/>
          <w:lang w:val="zh-CN"/>
        </w:rPr>
        <w:t>、</w:t>
      </w:r>
      <w:r>
        <w:rPr>
          <w:rFonts w:hint="eastAsia" w:ascii="仿宋" w:hAnsi="仿宋" w:eastAsia="仿宋" w:cs="仿宋"/>
          <w:bCs/>
          <w:color w:val="auto"/>
          <w:sz w:val="20"/>
          <w:szCs w:val="20"/>
          <w:highlight w:val="none"/>
          <w:lang w:val="zh-CN" w:eastAsia="zh-CN"/>
        </w:rPr>
        <w:t>监控平台</w:t>
      </w:r>
      <w:r>
        <w:rPr>
          <w:rFonts w:hint="eastAsia" w:ascii="仿宋" w:hAnsi="仿宋" w:eastAsia="仿宋" w:cs="仿宋"/>
          <w:bCs/>
          <w:color w:val="auto"/>
          <w:sz w:val="20"/>
          <w:szCs w:val="20"/>
          <w:highlight w:val="none"/>
          <w:lang w:val="zh-CN"/>
        </w:rPr>
        <w:t>、</w:t>
      </w:r>
      <w:r>
        <w:rPr>
          <w:rFonts w:hint="eastAsia" w:ascii="仿宋" w:hAnsi="仿宋" w:eastAsia="仿宋" w:cs="仿宋"/>
          <w:bCs/>
          <w:color w:val="auto"/>
          <w:sz w:val="20"/>
          <w:szCs w:val="20"/>
          <w:highlight w:val="none"/>
          <w:lang w:val="zh-CN" w:eastAsia="zh-CN"/>
        </w:rPr>
        <w:t>财政总会计帐</w:t>
      </w:r>
      <w:r>
        <w:rPr>
          <w:rFonts w:hint="eastAsia" w:ascii="仿宋" w:hAnsi="仿宋" w:eastAsia="仿宋" w:cs="仿宋"/>
          <w:bCs/>
          <w:color w:val="auto"/>
          <w:sz w:val="20"/>
          <w:szCs w:val="20"/>
          <w:highlight w:val="none"/>
          <w:lang w:val="zh-CN"/>
        </w:rPr>
        <w:t>、</w:t>
      </w:r>
      <w:r>
        <w:rPr>
          <w:rFonts w:hint="eastAsia" w:ascii="仿宋" w:hAnsi="仿宋" w:eastAsia="仿宋" w:cs="仿宋"/>
          <w:bCs/>
          <w:color w:val="auto"/>
          <w:sz w:val="20"/>
          <w:szCs w:val="20"/>
          <w:highlight w:val="none"/>
          <w:lang w:val="zh-CN" w:eastAsia="zh-CN"/>
        </w:rPr>
        <w:t>资产管理</w:t>
      </w:r>
      <w:r>
        <w:rPr>
          <w:rFonts w:hint="eastAsia" w:ascii="仿宋" w:hAnsi="仿宋" w:eastAsia="仿宋" w:cs="仿宋"/>
          <w:bCs/>
          <w:color w:val="auto"/>
          <w:sz w:val="20"/>
          <w:szCs w:val="20"/>
          <w:highlight w:val="none"/>
          <w:lang w:val="zh-CN"/>
        </w:rPr>
        <w:t>、</w:t>
      </w:r>
      <w:r>
        <w:rPr>
          <w:rFonts w:hint="eastAsia" w:ascii="仿宋" w:hAnsi="仿宋" w:eastAsia="仿宋" w:cs="仿宋"/>
          <w:bCs/>
          <w:color w:val="auto"/>
          <w:sz w:val="20"/>
          <w:szCs w:val="20"/>
          <w:highlight w:val="none"/>
          <w:lang w:val="zh-CN" w:eastAsia="zh-CN"/>
        </w:rPr>
        <w:t>银行账户管理</w:t>
      </w:r>
      <w:r>
        <w:rPr>
          <w:rFonts w:hint="eastAsia" w:ascii="仿宋" w:hAnsi="仿宋" w:eastAsia="仿宋" w:cs="仿宋"/>
          <w:bCs/>
          <w:color w:val="auto"/>
          <w:sz w:val="20"/>
          <w:szCs w:val="20"/>
          <w:highlight w:val="none"/>
          <w:lang w:val="zh-CN"/>
        </w:rPr>
        <w:t>、</w:t>
      </w:r>
      <w:r>
        <w:rPr>
          <w:rFonts w:hint="eastAsia" w:ascii="仿宋" w:hAnsi="仿宋" w:eastAsia="仿宋" w:cs="仿宋"/>
          <w:bCs/>
          <w:color w:val="auto"/>
          <w:sz w:val="20"/>
          <w:szCs w:val="20"/>
          <w:highlight w:val="none"/>
          <w:lang w:val="zh-CN" w:eastAsia="zh-CN"/>
        </w:rPr>
        <w:t>人员台账</w:t>
      </w:r>
      <w:r>
        <w:rPr>
          <w:rFonts w:hint="eastAsia" w:ascii="仿宋" w:hAnsi="仿宋" w:eastAsia="仿宋" w:cs="仿宋"/>
          <w:bCs/>
          <w:color w:val="auto"/>
          <w:sz w:val="20"/>
          <w:szCs w:val="20"/>
          <w:highlight w:val="none"/>
          <w:lang w:val="zh-CN"/>
        </w:rPr>
        <w:t>、</w:t>
      </w:r>
      <w:r>
        <w:rPr>
          <w:rFonts w:hint="eastAsia" w:ascii="仿宋" w:hAnsi="仿宋" w:eastAsia="仿宋" w:cs="仿宋"/>
          <w:bCs/>
          <w:color w:val="auto"/>
          <w:sz w:val="20"/>
          <w:szCs w:val="20"/>
          <w:highlight w:val="none"/>
          <w:lang w:val="zh-CN" w:eastAsia="zh-CN"/>
        </w:rPr>
        <w:t>单位</w:t>
      </w:r>
      <w:r>
        <w:rPr>
          <w:rFonts w:hint="eastAsia" w:ascii="仿宋" w:hAnsi="仿宋" w:eastAsia="仿宋" w:cs="仿宋"/>
          <w:bCs/>
          <w:color w:val="auto"/>
          <w:sz w:val="20"/>
          <w:szCs w:val="20"/>
          <w:highlight w:val="none"/>
          <w:lang w:val="zh-CN"/>
        </w:rPr>
        <w:t>核算、人员权限、流程调整等。</w:t>
      </w:r>
    </w:p>
    <w:p w14:paraId="1870C43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2.本合同在履行过程中如发生争议，由合同双方协商解决。协调不成，可向</w:t>
      </w:r>
      <w:r>
        <w:rPr>
          <w:rFonts w:hint="eastAsia" w:ascii="仿宋" w:hAnsi="仿宋" w:eastAsia="仿宋" w:cs="仿宋"/>
          <w:bCs/>
          <w:color w:val="auto"/>
          <w:sz w:val="20"/>
          <w:szCs w:val="20"/>
          <w:highlight w:val="none"/>
          <w:lang w:val="zh-CN" w:eastAsia="zh-CN"/>
        </w:rPr>
        <w:t>甲</w:t>
      </w:r>
      <w:r>
        <w:rPr>
          <w:rFonts w:hint="eastAsia" w:ascii="仿宋" w:hAnsi="仿宋" w:eastAsia="仿宋" w:cs="仿宋"/>
          <w:bCs/>
          <w:color w:val="auto"/>
          <w:sz w:val="20"/>
          <w:szCs w:val="20"/>
          <w:highlight w:val="none"/>
          <w:lang w:val="zh-CN"/>
        </w:rPr>
        <w:t>方所在地的人民法院起诉。</w:t>
      </w:r>
    </w:p>
    <w:p w14:paraId="4DC2F97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3.经双方协商可以书面形式变更本合同，变更后的合同或条款自合同双方签字、盖章后生效；</w:t>
      </w:r>
    </w:p>
    <w:p w14:paraId="0812425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4.未尽事宜及发生纠纷，双方应本着互谅、互让原则协商解决；</w:t>
      </w:r>
    </w:p>
    <w:p w14:paraId="4527E870">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r>
        <w:rPr>
          <w:rFonts w:hint="eastAsia" w:ascii="仿宋" w:hAnsi="仿宋" w:eastAsia="仿宋" w:cs="仿宋"/>
          <w:bCs/>
          <w:color w:val="auto"/>
          <w:sz w:val="20"/>
          <w:szCs w:val="20"/>
          <w:highlight w:val="none"/>
          <w:lang w:val="zh-CN"/>
        </w:rPr>
        <w:t>5.本合同一式</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lang w:val="zh-CN"/>
        </w:rPr>
        <w:t>份，甲方执</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lang w:val="zh-CN"/>
        </w:rPr>
        <w:t>份，乙方执</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lang w:val="zh-CN"/>
        </w:rPr>
        <w:t>份，盖章后立即生效</w:t>
      </w:r>
    </w:p>
    <w:p w14:paraId="6A73D5AD">
      <w:pPr>
        <w:rPr>
          <w:rFonts w:hint="eastAsia" w:ascii="仿宋" w:hAnsi="仿宋" w:eastAsia="仿宋" w:cs="仿宋"/>
          <w:bCs/>
          <w:color w:val="auto"/>
          <w:sz w:val="20"/>
          <w:szCs w:val="20"/>
          <w:highlight w:val="none"/>
          <w:lang w:val="zh-CN"/>
        </w:rPr>
      </w:pPr>
    </w:p>
    <w:p w14:paraId="4CAE66E4">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仿宋" w:hAnsi="仿宋" w:eastAsia="仿宋" w:cs="仿宋"/>
          <w:bCs/>
          <w:color w:val="auto"/>
          <w:sz w:val="20"/>
          <w:szCs w:val="20"/>
          <w:highlight w:val="none"/>
          <w:lang w:val="zh-CN"/>
        </w:rPr>
      </w:pPr>
    </w:p>
    <w:tbl>
      <w:tblPr>
        <w:tblStyle w:val="4"/>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710D9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61" w:type="dxa"/>
            <w:tcBorders>
              <w:tl2br w:val="nil"/>
              <w:tr2bl w:val="nil"/>
            </w:tcBorders>
            <w:vAlign w:val="top"/>
          </w:tcPr>
          <w:p w14:paraId="4A30233F">
            <w:pPr>
              <w:widowControl w:val="0"/>
              <w:spacing w:line="36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甲 方：</w:t>
            </w:r>
            <w:r>
              <w:rPr>
                <w:rFonts w:hint="eastAsia" w:ascii="仿宋" w:hAnsi="仿宋" w:eastAsia="仿宋" w:cs="仿宋"/>
                <w:color w:val="auto"/>
                <w:kern w:val="0"/>
                <w:sz w:val="20"/>
                <w:szCs w:val="20"/>
                <w:highlight w:val="none"/>
                <w:u w:val="single"/>
              </w:rPr>
              <w:t xml:space="preserve">     （盖章）    </w:t>
            </w:r>
          </w:p>
          <w:p w14:paraId="4FADC61E">
            <w:pPr>
              <w:widowControl w:val="0"/>
              <w:spacing w:line="360" w:lineRule="auto"/>
              <w:rPr>
                <w:rFonts w:hint="eastAsia" w:ascii="仿宋" w:hAnsi="仿宋" w:eastAsia="仿宋" w:cs="仿宋"/>
                <w:color w:val="auto"/>
                <w:kern w:val="0"/>
                <w:sz w:val="20"/>
                <w:szCs w:val="20"/>
                <w:highlight w:val="none"/>
                <w:u w:val="single"/>
              </w:rPr>
            </w:pPr>
          </w:p>
          <w:p w14:paraId="64D56F0B">
            <w:pPr>
              <w:widowControl w:val="0"/>
              <w:spacing w:line="360" w:lineRule="auto"/>
              <w:rPr>
                <w:rFonts w:hint="eastAsia" w:ascii="仿宋" w:hAnsi="仿宋" w:eastAsia="仿宋" w:cs="仿宋"/>
                <w:color w:val="auto"/>
                <w:kern w:val="0"/>
                <w:sz w:val="20"/>
                <w:szCs w:val="20"/>
                <w:highlight w:val="none"/>
                <w:u w:val="single"/>
              </w:rPr>
            </w:pPr>
          </w:p>
          <w:p w14:paraId="5670DC39">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法定代表人或其授权</w:t>
            </w:r>
          </w:p>
          <w:p w14:paraId="3343CFCF">
            <w:pPr>
              <w:widowControl w:val="0"/>
              <w:spacing w:line="36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的代理人：</w:t>
            </w:r>
            <w:r>
              <w:rPr>
                <w:rFonts w:hint="eastAsia" w:ascii="仿宋" w:hAnsi="仿宋" w:eastAsia="仿宋" w:cs="仿宋"/>
                <w:color w:val="auto"/>
                <w:kern w:val="0"/>
                <w:sz w:val="20"/>
                <w:szCs w:val="20"/>
                <w:highlight w:val="none"/>
                <w:u w:val="single"/>
              </w:rPr>
              <w:t>（</w:t>
            </w:r>
            <w:r>
              <w:rPr>
                <w:rFonts w:hint="eastAsia" w:ascii="仿宋" w:hAnsi="仿宋" w:eastAsia="仿宋" w:cs="仿宋"/>
                <w:color w:val="auto"/>
                <w:sz w:val="20"/>
                <w:szCs w:val="20"/>
                <w:highlight w:val="none"/>
                <w:u w:val="single"/>
              </w:rPr>
              <w:t>签字或盖章</w:t>
            </w:r>
            <w:r>
              <w:rPr>
                <w:rFonts w:hint="eastAsia" w:ascii="仿宋" w:hAnsi="仿宋" w:eastAsia="仿宋" w:cs="仿宋"/>
                <w:color w:val="auto"/>
                <w:kern w:val="0"/>
                <w:sz w:val="20"/>
                <w:szCs w:val="20"/>
                <w:highlight w:val="none"/>
                <w:u w:val="single"/>
              </w:rPr>
              <w:t xml:space="preserve">）      </w:t>
            </w:r>
          </w:p>
          <w:p w14:paraId="5AC7E192">
            <w:pPr>
              <w:widowControl w:val="0"/>
              <w:spacing w:line="360" w:lineRule="auto"/>
              <w:rPr>
                <w:rFonts w:hint="eastAsia" w:ascii="仿宋" w:hAnsi="仿宋" w:eastAsia="仿宋" w:cs="仿宋"/>
                <w:color w:val="auto"/>
                <w:kern w:val="0"/>
                <w:sz w:val="20"/>
                <w:szCs w:val="20"/>
                <w:highlight w:val="none"/>
                <w:u w:val="single"/>
              </w:rPr>
            </w:pPr>
          </w:p>
          <w:p w14:paraId="06ADA567">
            <w:pPr>
              <w:widowControl w:val="0"/>
              <w:spacing w:line="360" w:lineRule="auto"/>
              <w:rPr>
                <w:rFonts w:hint="eastAsia" w:ascii="仿宋" w:hAnsi="仿宋" w:eastAsia="仿宋" w:cs="仿宋"/>
                <w:color w:val="auto"/>
                <w:kern w:val="0"/>
                <w:sz w:val="20"/>
                <w:szCs w:val="20"/>
                <w:highlight w:val="none"/>
                <w:u w:val="single"/>
              </w:rPr>
            </w:pPr>
          </w:p>
          <w:p w14:paraId="19C85FFB">
            <w:pPr>
              <w:widowControl w:val="0"/>
              <w:spacing w:line="360" w:lineRule="auto"/>
              <w:rPr>
                <w:rFonts w:hint="eastAsia" w:ascii="仿宋" w:hAnsi="仿宋" w:eastAsia="仿宋" w:cs="仿宋"/>
                <w:color w:val="auto"/>
                <w:kern w:val="0"/>
                <w:sz w:val="20"/>
                <w:szCs w:val="20"/>
                <w:highlight w:val="none"/>
                <w:u w:val="single"/>
                <w:lang w:eastAsia="zh-CN"/>
              </w:rPr>
            </w:pPr>
            <w:r>
              <w:rPr>
                <w:rFonts w:hint="eastAsia" w:ascii="仿宋" w:hAnsi="仿宋" w:eastAsia="仿宋" w:cs="仿宋"/>
                <w:color w:val="auto"/>
                <w:kern w:val="0"/>
                <w:sz w:val="20"/>
                <w:szCs w:val="20"/>
                <w:highlight w:val="none"/>
                <w:lang w:val="en-US" w:eastAsia="zh-CN"/>
              </w:rPr>
              <w:t>日期：</w:t>
            </w:r>
            <w:r>
              <w:rPr>
                <w:rFonts w:hint="eastAsia" w:ascii="仿宋" w:hAnsi="仿宋" w:eastAsia="仿宋" w:cs="仿宋"/>
                <w:color w:val="auto"/>
                <w:kern w:val="0"/>
                <w:sz w:val="20"/>
                <w:szCs w:val="20"/>
                <w:highlight w:val="none"/>
                <w:u w:val="single"/>
              </w:rPr>
              <w:t xml:space="preserve">              </w:t>
            </w:r>
          </w:p>
          <w:p w14:paraId="777EF2EB">
            <w:pPr>
              <w:widowControl w:val="0"/>
              <w:spacing w:line="360" w:lineRule="auto"/>
              <w:rPr>
                <w:rFonts w:hint="eastAsia" w:ascii="仿宋" w:hAnsi="仿宋" w:eastAsia="仿宋" w:cs="仿宋"/>
                <w:color w:val="auto"/>
                <w:kern w:val="0"/>
                <w:sz w:val="20"/>
                <w:szCs w:val="20"/>
                <w:highlight w:val="none"/>
                <w:u w:val="single"/>
              </w:rPr>
            </w:pPr>
          </w:p>
        </w:tc>
        <w:tc>
          <w:tcPr>
            <w:tcW w:w="4261" w:type="dxa"/>
            <w:tcBorders>
              <w:tl2br w:val="nil"/>
              <w:tr2bl w:val="nil"/>
            </w:tcBorders>
            <w:vAlign w:val="top"/>
          </w:tcPr>
          <w:p w14:paraId="7D324AD4">
            <w:pPr>
              <w:widowControl w:val="0"/>
              <w:spacing w:line="36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乙 方：</w:t>
            </w:r>
            <w:r>
              <w:rPr>
                <w:rFonts w:hint="eastAsia" w:ascii="仿宋" w:hAnsi="仿宋" w:eastAsia="仿宋" w:cs="仿宋"/>
                <w:color w:val="auto"/>
                <w:kern w:val="0"/>
                <w:sz w:val="20"/>
                <w:szCs w:val="20"/>
                <w:highlight w:val="none"/>
                <w:u w:val="single"/>
              </w:rPr>
              <w:t xml:space="preserve">     （盖章）    </w:t>
            </w:r>
          </w:p>
          <w:p w14:paraId="5A0AFC86">
            <w:pPr>
              <w:widowControl w:val="0"/>
              <w:spacing w:line="360" w:lineRule="auto"/>
              <w:rPr>
                <w:rFonts w:hint="eastAsia" w:ascii="仿宋" w:hAnsi="仿宋" w:eastAsia="仿宋" w:cs="仿宋"/>
                <w:color w:val="auto"/>
                <w:kern w:val="0"/>
                <w:sz w:val="20"/>
                <w:szCs w:val="20"/>
                <w:highlight w:val="none"/>
                <w:u w:val="single"/>
              </w:rPr>
            </w:pPr>
          </w:p>
          <w:p w14:paraId="0C26EA2C">
            <w:pPr>
              <w:widowControl w:val="0"/>
              <w:spacing w:line="360" w:lineRule="auto"/>
              <w:rPr>
                <w:rFonts w:hint="eastAsia" w:ascii="仿宋" w:hAnsi="仿宋" w:eastAsia="仿宋" w:cs="仿宋"/>
                <w:color w:val="auto"/>
                <w:kern w:val="0"/>
                <w:sz w:val="20"/>
                <w:szCs w:val="20"/>
                <w:highlight w:val="none"/>
                <w:u w:val="single"/>
              </w:rPr>
            </w:pPr>
          </w:p>
          <w:p w14:paraId="1260E482">
            <w:pPr>
              <w:widowControl w:val="0"/>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法定代表人或其授权</w:t>
            </w:r>
          </w:p>
          <w:p w14:paraId="630FB818">
            <w:pPr>
              <w:widowControl w:val="0"/>
              <w:spacing w:line="36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的代理人：</w:t>
            </w:r>
            <w:r>
              <w:rPr>
                <w:rFonts w:hint="eastAsia" w:ascii="仿宋" w:hAnsi="仿宋" w:eastAsia="仿宋" w:cs="仿宋"/>
                <w:color w:val="auto"/>
                <w:kern w:val="0"/>
                <w:sz w:val="20"/>
                <w:szCs w:val="20"/>
                <w:highlight w:val="none"/>
                <w:u w:val="single"/>
              </w:rPr>
              <w:t>（</w:t>
            </w:r>
            <w:r>
              <w:rPr>
                <w:rFonts w:hint="eastAsia" w:ascii="仿宋" w:hAnsi="仿宋" w:eastAsia="仿宋" w:cs="仿宋"/>
                <w:color w:val="auto"/>
                <w:sz w:val="20"/>
                <w:szCs w:val="20"/>
                <w:highlight w:val="none"/>
                <w:u w:val="single"/>
              </w:rPr>
              <w:t>签字或盖章</w:t>
            </w:r>
            <w:r>
              <w:rPr>
                <w:rFonts w:hint="eastAsia" w:ascii="仿宋" w:hAnsi="仿宋" w:eastAsia="仿宋" w:cs="仿宋"/>
                <w:color w:val="auto"/>
                <w:kern w:val="0"/>
                <w:sz w:val="20"/>
                <w:szCs w:val="20"/>
                <w:highlight w:val="none"/>
                <w:u w:val="single"/>
              </w:rPr>
              <w:t xml:space="preserve">）      </w:t>
            </w:r>
          </w:p>
          <w:p w14:paraId="6885E62A">
            <w:pPr>
              <w:widowControl w:val="0"/>
              <w:spacing w:line="360" w:lineRule="auto"/>
              <w:rPr>
                <w:rFonts w:hint="eastAsia" w:ascii="仿宋" w:hAnsi="仿宋" w:eastAsia="仿宋" w:cs="仿宋"/>
                <w:color w:val="auto"/>
                <w:kern w:val="0"/>
                <w:sz w:val="20"/>
                <w:szCs w:val="20"/>
                <w:highlight w:val="none"/>
                <w:u w:val="single"/>
              </w:rPr>
            </w:pPr>
          </w:p>
          <w:p w14:paraId="09BE47DC">
            <w:pPr>
              <w:widowControl w:val="0"/>
              <w:spacing w:line="360" w:lineRule="auto"/>
              <w:rPr>
                <w:rFonts w:hint="eastAsia" w:ascii="仿宋" w:hAnsi="仿宋" w:eastAsia="仿宋" w:cs="仿宋"/>
                <w:color w:val="auto"/>
                <w:kern w:val="0"/>
                <w:sz w:val="20"/>
                <w:szCs w:val="20"/>
                <w:highlight w:val="none"/>
                <w:u w:val="single"/>
              </w:rPr>
            </w:pPr>
          </w:p>
          <w:p w14:paraId="783A0EE8">
            <w:pPr>
              <w:widowControl w:val="0"/>
              <w:spacing w:line="360" w:lineRule="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日期</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u w:val="single"/>
              </w:rPr>
              <w:t xml:space="preserve">              </w:t>
            </w:r>
          </w:p>
        </w:tc>
      </w:tr>
    </w:tbl>
    <w:p w14:paraId="12F3E41A">
      <w:bookmarkStart w:id="19" w:name="_GoBack"/>
      <w:bookmarkEnd w:id="19"/>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090ACA"/>
    <w:rsid w:val="1A090A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样式 首行缩进:  2 字符"/>
    <w:basedOn w:val="1"/>
    <w:qFormat/>
    <w:uiPriority w:val="0"/>
    <w:pPr>
      <w:spacing w:line="400" w:lineRule="exact"/>
      <w:ind w:firstLine="200" w:firstLineChars="200"/>
    </w:pPr>
    <w:rPr>
      <w:rFonts w:cs="宋体"/>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2026-06-30T04:43:00Z</dcterms:created>
  <dc:creator>ttt</dc:creator>
  <cp:lastModifiedBy>ttt</cp:lastModifiedBy>
  <dcterms:modified xsi:type="dcterms:W3CDTF">2026-06-30T04:43:54Z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47D3C7C6D6CC49ADA512EB9BECCDAA2D_11</vt:lpwstr>
  </property>
  <property fmtid="{D5CDD505-2E9C-101B-9397-08002B2CF9AE}" pid="4" name="KSOTemplateDocerSaveRecord">
    <vt:lpwstr>eyJoZGlkIjoiNWJlMTZkNzkxYTk2ZWMzMDUxYmFlZDhhYTA3N2E0OTEiLCJ1c2VySWQiOiI3NTg1MTk3MDIifQ==</vt:lpwstr>
  </property>
</Properties>
</file>