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44798">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outlineLvl w:val="0"/>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val="en-US" w:eastAsia="zh-CN"/>
        </w:rPr>
        <w:t>最终</w:t>
      </w:r>
      <w:r>
        <w:rPr>
          <w:rFonts w:hint="eastAsia" w:ascii="仿宋" w:hAnsi="仿宋" w:eastAsia="仿宋" w:cs="仿宋"/>
          <w:b w:val="0"/>
          <w:bCs/>
          <w:color w:val="auto"/>
          <w:sz w:val="20"/>
          <w:szCs w:val="20"/>
          <w:highlight w:val="none"/>
        </w:rPr>
        <w:t>磋商报价表</w:t>
      </w:r>
    </w:p>
    <w:p w14:paraId="0E01E59D">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项目名称：</w:t>
      </w:r>
      <w:r>
        <w:rPr>
          <w:rFonts w:hint="eastAsia" w:ascii="仿宋" w:hAnsi="仿宋" w:eastAsia="仿宋" w:cs="仿宋"/>
          <w:color w:val="auto"/>
          <w:sz w:val="20"/>
          <w:szCs w:val="20"/>
          <w:highlight w:val="none"/>
          <w:lang w:eastAsia="zh-CN"/>
        </w:rPr>
        <w:t>业务平台运维服务</w:t>
      </w:r>
    </w:p>
    <w:p w14:paraId="15265F22">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采购项目编号：</w:t>
      </w:r>
      <w:r>
        <w:rPr>
          <w:rFonts w:hint="eastAsia" w:ascii="仿宋" w:hAnsi="仿宋" w:eastAsia="仿宋" w:cs="仿宋"/>
          <w:color w:val="auto"/>
          <w:sz w:val="20"/>
          <w:szCs w:val="20"/>
          <w:highlight w:val="none"/>
          <w:lang w:eastAsia="zh-CN"/>
        </w:rPr>
        <w:t>CGZC-2026-045（ZR20GN2026-CS-033）</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2778"/>
        <w:gridCol w:w="2300"/>
        <w:gridCol w:w="1500"/>
      </w:tblGrid>
      <w:tr w14:paraId="7466F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704" w:type="dxa"/>
            <w:vAlign w:val="center"/>
          </w:tcPr>
          <w:p w14:paraId="192B5E36">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采购内容</w:t>
            </w:r>
          </w:p>
        </w:tc>
        <w:tc>
          <w:tcPr>
            <w:tcW w:w="2778" w:type="dxa"/>
            <w:vAlign w:val="center"/>
          </w:tcPr>
          <w:p w14:paraId="57937E87">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磋商报价（元）</w:t>
            </w:r>
          </w:p>
        </w:tc>
        <w:tc>
          <w:tcPr>
            <w:tcW w:w="2300" w:type="dxa"/>
            <w:vAlign w:val="center"/>
          </w:tcPr>
          <w:p w14:paraId="2F77F292">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服务期限</w:t>
            </w:r>
          </w:p>
        </w:tc>
        <w:tc>
          <w:tcPr>
            <w:tcW w:w="1500" w:type="dxa"/>
            <w:vAlign w:val="center"/>
          </w:tcPr>
          <w:p w14:paraId="378F5E83">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备注</w:t>
            </w:r>
          </w:p>
        </w:tc>
      </w:tr>
      <w:tr w14:paraId="720D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jc w:val="center"/>
        </w:trPr>
        <w:tc>
          <w:tcPr>
            <w:tcW w:w="1704" w:type="dxa"/>
            <w:vAlign w:val="center"/>
          </w:tcPr>
          <w:p w14:paraId="3BF67A15">
            <w:pPr>
              <w:widowControl w:val="0"/>
              <w:shd w:val="clear"/>
              <w:jc w:val="center"/>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业务平台运维服务</w:t>
            </w:r>
          </w:p>
        </w:tc>
        <w:tc>
          <w:tcPr>
            <w:tcW w:w="2778" w:type="dxa"/>
            <w:vAlign w:val="center"/>
          </w:tcPr>
          <w:p w14:paraId="3A704B58">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val="0"/>
                <w:bCs/>
                <w:snapToGrid w:val="0"/>
                <w:color w:val="auto"/>
                <w:kern w:val="2"/>
                <w:sz w:val="20"/>
                <w:szCs w:val="20"/>
                <w:highlight w:val="none"/>
                <w:u w:val="none"/>
                <w:lang w:val="en-US" w:eastAsia="zh-CN" w:bidi="ar-SA"/>
              </w:rPr>
            </w:pPr>
            <w:r>
              <w:rPr>
                <w:rFonts w:hint="eastAsia" w:ascii="仿宋" w:hAnsi="仿宋" w:eastAsia="仿宋" w:cs="仿宋"/>
                <w:b w:val="0"/>
                <w:bCs/>
                <w:snapToGrid w:val="0"/>
                <w:color w:val="auto"/>
                <w:kern w:val="2"/>
                <w:sz w:val="20"/>
                <w:szCs w:val="20"/>
                <w:highlight w:val="none"/>
                <w:lang w:val="en-US" w:eastAsia="zh-CN" w:bidi="ar-SA"/>
              </w:rPr>
              <w:t>小写：</w:t>
            </w:r>
            <w:r>
              <w:rPr>
                <w:rFonts w:hint="eastAsia" w:ascii="仿宋" w:hAnsi="仿宋" w:eastAsia="仿宋" w:cs="仿宋"/>
                <w:b w:val="0"/>
                <w:bCs/>
                <w:snapToGrid w:val="0"/>
                <w:color w:val="auto"/>
                <w:kern w:val="2"/>
                <w:sz w:val="20"/>
                <w:szCs w:val="20"/>
                <w:highlight w:val="none"/>
                <w:u w:val="none"/>
                <w:lang w:val="en-US" w:eastAsia="zh-CN" w:bidi="ar-SA"/>
              </w:rPr>
              <w:t>¥</w:t>
            </w:r>
            <w:r>
              <w:rPr>
                <w:rFonts w:hint="eastAsia" w:ascii="仿宋" w:hAnsi="仿宋" w:eastAsia="仿宋" w:cs="仿宋"/>
                <w:b w:val="0"/>
                <w:bCs/>
                <w:snapToGrid w:val="0"/>
                <w:color w:val="auto"/>
                <w:kern w:val="2"/>
                <w:sz w:val="20"/>
                <w:szCs w:val="20"/>
                <w:highlight w:val="none"/>
                <w:u w:val="single"/>
                <w:lang w:val="en-US" w:eastAsia="zh-CN" w:bidi="ar-SA"/>
              </w:rPr>
              <w:t xml:space="preserve">         </w:t>
            </w:r>
            <w:r>
              <w:rPr>
                <w:rFonts w:hint="eastAsia" w:ascii="仿宋" w:hAnsi="仿宋" w:eastAsia="仿宋" w:cs="仿宋"/>
                <w:b w:val="0"/>
                <w:bCs/>
                <w:snapToGrid w:val="0"/>
                <w:color w:val="auto"/>
                <w:kern w:val="2"/>
                <w:sz w:val="20"/>
                <w:szCs w:val="20"/>
                <w:highlight w:val="none"/>
                <w:u w:val="none"/>
                <w:lang w:val="en-US" w:eastAsia="zh-CN" w:bidi="ar-SA"/>
              </w:rPr>
              <w:t>元</w:t>
            </w:r>
          </w:p>
          <w:p w14:paraId="72FD14CD">
            <w:pPr>
              <w:widowControl w:val="0"/>
              <w:shd w:val="clear"/>
              <w:jc w:val="left"/>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b w:val="0"/>
                <w:bCs/>
                <w:color w:val="auto"/>
                <w:kern w:val="2"/>
                <w:sz w:val="20"/>
                <w:szCs w:val="20"/>
                <w:highlight w:val="none"/>
                <w:lang w:val="en-US" w:eastAsia="zh-CN"/>
              </w:rPr>
              <w:t>大写：</w:t>
            </w:r>
            <w:r>
              <w:rPr>
                <w:rFonts w:hint="eastAsia" w:ascii="仿宋" w:hAnsi="仿宋" w:eastAsia="仿宋" w:cs="仿宋"/>
                <w:b w:val="0"/>
                <w:bCs/>
                <w:color w:val="auto"/>
                <w:kern w:val="2"/>
                <w:sz w:val="20"/>
                <w:szCs w:val="20"/>
                <w:highlight w:val="none"/>
                <w:u w:val="none"/>
                <w:lang w:val="en-US" w:eastAsia="zh-CN"/>
              </w:rPr>
              <w:t>人民币</w:t>
            </w:r>
            <w:r>
              <w:rPr>
                <w:rFonts w:hint="eastAsia" w:ascii="仿宋" w:hAnsi="仿宋" w:eastAsia="仿宋" w:cs="仿宋"/>
                <w:b w:val="0"/>
                <w:bCs/>
                <w:color w:val="auto"/>
                <w:kern w:val="2"/>
                <w:sz w:val="20"/>
                <w:szCs w:val="20"/>
                <w:highlight w:val="none"/>
                <w:u w:val="single"/>
                <w:lang w:val="en-US" w:eastAsia="zh-CN"/>
              </w:rPr>
              <w:t xml:space="preserve">     </w:t>
            </w:r>
          </w:p>
        </w:tc>
        <w:tc>
          <w:tcPr>
            <w:tcW w:w="2300" w:type="dxa"/>
            <w:vAlign w:val="center"/>
          </w:tcPr>
          <w:p w14:paraId="68F65C74">
            <w:pPr>
              <w:widowControl w:val="0"/>
              <w:shd w:val="clear"/>
              <w:jc w:val="center"/>
              <w:rPr>
                <w:rFonts w:hint="eastAsia" w:ascii="仿宋" w:hAnsi="仿宋" w:eastAsia="仿宋" w:cs="仿宋"/>
                <w:color w:val="auto"/>
                <w:sz w:val="20"/>
                <w:szCs w:val="20"/>
                <w:highlight w:val="none"/>
                <w:vertAlign w:val="baseline"/>
                <w:lang w:val="en-US" w:eastAsia="zh-CN"/>
              </w:rPr>
            </w:pPr>
          </w:p>
        </w:tc>
        <w:tc>
          <w:tcPr>
            <w:tcW w:w="1500" w:type="dxa"/>
            <w:vAlign w:val="center"/>
          </w:tcPr>
          <w:p w14:paraId="67453882">
            <w:pPr>
              <w:widowControl w:val="0"/>
              <w:shd w:val="clear"/>
              <w:jc w:val="center"/>
              <w:rPr>
                <w:rFonts w:hint="eastAsia" w:ascii="仿宋" w:hAnsi="仿宋" w:eastAsia="仿宋" w:cs="仿宋"/>
                <w:color w:val="auto"/>
                <w:sz w:val="20"/>
                <w:szCs w:val="20"/>
                <w:highlight w:val="none"/>
                <w:vertAlign w:val="baseline"/>
                <w:lang w:val="en-US" w:eastAsia="zh-CN"/>
              </w:rPr>
            </w:pPr>
          </w:p>
        </w:tc>
      </w:tr>
      <w:tr w14:paraId="0F3A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8282" w:type="dxa"/>
            <w:gridSpan w:val="4"/>
            <w:vAlign w:val="center"/>
          </w:tcPr>
          <w:p w14:paraId="7D6D9D7D">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val="0"/>
                <w:snapToGrid w:val="0"/>
                <w:color w:val="auto"/>
                <w:kern w:val="2"/>
                <w:sz w:val="20"/>
                <w:szCs w:val="20"/>
                <w:highlight w:val="none"/>
                <w:lang w:val="zh-CN" w:eastAsia="zh-CN" w:bidi="ar-SA"/>
              </w:rPr>
            </w:pPr>
            <w:r>
              <w:rPr>
                <w:rFonts w:hint="eastAsia" w:ascii="仿宋" w:hAnsi="仿宋" w:eastAsia="仿宋" w:cs="仿宋"/>
                <w:b w:val="0"/>
                <w:bCs/>
                <w:snapToGrid w:val="0"/>
                <w:color w:val="auto"/>
                <w:kern w:val="2"/>
                <w:sz w:val="20"/>
                <w:szCs w:val="20"/>
                <w:highlight w:val="none"/>
                <w:lang w:val="en-US" w:eastAsia="zh-CN" w:bidi="ar-SA"/>
              </w:rPr>
              <w:t>1.</w:t>
            </w:r>
            <w:r>
              <w:rPr>
                <w:rFonts w:hint="eastAsia" w:ascii="仿宋" w:hAnsi="仿宋" w:eastAsia="仿宋" w:cs="仿宋"/>
                <w:b w:val="0"/>
                <w:snapToGrid w:val="0"/>
                <w:color w:val="auto"/>
                <w:kern w:val="2"/>
                <w:sz w:val="20"/>
                <w:szCs w:val="20"/>
                <w:highlight w:val="none"/>
                <w:lang w:val="zh-CN" w:eastAsia="zh-CN" w:bidi="ar-SA"/>
              </w:rPr>
              <w:t>表内报价内容以元为单位，保留小数点后（两位）；</w:t>
            </w:r>
          </w:p>
          <w:p w14:paraId="227FB227">
            <w:pPr>
              <w:widowControl w:val="0"/>
              <w:shd w:val="clear"/>
              <w:jc w:val="both"/>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b w:val="0"/>
                <w:color w:val="auto"/>
                <w:kern w:val="2"/>
                <w:sz w:val="20"/>
                <w:szCs w:val="20"/>
                <w:highlight w:val="none"/>
                <w:lang w:val="en-US" w:eastAsia="zh-CN"/>
              </w:rPr>
              <w:t>2.供应商磋商总价不得超过最高限价或预算，否则响应文件按无效标处理。</w:t>
            </w:r>
          </w:p>
        </w:tc>
      </w:tr>
    </w:tbl>
    <w:p w14:paraId="6783D422">
      <w:pPr>
        <w:keepNext w:val="0"/>
        <w:keepLines w:val="0"/>
        <w:pageBreakBefore w:val="0"/>
        <w:widowControl/>
        <w:shd w:val="clea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highlight w:val="none"/>
        </w:rPr>
      </w:pPr>
    </w:p>
    <w:p w14:paraId="487EDEB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600" w:firstLineChars="2300"/>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供应商（公章）：</w:t>
      </w:r>
      <w:r>
        <w:rPr>
          <w:rFonts w:hint="eastAsia" w:ascii="仿宋" w:hAnsi="仿宋" w:eastAsia="仿宋" w:cs="仿宋"/>
          <w:color w:val="auto"/>
          <w:sz w:val="20"/>
          <w:szCs w:val="20"/>
          <w:highlight w:val="none"/>
          <w:u w:val="single"/>
        </w:rPr>
        <w:t xml:space="preserve">                     </w:t>
      </w:r>
    </w:p>
    <w:p w14:paraId="3166374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2800" w:firstLineChars="1400"/>
        <w:jc w:val="center"/>
        <w:textAlignment w:val="baseline"/>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7014531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2800" w:firstLineChars="1400"/>
        <w:jc w:val="center"/>
        <w:textAlignment w:val="baseline"/>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61EB768B">
      <w:pPr>
        <w:shd w:val="clear"/>
        <w:rPr>
          <w:rFonts w:hint="eastAsia" w:ascii="仿宋" w:hAnsi="仿宋" w:eastAsia="仿宋" w:cs="仿宋"/>
          <w:color w:val="auto"/>
          <w:sz w:val="20"/>
          <w:szCs w:val="20"/>
          <w:highlight w:val="none"/>
          <w:lang w:val="en-US" w:eastAsia="zh-CN"/>
        </w:rPr>
      </w:pPr>
    </w:p>
    <w:p w14:paraId="4BD6337D">
      <w:pPr>
        <w:shd w:val="clear"/>
        <w:rPr>
          <w:rFonts w:hint="eastAsia" w:ascii="仿宋" w:hAnsi="仿宋" w:eastAsia="仿宋" w:cs="仿宋"/>
          <w:color w:val="auto"/>
          <w:sz w:val="20"/>
          <w:szCs w:val="20"/>
          <w:highlight w:val="none"/>
          <w:lang w:val="en-US" w:eastAsia="zh-CN"/>
        </w:rPr>
      </w:pPr>
      <w:r>
        <w:rPr>
          <w:rFonts w:hint="eastAsia" w:ascii="仿宋" w:hAnsi="仿宋" w:eastAsia="仿宋" w:cs="仿宋"/>
          <w:b/>
          <w:bCs/>
          <w:color w:val="auto"/>
          <w:sz w:val="24"/>
          <w:szCs w:val="24"/>
          <w:highlight w:val="none"/>
        </w:rPr>
        <w:t>备注：本表为</w:t>
      </w:r>
      <w:r>
        <w:rPr>
          <w:rFonts w:hint="eastAsia" w:ascii="仿宋" w:hAnsi="仿宋" w:eastAsia="仿宋" w:cs="仿宋"/>
          <w:b/>
          <w:bCs/>
          <w:color w:val="auto"/>
          <w:sz w:val="24"/>
          <w:szCs w:val="24"/>
          <w:highlight w:val="none"/>
          <w:lang w:val="en-US" w:eastAsia="zh-CN"/>
        </w:rPr>
        <w:t>最终</w:t>
      </w:r>
      <w:r>
        <w:rPr>
          <w:rFonts w:hint="eastAsia" w:ascii="仿宋" w:hAnsi="仿宋" w:eastAsia="仿宋" w:cs="仿宋"/>
          <w:b/>
          <w:bCs/>
          <w:color w:val="auto"/>
          <w:sz w:val="24"/>
          <w:szCs w:val="24"/>
          <w:highlight w:val="none"/>
        </w:rPr>
        <w:t>磋商报价表参考格式，供应商无需在响应文件中填写，磋商过程中要求提交最终磋商报价时再填写提交。</w:t>
      </w:r>
    </w:p>
    <w:p w14:paraId="33899784">
      <w:pPr>
        <w:shd w:val="clear"/>
        <w:rPr>
          <w:rFonts w:hint="eastAsia" w:ascii="仿宋" w:hAnsi="仿宋" w:eastAsia="仿宋" w:cs="仿宋"/>
          <w:color w:val="auto"/>
          <w:sz w:val="20"/>
          <w:szCs w:val="20"/>
          <w:highlight w:val="none"/>
          <w:lang w:val="en-US" w:eastAsia="zh-CN"/>
        </w:rPr>
      </w:pPr>
    </w:p>
    <w:p w14:paraId="1E252A67">
      <w:pPr>
        <w:shd w:val="clear"/>
        <w:rPr>
          <w:rFonts w:hint="eastAsia" w:ascii="仿宋" w:hAnsi="仿宋" w:eastAsia="仿宋" w:cs="仿宋"/>
          <w:color w:val="auto"/>
          <w:sz w:val="20"/>
          <w:szCs w:val="20"/>
          <w:highlight w:val="none"/>
          <w:lang w:val="en-US" w:eastAsia="zh-CN"/>
        </w:rPr>
      </w:pPr>
    </w:p>
    <w:p w14:paraId="14555122">
      <w:pPr>
        <w:shd w:val="clea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br w:type="page"/>
      </w:r>
    </w:p>
    <w:p w14:paraId="397F4594">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val="en-US" w:eastAsia="zh-CN"/>
        </w:rPr>
        <w:t>分项</w:t>
      </w:r>
      <w:r>
        <w:rPr>
          <w:rFonts w:hint="eastAsia" w:ascii="仿宋" w:hAnsi="仿宋" w:eastAsia="仿宋" w:cs="仿宋"/>
          <w:b w:val="0"/>
          <w:bCs/>
          <w:color w:val="auto"/>
          <w:sz w:val="20"/>
          <w:szCs w:val="20"/>
          <w:highlight w:val="none"/>
        </w:rPr>
        <w:t>报价表</w:t>
      </w:r>
    </w:p>
    <w:p w14:paraId="46CF2FA3">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项目名称：</w:t>
      </w:r>
      <w:r>
        <w:rPr>
          <w:rFonts w:hint="eastAsia" w:ascii="仿宋" w:hAnsi="仿宋" w:eastAsia="仿宋" w:cs="仿宋"/>
          <w:color w:val="auto"/>
          <w:sz w:val="20"/>
          <w:szCs w:val="20"/>
          <w:highlight w:val="none"/>
          <w:lang w:eastAsia="zh-CN"/>
        </w:rPr>
        <w:t>业务平台运维服务</w:t>
      </w:r>
    </w:p>
    <w:p w14:paraId="79D263C1">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采购项目编号：</w:t>
      </w:r>
      <w:r>
        <w:rPr>
          <w:rFonts w:hint="eastAsia" w:ascii="仿宋" w:hAnsi="仿宋" w:eastAsia="仿宋" w:cs="仿宋"/>
          <w:color w:val="auto"/>
          <w:sz w:val="20"/>
          <w:szCs w:val="20"/>
          <w:highlight w:val="none"/>
          <w:lang w:eastAsia="zh-CN"/>
        </w:rPr>
        <w:t>CGZC-2026-045（ZR20GN2026-CS-033）</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2685"/>
        <w:gridCol w:w="1572"/>
        <w:gridCol w:w="1079"/>
      </w:tblGrid>
      <w:tr w14:paraId="7424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vAlign w:val="center"/>
          </w:tcPr>
          <w:p w14:paraId="2F3077DE">
            <w:pPr>
              <w:widowControl w:val="0"/>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序号</w:t>
            </w:r>
          </w:p>
        </w:tc>
        <w:tc>
          <w:tcPr>
            <w:tcW w:w="2685" w:type="dxa"/>
            <w:vAlign w:val="center"/>
          </w:tcPr>
          <w:p w14:paraId="1C01F580">
            <w:pPr>
              <w:widowControl w:val="0"/>
              <w:spacing w:line="240" w:lineRule="auto"/>
              <w:jc w:val="center"/>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服务内容</w:t>
            </w:r>
          </w:p>
        </w:tc>
        <w:tc>
          <w:tcPr>
            <w:tcW w:w="1572" w:type="dxa"/>
            <w:vAlign w:val="center"/>
          </w:tcPr>
          <w:p w14:paraId="149B3079">
            <w:pPr>
              <w:widowControl w:val="0"/>
              <w:spacing w:line="240" w:lineRule="auto"/>
              <w:jc w:val="center"/>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报价</w:t>
            </w:r>
            <w:r>
              <w:rPr>
                <w:rFonts w:hint="eastAsia" w:ascii="仿宋" w:hAnsi="仿宋" w:eastAsia="仿宋" w:cs="仿宋"/>
                <w:color w:val="auto"/>
                <w:sz w:val="20"/>
                <w:szCs w:val="20"/>
                <w:highlight w:val="none"/>
              </w:rPr>
              <w:t>（元）</w:t>
            </w:r>
          </w:p>
        </w:tc>
        <w:tc>
          <w:tcPr>
            <w:tcW w:w="1079" w:type="dxa"/>
            <w:vAlign w:val="center"/>
          </w:tcPr>
          <w:p w14:paraId="169E1E49">
            <w:pPr>
              <w:widowControl w:val="0"/>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备注</w:t>
            </w:r>
          </w:p>
        </w:tc>
      </w:tr>
      <w:tr w14:paraId="06884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vAlign w:val="center"/>
          </w:tcPr>
          <w:p w14:paraId="5F33E03F">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1</w:t>
            </w:r>
          </w:p>
        </w:tc>
        <w:tc>
          <w:tcPr>
            <w:tcW w:w="2685" w:type="dxa"/>
            <w:vAlign w:val="center"/>
          </w:tcPr>
          <w:p w14:paraId="1CA20C4A">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zh-CN" w:bidi="ar-SA"/>
              </w:rPr>
            </w:pPr>
            <w:r>
              <w:rPr>
                <w:rFonts w:hint="default" w:ascii="仿宋" w:hAnsi="仿宋" w:eastAsia="仿宋" w:cs="仿宋"/>
                <w:b w:val="0"/>
                <w:snapToGrid w:val="0"/>
                <w:color w:val="auto"/>
                <w:kern w:val="2"/>
                <w:sz w:val="20"/>
                <w:szCs w:val="20"/>
                <w:highlight w:val="none"/>
                <w:lang w:val="en-US" w:eastAsia="zh-CN" w:bidi="ar-SA"/>
              </w:rPr>
              <w:t>运维支持服务</w:t>
            </w:r>
          </w:p>
        </w:tc>
        <w:tc>
          <w:tcPr>
            <w:tcW w:w="1572" w:type="dxa"/>
            <w:vAlign w:val="center"/>
          </w:tcPr>
          <w:p w14:paraId="428653D1">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c>
          <w:tcPr>
            <w:tcW w:w="1079" w:type="dxa"/>
            <w:vAlign w:val="center"/>
          </w:tcPr>
          <w:p w14:paraId="14BD36F0">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r>
      <w:tr w14:paraId="74D7C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vAlign w:val="center"/>
          </w:tcPr>
          <w:p w14:paraId="002BE37E">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2</w:t>
            </w:r>
          </w:p>
        </w:tc>
        <w:tc>
          <w:tcPr>
            <w:tcW w:w="2685" w:type="dxa"/>
            <w:vAlign w:val="center"/>
          </w:tcPr>
          <w:p w14:paraId="1E84668E">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en-US" w:bidi="ar-SA"/>
              </w:rPr>
            </w:pPr>
            <w:r>
              <w:rPr>
                <w:rFonts w:hint="default" w:ascii="仿宋" w:hAnsi="仿宋" w:eastAsia="仿宋" w:cs="仿宋"/>
                <w:b w:val="0"/>
                <w:snapToGrid w:val="0"/>
                <w:color w:val="auto"/>
                <w:kern w:val="2"/>
                <w:sz w:val="20"/>
                <w:szCs w:val="20"/>
                <w:highlight w:val="none"/>
                <w:lang w:val="en-US" w:eastAsia="zh-CN" w:bidi="ar-SA"/>
              </w:rPr>
              <w:t>热线电话服务</w:t>
            </w:r>
          </w:p>
        </w:tc>
        <w:tc>
          <w:tcPr>
            <w:tcW w:w="1572" w:type="dxa"/>
            <w:vAlign w:val="center"/>
          </w:tcPr>
          <w:p w14:paraId="10002E04">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c>
          <w:tcPr>
            <w:tcW w:w="1079" w:type="dxa"/>
            <w:vAlign w:val="center"/>
          </w:tcPr>
          <w:p w14:paraId="2B50D4F4">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r>
      <w:tr w14:paraId="0FAD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vAlign w:val="center"/>
          </w:tcPr>
          <w:p w14:paraId="240C4834">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3</w:t>
            </w:r>
          </w:p>
        </w:tc>
        <w:tc>
          <w:tcPr>
            <w:tcW w:w="2685" w:type="dxa"/>
            <w:vAlign w:val="center"/>
          </w:tcPr>
          <w:p w14:paraId="0517D4B7">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其他服务</w:t>
            </w:r>
          </w:p>
        </w:tc>
        <w:tc>
          <w:tcPr>
            <w:tcW w:w="1572" w:type="dxa"/>
            <w:vAlign w:val="center"/>
          </w:tcPr>
          <w:p w14:paraId="1B219539">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c>
          <w:tcPr>
            <w:tcW w:w="1079" w:type="dxa"/>
            <w:vAlign w:val="center"/>
          </w:tcPr>
          <w:p w14:paraId="1207B749">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r>
      <w:tr w14:paraId="58BC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vAlign w:val="center"/>
          </w:tcPr>
          <w:p w14:paraId="178DAA02">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w:t>
            </w:r>
          </w:p>
        </w:tc>
        <w:tc>
          <w:tcPr>
            <w:tcW w:w="2685" w:type="dxa"/>
            <w:vAlign w:val="center"/>
          </w:tcPr>
          <w:p w14:paraId="0DBF7590">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w:t>
            </w:r>
          </w:p>
        </w:tc>
        <w:tc>
          <w:tcPr>
            <w:tcW w:w="1572" w:type="dxa"/>
            <w:vAlign w:val="center"/>
          </w:tcPr>
          <w:p w14:paraId="3FC887F7">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c>
          <w:tcPr>
            <w:tcW w:w="1079" w:type="dxa"/>
            <w:vAlign w:val="center"/>
          </w:tcPr>
          <w:p w14:paraId="62779943">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r>
    </w:tbl>
    <w:p w14:paraId="7321BB8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val="0"/>
          <w:snapToGrid w:val="0"/>
          <w:color w:val="auto"/>
          <w:kern w:val="2"/>
          <w:sz w:val="20"/>
          <w:szCs w:val="20"/>
          <w:highlight w:val="none"/>
          <w:lang w:val="zh-CN" w:eastAsia="en-US" w:bidi="ar-SA"/>
        </w:rPr>
      </w:pPr>
      <w:r>
        <w:rPr>
          <w:rFonts w:hint="eastAsia" w:ascii="仿宋" w:hAnsi="仿宋" w:eastAsia="仿宋" w:cs="仿宋"/>
          <w:b w:val="0"/>
          <w:snapToGrid w:val="0"/>
          <w:color w:val="auto"/>
          <w:kern w:val="2"/>
          <w:sz w:val="20"/>
          <w:szCs w:val="20"/>
          <w:highlight w:val="none"/>
          <w:lang w:val="zh-CN" w:eastAsia="en-US" w:bidi="ar-SA"/>
        </w:rPr>
        <w:t>注：1.供应商磋商总报价不得超过最高限价</w:t>
      </w:r>
      <w:r>
        <w:rPr>
          <w:rFonts w:hint="eastAsia" w:ascii="仿宋" w:hAnsi="仿宋" w:eastAsia="仿宋" w:cs="仿宋"/>
          <w:b w:val="0"/>
          <w:snapToGrid w:val="0"/>
          <w:color w:val="auto"/>
          <w:kern w:val="2"/>
          <w:sz w:val="20"/>
          <w:szCs w:val="20"/>
          <w:highlight w:val="none"/>
          <w:lang w:val="en-US" w:eastAsia="en-US" w:bidi="ar-SA"/>
        </w:rPr>
        <w:t>或预算</w:t>
      </w:r>
      <w:r>
        <w:rPr>
          <w:rFonts w:hint="eastAsia" w:ascii="仿宋" w:hAnsi="仿宋" w:eastAsia="仿宋" w:cs="仿宋"/>
          <w:b w:val="0"/>
          <w:snapToGrid w:val="0"/>
          <w:color w:val="auto"/>
          <w:kern w:val="2"/>
          <w:sz w:val="20"/>
          <w:szCs w:val="20"/>
          <w:highlight w:val="none"/>
          <w:lang w:val="zh-CN" w:eastAsia="en-US" w:bidi="ar-SA"/>
        </w:rPr>
        <w:t>，否则响应文件按无效标处理；</w:t>
      </w:r>
    </w:p>
    <w:p w14:paraId="125F84E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400" w:firstLineChars="200"/>
        <w:jc w:val="left"/>
        <w:textAlignment w:val="baseline"/>
        <w:rPr>
          <w:rFonts w:hint="eastAsia" w:ascii="仿宋" w:hAnsi="仿宋" w:eastAsia="仿宋" w:cs="仿宋"/>
          <w:b w:val="0"/>
          <w:snapToGrid w:val="0"/>
          <w:color w:val="auto"/>
          <w:kern w:val="2"/>
          <w:sz w:val="20"/>
          <w:szCs w:val="20"/>
          <w:highlight w:val="none"/>
          <w:lang w:val="zh-CN" w:eastAsia="en-US" w:bidi="ar-SA"/>
        </w:rPr>
      </w:pPr>
      <w:r>
        <w:rPr>
          <w:rFonts w:hint="eastAsia" w:ascii="仿宋" w:hAnsi="仿宋" w:eastAsia="仿宋" w:cs="仿宋"/>
          <w:b w:val="0"/>
          <w:snapToGrid w:val="0"/>
          <w:color w:val="auto"/>
          <w:kern w:val="2"/>
          <w:sz w:val="20"/>
          <w:szCs w:val="20"/>
          <w:highlight w:val="none"/>
          <w:lang w:val="en-US" w:eastAsia="zh-CN" w:bidi="ar-SA"/>
        </w:rPr>
        <w:t>2.</w:t>
      </w:r>
      <w:r>
        <w:rPr>
          <w:rFonts w:hint="eastAsia" w:ascii="仿宋" w:hAnsi="仿宋" w:eastAsia="仿宋" w:cs="仿宋"/>
          <w:b w:val="0"/>
          <w:snapToGrid w:val="0"/>
          <w:color w:val="auto"/>
          <w:kern w:val="2"/>
          <w:sz w:val="20"/>
          <w:szCs w:val="20"/>
          <w:highlight w:val="none"/>
          <w:lang w:val="zh-CN" w:eastAsia="en-US" w:bidi="ar-SA"/>
        </w:rPr>
        <w:t>分项报价表中</w:t>
      </w:r>
      <w:r>
        <w:rPr>
          <w:rFonts w:hint="eastAsia" w:ascii="仿宋" w:hAnsi="仿宋" w:eastAsia="仿宋" w:cs="仿宋"/>
          <w:b w:val="0"/>
          <w:snapToGrid w:val="0"/>
          <w:color w:val="auto"/>
          <w:kern w:val="2"/>
          <w:sz w:val="20"/>
          <w:szCs w:val="20"/>
          <w:highlight w:val="none"/>
          <w:lang w:val="en-US" w:eastAsia="zh-CN" w:bidi="ar-SA"/>
        </w:rPr>
        <w:t>合计金额</w:t>
      </w:r>
      <w:r>
        <w:rPr>
          <w:rFonts w:hint="eastAsia" w:ascii="仿宋" w:hAnsi="仿宋" w:eastAsia="仿宋" w:cs="仿宋"/>
          <w:b w:val="0"/>
          <w:snapToGrid w:val="0"/>
          <w:color w:val="auto"/>
          <w:kern w:val="2"/>
          <w:sz w:val="20"/>
          <w:szCs w:val="20"/>
          <w:highlight w:val="none"/>
          <w:lang w:val="zh-CN" w:eastAsia="en-US" w:bidi="ar-SA"/>
        </w:rPr>
        <w:t>须与</w:t>
      </w:r>
      <w:r>
        <w:rPr>
          <w:rFonts w:hint="eastAsia" w:ascii="仿宋" w:hAnsi="仿宋" w:eastAsia="仿宋" w:cs="仿宋"/>
          <w:b w:val="0"/>
          <w:snapToGrid w:val="0"/>
          <w:color w:val="auto"/>
          <w:kern w:val="2"/>
          <w:sz w:val="20"/>
          <w:szCs w:val="20"/>
          <w:highlight w:val="none"/>
          <w:lang w:val="en-US" w:eastAsia="zh-CN" w:bidi="ar-SA"/>
        </w:rPr>
        <w:t>最终</w:t>
      </w:r>
      <w:r>
        <w:rPr>
          <w:rFonts w:hint="eastAsia" w:ascii="仿宋" w:hAnsi="仿宋" w:eastAsia="仿宋" w:cs="仿宋"/>
          <w:b w:val="0"/>
          <w:snapToGrid w:val="0"/>
          <w:color w:val="auto"/>
          <w:kern w:val="2"/>
          <w:sz w:val="20"/>
          <w:szCs w:val="20"/>
          <w:highlight w:val="none"/>
          <w:lang w:val="zh-CN" w:eastAsia="en-US" w:bidi="ar-SA"/>
        </w:rPr>
        <w:t>磋商报价表中磋商</w:t>
      </w:r>
      <w:r>
        <w:rPr>
          <w:rFonts w:hint="eastAsia" w:ascii="仿宋" w:hAnsi="仿宋" w:eastAsia="仿宋" w:cs="仿宋"/>
          <w:b w:val="0"/>
          <w:snapToGrid w:val="0"/>
          <w:color w:val="auto"/>
          <w:kern w:val="2"/>
          <w:sz w:val="20"/>
          <w:szCs w:val="20"/>
          <w:highlight w:val="none"/>
          <w:lang w:val="en-US" w:eastAsia="en-US" w:bidi="ar-SA"/>
        </w:rPr>
        <w:t>总</w:t>
      </w:r>
      <w:r>
        <w:rPr>
          <w:rFonts w:hint="eastAsia" w:ascii="仿宋" w:hAnsi="仿宋" w:eastAsia="仿宋" w:cs="仿宋"/>
          <w:b w:val="0"/>
          <w:snapToGrid w:val="0"/>
          <w:color w:val="auto"/>
          <w:kern w:val="2"/>
          <w:sz w:val="20"/>
          <w:szCs w:val="20"/>
          <w:highlight w:val="none"/>
          <w:lang w:val="zh-CN" w:eastAsia="en-US" w:bidi="ar-SA"/>
        </w:rPr>
        <w:t>报价一致。</w:t>
      </w:r>
    </w:p>
    <w:p w14:paraId="314E8050">
      <w:pPr>
        <w:keepNext w:val="0"/>
        <w:keepLines w:val="0"/>
        <w:pageBreakBefore w:val="0"/>
        <w:widowControl w:val="0"/>
        <w:tabs>
          <w:tab w:val="left" w:pos="5580"/>
        </w:tabs>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3.供应商可根据采购内容及要求在原有服务内容的基础上自行增加分项报价内容。</w:t>
      </w:r>
    </w:p>
    <w:p w14:paraId="3FE4545B">
      <w:pPr>
        <w:keepNext w:val="0"/>
        <w:keepLines w:val="0"/>
        <w:pageBreakBefore w:val="0"/>
        <w:widowControl w:val="0"/>
        <w:tabs>
          <w:tab w:val="left" w:pos="5580"/>
        </w:tabs>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 w:val="0"/>
          <w:snapToGrid w:val="0"/>
          <w:color w:val="auto"/>
          <w:kern w:val="2"/>
          <w:sz w:val="20"/>
          <w:szCs w:val="20"/>
          <w:highlight w:val="none"/>
          <w:lang w:val="zh-CN" w:eastAsia="zh-CN" w:bidi="ar-SA"/>
        </w:rPr>
      </w:pPr>
    </w:p>
    <w:p w14:paraId="562CE75D">
      <w:pPr>
        <w:keepNext w:val="0"/>
        <w:keepLines w:val="0"/>
        <w:pageBreakBefore w:val="0"/>
        <w:shd w:val="clear"/>
        <w:wordWrap/>
        <w:overflowPunct/>
        <w:topLinePunct w:val="0"/>
        <w:bidi w:val="0"/>
        <w:spacing w:line="360" w:lineRule="auto"/>
        <w:ind w:firstLine="4600" w:firstLineChars="2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供应商（公章）：</w:t>
      </w:r>
      <w:r>
        <w:rPr>
          <w:rFonts w:hint="eastAsia" w:ascii="仿宋" w:hAnsi="仿宋" w:eastAsia="仿宋" w:cs="仿宋"/>
          <w:color w:val="auto"/>
          <w:sz w:val="20"/>
          <w:szCs w:val="20"/>
          <w:highlight w:val="none"/>
          <w:u w:val="single"/>
        </w:rPr>
        <w:t xml:space="preserve">                     </w:t>
      </w:r>
    </w:p>
    <w:p w14:paraId="1F03020D">
      <w:pPr>
        <w:keepNext w:val="0"/>
        <w:keepLines w:val="0"/>
        <w:pageBreakBefore w:val="0"/>
        <w:shd w:val="clear"/>
        <w:wordWrap/>
        <w:overflowPunct/>
        <w:topLinePunct w:val="0"/>
        <w:bidi w:val="0"/>
        <w:spacing w:line="36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4469BC4A">
      <w:pPr>
        <w:keepNext w:val="0"/>
        <w:keepLines w:val="0"/>
        <w:pageBreakBefore w:val="0"/>
        <w:shd w:val="clear"/>
        <w:wordWrap/>
        <w:overflowPunct/>
        <w:topLinePunct w:val="0"/>
        <w:bidi w:val="0"/>
        <w:spacing w:line="36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2DC18A4C">
      <w:pPr>
        <w:shd w:val="clear"/>
        <w:spacing w:line="240" w:lineRule="auto"/>
        <w:rPr>
          <w:rFonts w:hint="eastAsia" w:ascii="仿宋" w:hAnsi="仿宋" w:eastAsia="仿宋" w:cs="仿宋"/>
          <w:b/>
          <w:color w:val="auto"/>
          <w:sz w:val="20"/>
          <w:szCs w:val="20"/>
          <w:highlight w:val="none"/>
          <w:lang w:val="en-US" w:eastAsia="zh-CN"/>
        </w:rPr>
      </w:pPr>
    </w:p>
    <w:p w14:paraId="63D57061">
      <w:pPr>
        <w:shd w:val="clear"/>
        <w:rPr>
          <w:rFonts w:hint="eastAsia" w:ascii="仿宋" w:hAnsi="仿宋" w:eastAsia="仿宋" w:cs="仿宋"/>
          <w:color w:val="auto"/>
          <w:sz w:val="20"/>
          <w:szCs w:val="20"/>
          <w:highlight w:val="none"/>
          <w:lang w:val="en-US" w:eastAsia="zh-CN"/>
        </w:rPr>
      </w:pPr>
      <w:r>
        <w:rPr>
          <w:rFonts w:hint="eastAsia" w:ascii="仿宋" w:hAnsi="仿宋" w:eastAsia="仿宋" w:cs="仿宋"/>
          <w:b/>
          <w:bCs/>
          <w:color w:val="auto"/>
          <w:sz w:val="24"/>
          <w:szCs w:val="24"/>
          <w:highlight w:val="none"/>
        </w:rPr>
        <w:t>备注：本表为</w:t>
      </w:r>
      <w:r>
        <w:rPr>
          <w:rFonts w:hint="eastAsia" w:ascii="仿宋" w:hAnsi="仿宋" w:eastAsia="仿宋" w:cs="仿宋"/>
          <w:b/>
          <w:bCs/>
          <w:color w:val="auto"/>
          <w:sz w:val="24"/>
          <w:szCs w:val="24"/>
          <w:highlight w:val="none"/>
          <w:lang w:val="en-US" w:eastAsia="zh-CN"/>
        </w:rPr>
        <w:t>最终</w:t>
      </w:r>
      <w:r>
        <w:rPr>
          <w:rFonts w:hint="eastAsia" w:ascii="仿宋" w:hAnsi="仿宋" w:eastAsia="仿宋" w:cs="仿宋"/>
          <w:b/>
          <w:bCs/>
          <w:color w:val="auto"/>
          <w:sz w:val="24"/>
          <w:szCs w:val="24"/>
          <w:highlight w:val="none"/>
        </w:rPr>
        <w:t>磋商报价表参考格式，供应商无需在响应文件中填写，磋商过程中要求提交最终磋商报价时再填写提交。</w:t>
      </w:r>
    </w:p>
    <w:p w14:paraId="72F59B2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822328"/>
    <w:rsid w:val="54822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目录"/>
    <w:basedOn w:val="1"/>
    <w:qFormat/>
    <w:uiPriority w:val="0"/>
    <w:pPr>
      <w:widowControl/>
      <w:jc w:val="center"/>
    </w:pPr>
    <w:rPr>
      <w:rFonts w:ascii="宋体" w:hAnsi="Times New Roman" w:cs="Times New Roman"/>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2026-06-30T03:52:00Z</dcterms:created>
  <dc:creator>ttt</dc:creator>
  <cp:lastModifiedBy>ttt</cp:lastModifiedBy>
  <dcterms:modified xsi:type="dcterms:W3CDTF">2026-06-30T03:53:03Z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8E650EA314244E47A1463E715CB1C07A_11</vt:lpwstr>
  </property>
  <property fmtid="{D5CDD505-2E9C-101B-9397-08002B2CF9AE}" pid="4" name="KSOTemplateDocerSaveRecord">
    <vt:lpwstr>eyJoZGlkIjoiNWJlMTZkNzkxYTk2ZWMzMDUxYmFlZDhhYTA3N2E0OTEiLCJ1c2VySWQiOiI3NTg1MTk3MDIifQ==</vt:lpwstr>
  </property>
</Properties>
</file>