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A28D7">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outlineLvl w:val="0"/>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首次磋商报价表</w:t>
      </w:r>
    </w:p>
    <w:p w14:paraId="55C178D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业务平台运维服务</w:t>
      </w:r>
    </w:p>
    <w:p w14:paraId="24179B6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CGZC-2026-045（ZR20GN2026-CS-033）</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2778"/>
        <w:gridCol w:w="2300"/>
        <w:gridCol w:w="1500"/>
      </w:tblGrid>
      <w:tr w14:paraId="174E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704" w:type="dxa"/>
            <w:vAlign w:val="center"/>
          </w:tcPr>
          <w:p w14:paraId="37DC226C">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采购内容</w:t>
            </w:r>
          </w:p>
        </w:tc>
        <w:tc>
          <w:tcPr>
            <w:tcW w:w="2778" w:type="dxa"/>
            <w:vAlign w:val="center"/>
          </w:tcPr>
          <w:p w14:paraId="1D259565">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磋商报价（元）</w:t>
            </w:r>
          </w:p>
        </w:tc>
        <w:tc>
          <w:tcPr>
            <w:tcW w:w="2300" w:type="dxa"/>
            <w:vAlign w:val="center"/>
          </w:tcPr>
          <w:p w14:paraId="2E23B6DC">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服务期限</w:t>
            </w:r>
          </w:p>
        </w:tc>
        <w:tc>
          <w:tcPr>
            <w:tcW w:w="1500" w:type="dxa"/>
            <w:vAlign w:val="center"/>
          </w:tcPr>
          <w:p w14:paraId="250372EC">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备注</w:t>
            </w:r>
          </w:p>
        </w:tc>
      </w:tr>
      <w:tr w14:paraId="350F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jc w:val="center"/>
        </w:trPr>
        <w:tc>
          <w:tcPr>
            <w:tcW w:w="1704" w:type="dxa"/>
            <w:vAlign w:val="center"/>
          </w:tcPr>
          <w:p w14:paraId="2DABE67D">
            <w:pPr>
              <w:widowControl w:val="0"/>
              <w:shd w:val="clear"/>
              <w:jc w:val="center"/>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业务平台运维服务</w:t>
            </w:r>
          </w:p>
        </w:tc>
        <w:tc>
          <w:tcPr>
            <w:tcW w:w="2778" w:type="dxa"/>
            <w:vAlign w:val="center"/>
          </w:tcPr>
          <w:p w14:paraId="40B2CAE8">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val="0"/>
                <w:bCs/>
                <w:snapToGrid w:val="0"/>
                <w:color w:val="auto"/>
                <w:kern w:val="2"/>
                <w:sz w:val="20"/>
                <w:szCs w:val="20"/>
                <w:highlight w:val="none"/>
                <w:u w:val="none"/>
                <w:lang w:val="en-US" w:eastAsia="zh-CN" w:bidi="ar-SA"/>
              </w:rPr>
            </w:pPr>
            <w:r>
              <w:rPr>
                <w:rFonts w:hint="eastAsia" w:ascii="仿宋" w:hAnsi="仿宋" w:eastAsia="仿宋" w:cs="仿宋"/>
                <w:b w:val="0"/>
                <w:bCs/>
                <w:snapToGrid w:val="0"/>
                <w:color w:val="auto"/>
                <w:kern w:val="2"/>
                <w:sz w:val="20"/>
                <w:szCs w:val="20"/>
                <w:highlight w:val="none"/>
                <w:lang w:val="en-US" w:eastAsia="zh-CN" w:bidi="ar-SA"/>
              </w:rPr>
              <w:t>小写：</w:t>
            </w:r>
            <w:r>
              <w:rPr>
                <w:rFonts w:hint="eastAsia" w:ascii="仿宋" w:hAnsi="仿宋" w:eastAsia="仿宋" w:cs="仿宋"/>
                <w:b w:val="0"/>
                <w:bCs/>
                <w:snapToGrid w:val="0"/>
                <w:color w:val="auto"/>
                <w:kern w:val="2"/>
                <w:sz w:val="20"/>
                <w:szCs w:val="20"/>
                <w:highlight w:val="none"/>
                <w:u w:val="none"/>
                <w:lang w:val="en-US" w:eastAsia="zh-CN" w:bidi="ar-SA"/>
              </w:rPr>
              <w:t>¥</w:t>
            </w:r>
            <w:r>
              <w:rPr>
                <w:rFonts w:hint="eastAsia" w:ascii="仿宋" w:hAnsi="仿宋" w:eastAsia="仿宋" w:cs="仿宋"/>
                <w:b w:val="0"/>
                <w:bCs/>
                <w:snapToGrid w:val="0"/>
                <w:color w:val="auto"/>
                <w:kern w:val="2"/>
                <w:sz w:val="20"/>
                <w:szCs w:val="20"/>
                <w:highlight w:val="none"/>
                <w:u w:val="single"/>
                <w:lang w:val="en-US" w:eastAsia="zh-CN" w:bidi="ar-SA"/>
              </w:rPr>
              <w:t xml:space="preserve">         </w:t>
            </w:r>
            <w:r>
              <w:rPr>
                <w:rFonts w:hint="eastAsia" w:ascii="仿宋" w:hAnsi="仿宋" w:eastAsia="仿宋" w:cs="仿宋"/>
                <w:b w:val="0"/>
                <w:bCs/>
                <w:snapToGrid w:val="0"/>
                <w:color w:val="auto"/>
                <w:kern w:val="2"/>
                <w:sz w:val="20"/>
                <w:szCs w:val="20"/>
                <w:highlight w:val="none"/>
                <w:u w:val="none"/>
                <w:lang w:val="en-US" w:eastAsia="zh-CN" w:bidi="ar-SA"/>
              </w:rPr>
              <w:t>元</w:t>
            </w:r>
          </w:p>
          <w:p w14:paraId="571FE524">
            <w:pPr>
              <w:widowControl w:val="0"/>
              <w:shd w:val="clear"/>
              <w:jc w:val="left"/>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b w:val="0"/>
                <w:bCs/>
                <w:color w:val="auto"/>
                <w:kern w:val="2"/>
                <w:sz w:val="20"/>
                <w:szCs w:val="20"/>
                <w:highlight w:val="none"/>
                <w:lang w:val="en-US" w:eastAsia="zh-CN"/>
              </w:rPr>
              <w:t>大写：</w:t>
            </w:r>
            <w:r>
              <w:rPr>
                <w:rFonts w:hint="eastAsia" w:ascii="仿宋" w:hAnsi="仿宋" w:eastAsia="仿宋" w:cs="仿宋"/>
                <w:b w:val="0"/>
                <w:bCs/>
                <w:color w:val="auto"/>
                <w:kern w:val="2"/>
                <w:sz w:val="20"/>
                <w:szCs w:val="20"/>
                <w:highlight w:val="none"/>
                <w:u w:val="none"/>
                <w:lang w:val="en-US" w:eastAsia="zh-CN"/>
              </w:rPr>
              <w:t>人民币</w:t>
            </w:r>
            <w:r>
              <w:rPr>
                <w:rFonts w:hint="eastAsia" w:ascii="仿宋" w:hAnsi="仿宋" w:eastAsia="仿宋" w:cs="仿宋"/>
                <w:b w:val="0"/>
                <w:bCs/>
                <w:color w:val="auto"/>
                <w:kern w:val="2"/>
                <w:sz w:val="20"/>
                <w:szCs w:val="20"/>
                <w:highlight w:val="none"/>
                <w:u w:val="single"/>
                <w:lang w:val="en-US" w:eastAsia="zh-CN"/>
              </w:rPr>
              <w:t xml:space="preserve">     </w:t>
            </w:r>
          </w:p>
        </w:tc>
        <w:tc>
          <w:tcPr>
            <w:tcW w:w="2300" w:type="dxa"/>
            <w:vAlign w:val="center"/>
          </w:tcPr>
          <w:p w14:paraId="4E33A856">
            <w:pPr>
              <w:widowControl w:val="0"/>
              <w:shd w:val="clear"/>
              <w:jc w:val="center"/>
              <w:rPr>
                <w:rFonts w:hint="eastAsia" w:ascii="仿宋" w:hAnsi="仿宋" w:eastAsia="仿宋" w:cs="仿宋"/>
                <w:color w:val="auto"/>
                <w:sz w:val="20"/>
                <w:szCs w:val="20"/>
                <w:highlight w:val="none"/>
                <w:vertAlign w:val="baseline"/>
                <w:lang w:val="en-US" w:eastAsia="zh-CN"/>
              </w:rPr>
            </w:pPr>
          </w:p>
        </w:tc>
        <w:tc>
          <w:tcPr>
            <w:tcW w:w="1500" w:type="dxa"/>
            <w:vAlign w:val="center"/>
          </w:tcPr>
          <w:p w14:paraId="0D3CBE44">
            <w:pPr>
              <w:widowControl w:val="0"/>
              <w:shd w:val="clear"/>
              <w:jc w:val="center"/>
              <w:rPr>
                <w:rFonts w:hint="eastAsia" w:ascii="仿宋" w:hAnsi="仿宋" w:eastAsia="仿宋" w:cs="仿宋"/>
                <w:color w:val="auto"/>
                <w:sz w:val="20"/>
                <w:szCs w:val="20"/>
                <w:highlight w:val="none"/>
                <w:vertAlign w:val="baseline"/>
                <w:lang w:val="en-US" w:eastAsia="zh-CN"/>
              </w:rPr>
            </w:pPr>
          </w:p>
        </w:tc>
      </w:tr>
      <w:tr w14:paraId="6727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282" w:type="dxa"/>
            <w:gridSpan w:val="4"/>
            <w:vAlign w:val="center"/>
          </w:tcPr>
          <w:p w14:paraId="2EB5DDFF">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val="0"/>
                <w:snapToGrid w:val="0"/>
                <w:color w:val="auto"/>
                <w:kern w:val="2"/>
                <w:sz w:val="20"/>
                <w:szCs w:val="20"/>
                <w:highlight w:val="none"/>
                <w:lang w:val="zh-CN" w:eastAsia="zh-CN" w:bidi="ar-SA"/>
              </w:rPr>
            </w:pPr>
            <w:r>
              <w:rPr>
                <w:rFonts w:hint="eastAsia" w:ascii="仿宋" w:hAnsi="仿宋" w:eastAsia="仿宋" w:cs="仿宋"/>
                <w:b w:val="0"/>
                <w:bCs/>
                <w:snapToGrid w:val="0"/>
                <w:color w:val="auto"/>
                <w:kern w:val="2"/>
                <w:sz w:val="20"/>
                <w:szCs w:val="20"/>
                <w:highlight w:val="none"/>
                <w:lang w:val="en-US" w:eastAsia="zh-CN" w:bidi="ar-SA"/>
              </w:rPr>
              <w:t>1.</w:t>
            </w:r>
            <w:r>
              <w:rPr>
                <w:rFonts w:hint="eastAsia" w:ascii="仿宋" w:hAnsi="仿宋" w:eastAsia="仿宋" w:cs="仿宋"/>
                <w:b w:val="0"/>
                <w:snapToGrid w:val="0"/>
                <w:color w:val="auto"/>
                <w:kern w:val="2"/>
                <w:sz w:val="20"/>
                <w:szCs w:val="20"/>
                <w:highlight w:val="none"/>
                <w:lang w:val="zh-CN" w:eastAsia="zh-CN" w:bidi="ar-SA"/>
              </w:rPr>
              <w:t>表内报价内容以元为单位，保留小数点后（两位）；</w:t>
            </w:r>
          </w:p>
          <w:p w14:paraId="01CFE1D9">
            <w:pPr>
              <w:widowControl w:val="0"/>
              <w:shd w:val="clear"/>
              <w:jc w:val="both"/>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b w:val="0"/>
                <w:color w:val="auto"/>
                <w:kern w:val="2"/>
                <w:sz w:val="20"/>
                <w:szCs w:val="20"/>
                <w:highlight w:val="none"/>
                <w:lang w:val="en-US" w:eastAsia="zh-CN"/>
              </w:rPr>
              <w:t>2.供应商磋商总价不得超过最高限价或预算，否则响应文件按无效标处理。</w:t>
            </w:r>
          </w:p>
        </w:tc>
      </w:tr>
    </w:tbl>
    <w:p w14:paraId="196C71F8">
      <w:pPr>
        <w:keepNext w:val="0"/>
        <w:keepLines w:val="0"/>
        <w:pageBreakBefore w:val="0"/>
        <w:widowControl/>
        <w:shd w:val="clea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highlight w:val="none"/>
        </w:rPr>
      </w:pPr>
    </w:p>
    <w:p w14:paraId="441261A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600" w:firstLineChars="2300"/>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33C6637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EA42A9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6C6A43C1">
      <w:pPr>
        <w:shd w:val="clea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br w:type="page"/>
      </w:r>
    </w:p>
    <w:p w14:paraId="6A3675AF">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分项</w:t>
      </w:r>
      <w:r>
        <w:rPr>
          <w:rFonts w:hint="eastAsia" w:ascii="仿宋" w:hAnsi="仿宋" w:eastAsia="仿宋" w:cs="仿宋"/>
          <w:b w:val="0"/>
          <w:bCs/>
          <w:color w:val="auto"/>
          <w:sz w:val="20"/>
          <w:szCs w:val="20"/>
          <w:highlight w:val="none"/>
        </w:rPr>
        <w:t>报价表</w:t>
      </w:r>
    </w:p>
    <w:p w14:paraId="2156FEC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业务平台运维服务</w:t>
      </w:r>
    </w:p>
    <w:p w14:paraId="3565F36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CGZC-2026-045（ZR20GN2026-CS-033）</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2685"/>
        <w:gridCol w:w="1572"/>
        <w:gridCol w:w="1079"/>
      </w:tblGrid>
      <w:tr w14:paraId="26B1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732CB2E1">
            <w:pPr>
              <w:widowControl w:val="0"/>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序号</w:t>
            </w:r>
          </w:p>
        </w:tc>
        <w:tc>
          <w:tcPr>
            <w:tcW w:w="2685" w:type="dxa"/>
            <w:vAlign w:val="center"/>
          </w:tcPr>
          <w:p w14:paraId="56156FFB">
            <w:pPr>
              <w:widowControl w:val="0"/>
              <w:spacing w:line="240" w:lineRule="auto"/>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服务内容</w:t>
            </w:r>
          </w:p>
        </w:tc>
        <w:tc>
          <w:tcPr>
            <w:tcW w:w="1572" w:type="dxa"/>
            <w:vAlign w:val="center"/>
          </w:tcPr>
          <w:p w14:paraId="5BB92E43">
            <w:pPr>
              <w:widowControl w:val="0"/>
              <w:spacing w:line="240" w:lineRule="auto"/>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报价</w:t>
            </w:r>
            <w:r>
              <w:rPr>
                <w:rFonts w:hint="eastAsia" w:ascii="仿宋" w:hAnsi="仿宋" w:eastAsia="仿宋" w:cs="仿宋"/>
                <w:color w:val="auto"/>
                <w:sz w:val="20"/>
                <w:szCs w:val="20"/>
                <w:highlight w:val="none"/>
              </w:rPr>
              <w:t>（元）</w:t>
            </w:r>
          </w:p>
        </w:tc>
        <w:tc>
          <w:tcPr>
            <w:tcW w:w="1079" w:type="dxa"/>
            <w:vAlign w:val="center"/>
          </w:tcPr>
          <w:p w14:paraId="2822B66C">
            <w:pPr>
              <w:widowControl w:val="0"/>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备注</w:t>
            </w:r>
          </w:p>
        </w:tc>
      </w:tr>
      <w:tr w14:paraId="3845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4EB7F9BD">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1</w:t>
            </w:r>
          </w:p>
        </w:tc>
        <w:tc>
          <w:tcPr>
            <w:tcW w:w="2685" w:type="dxa"/>
            <w:vAlign w:val="center"/>
          </w:tcPr>
          <w:p w14:paraId="5B5DB02A">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default" w:ascii="仿宋" w:hAnsi="仿宋" w:eastAsia="仿宋" w:cs="仿宋"/>
                <w:b w:val="0"/>
                <w:snapToGrid w:val="0"/>
                <w:color w:val="auto"/>
                <w:kern w:val="2"/>
                <w:sz w:val="20"/>
                <w:szCs w:val="20"/>
                <w:highlight w:val="none"/>
                <w:lang w:val="en-US" w:eastAsia="zh-CN" w:bidi="ar-SA"/>
              </w:rPr>
              <w:t>运维支持服务</w:t>
            </w:r>
          </w:p>
        </w:tc>
        <w:tc>
          <w:tcPr>
            <w:tcW w:w="1572" w:type="dxa"/>
            <w:vAlign w:val="center"/>
          </w:tcPr>
          <w:p w14:paraId="3075A808">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13D3C41F">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r w14:paraId="64B9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06360693">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2</w:t>
            </w:r>
          </w:p>
        </w:tc>
        <w:tc>
          <w:tcPr>
            <w:tcW w:w="2685" w:type="dxa"/>
            <w:vAlign w:val="center"/>
          </w:tcPr>
          <w:p w14:paraId="106FB5A9">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en-US" w:bidi="ar-SA"/>
              </w:rPr>
            </w:pPr>
            <w:r>
              <w:rPr>
                <w:rFonts w:hint="default" w:ascii="仿宋" w:hAnsi="仿宋" w:eastAsia="仿宋" w:cs="仿宋"/>
                <w:b w:val="0"/>
                <w:snapToGrid w:val="0"/>
                <w:color w:val="auto"/>
                <w:kern w:val="2"/>
                <w:sz w:val="20"/>
                <w:szCs w:val="20"/>
                <w:highlight w:val="none"/>
                <w:lang w:val="en-US" w:eastAsia="zh-CN" w:bidi="ar-SA"/>
              </w:rPr>
              <w:t>热线电话服务</w:t>
            </w:r>
          </w:p>
        </w:tc>
        <w:tc>
          <w:tcPr>
            <w:tcW w:w="1572" w:type="dxa"/>
            <w:vAlign w:val="center"/>
          </w:tcPr>
          <w:p w14:paraId="195B688D">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04D22441">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r w14:paraId="4B15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2626BF45">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3</w:t>
            </w:r>
          </w:p>
        </w:tc>
        <w:tc>
          <w:tcPr>
            <w:tcW w:w="2685" w:type="dxa"/>
            <w:vAlign w:val="center"/>
          </w:tcPr>
          <w:p w14:paraId="37523FE9">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其他服务</w:t>
            </w:r>
          </w:p>
        </w:tc>
        <w:tc>
          <w:tcPr>
            <w:tcW w:w="1572" w:type="dxa"/>
            <w:vAlign w:val="center"/>
          </w:tcPr>
          <w:p w14:paraId="19E059B6">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0B694B0E">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r w14:paraId="0719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vAlign w:val="center"/>
          </w:tcPr>
          <w:p w14:paraId="594CE252">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w:t>
            </w:r>
          </w:p>
        </w:tc>
        <w:tc>
          <w:tcPr>
            <w:tcW w:w="2685" w:type="dxa"/>
            <w:vAlign w:val="center"/>
          </w:tcPr>
          <w:p w14:paraId="08447509">
            <w:pPr>
              <w:widowControl/>
              <w:kinsoku w:val="0"/>
              <w:autoSpaceDE w:val="0"/>
              <w:autoSpaceDN w:val="0"/>
              <w:adjustRightInd w:val="0"/>
              <w:snapToGrid w:val="0"/>
              <w:spacing w:line="240" w:lineRule="auto"/>
              <w:jc w:val="center"/>
              <w:textAlignment w:val="baseline"/>
              <w:rPr>
                <w:rFonts w:hint="default"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w:t>
            </w:r>
          </w:p>
        </w:tc>
        <w:tc>
          <w:tcPr>
            <w:tcW w:w="1572" w:type="dxa"/>
            <w:vAlign w:val="center"/>
          </w:tcPr>
          <w:p w14:paraId="42FCEE3F">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c>
          <w:tcPr>
            <w:tcW w:w="1079" w:type="dxa"/>
            <w:vAlign w:val="center"/>
          </w:tcPr>
          <w:p w14:paraId="3EC29909">
            <w:pPr>
              <w:widowControl/>
              <w:kinsoku w:val="0"/>
              <w:autoSpaceDE w:val="0"/>
              <w:autoSpaceDN w:val="0"/>
              <w:adjustRightInd w:val="0"/>
              <w:snapToGrid w:val="0"/>
              <w:spacing w:line="240" w:lineRule="auto"/>
              <w:jc w:val="center"/>
              <w:textAlignment w:val="baseline"/>
              <w:rPr>
                <w:rFonts w:hint="eastAsia" w:ascii="仿宋" w:hAnsi="仿宋" w:eastAsia="仿宋" w:cs="仿宋"/>
                <w:b w:val="0"/>
                <w:snapToGrid w:val="0"/>
                <w:color w:val="auto"/>
                <w:kern w:val="2"/>
                <w:sz w:val="20"/>
                <w:szCs w:val="20"/>
                <w:highlight w:val="none"/>
                <w:lang w:val="zh-CN" w:eastAsia="en-US" w:bidi="ar-SA"/>
              </w:rPr>
            </w:pPr>
          </w:p>
        </w:tc>
      </w:tr>
    </w:tbl>
    <w:p w14:paraId="508B154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val="0"/>
          <w:snapToGrid w:val="0"/>
          <w:color w:val="auto"/>
          <w:kern w:val="2"/>
          <w:sz w:val="20"/>
          <w:szCs w:val="20"/>
          <w:highlight w:val="none"/>
          <w:lang w:val="zh-CN" w:eastAsia="en-US" w:bidi="ar-SA"/>
        </w:rPr>
      </w:pPr>
      <w:r>
        <w:rPr>
          <w:rFonts w:hint="eastAsia" w:ascii="仿宋" w:hAnsi="仿宋" w:eastAsia="仿宋" w:cs="仿宋"/>
          <w:b w:val="0"/>
          <w:snapToGrid w:val="0"/>
          <w:color w:val="auto"/>
          <w:kern w:val="2"/>
          <w:sz w:val="20"/>
          <w:szCs w:val="20"/>
          <w:highlight w:val="none"/>
          <w:lang w:val="zh-CN" w:eastAsia="en-US" w:bidi="ar-SA"/>
        </w:rPr>
        <w:t>注：1.供应商磋商总报价不得超过最高限价</w:t>
      </w:r>
      <w:r>
        <w:rPr>
          <w:rFonts w:hint="eastAsia" w:ascii="仿宋" w:hAnsi="仿宋" w:eastAsia="仿宋" w:cs="仿宋"/>
          <w:b w:val="0"/>
          <w:snapToGrid w:val="0"/>
          <w:color w:val="auto"/>
          <w:kern w:val="2"/>
          <w:sz w:val="20"/>
          <w:szCs w:val="20"/>
          <w:highlight w:val="none"/>
          <w:lang w:val="en-US" w:eastAsia="en-US" w:bidi="ar-SA"/>
        </w:rPr>
        <w:t>或预算</w:t>
      </w:r>
      <w:r>
        <w:rPr>
          <w:rFonts w:hint="eastAsia" w:ascii="仿宋" w:hAnsi="仿宋" w:eastAsia="仿宋" w:cs="仿宋"/>
          <w:b w:val="0"/>
          <w:snapToGrid w:val="0"/>
          <w:color w:val="auto"/>
          <w:kern w:val="2"/>
          <w:sz w:val="20"/>
          <w:szCs w:val="20"/>
          <w:highlight w:val="none"/>
          <w:lang w:val="zh-CN" w:eastAsia="en-US" w:bidi="ar-SA"/>
        </w:rPr>
        <w:t>，否则响应文件按无效标处理；</w:t>
      </w:r>
    </w:p>
    <w:p w14:paraId="6AD5AE3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00" w:firstLineChars="200"/>
        <w:jc w:val="left"/>
        <w:textAlignment w:val="baseline"/>
        <w:rPr>
          <w:rFonts w:hint="eastAsia" w:ascii="仿宋" w:hAnsi="仿宋" w:eastAsia="仿宋" w:cs="仿宋"/>
          <w:b w:val="0"/>
          <w:snapToGrid w:val="0"/>
          <w:color w:val="auto"/>
          <w:kern w:val="2"/>
          <w:sz w:val="20"/>
          <w:szCs w:val="20"/>
          <w:highlight w:val="none"/>
          <w:lang w:val="zh-CN" w:eastAsia="en-US" w:bidi="ar-SA"/>
        </w:rPr>
      </w:pPr>
      <w:r>
        <w:rPr>
          <w:rFonts w:hint="eastAsia" w:ascii="仿宋" w:hAnsi="仿宋" w:eastAsia="仿宋" w:cs="仿宋"/>
          <w:b w:val="0"/>
          <w:snapToGrid w:val="0"/>
          <w:color w:val="auto"/>
          <w:kern w:val="2"/>
          <w:sz w:val="20"/>
          <w:szCs w:val="20"/>
          <w:highlight w:val="none"/>
          <w:lang w:val="en-US" w:eastAsia="zh-CN" w:bidi="ar-SA"/>
        </w:rPr>
        <w:t>2.</w:t>
      </w:r>
      <w:r>
        <w:rPr>
          <w:rFonts w:hint="eastAsia" w:ascii="仿宋" w:hAnsi="仿宋" w:eastAsia="仿宋" w:cs="仿宋"/>
          <w:b w:val="0"/>
          <w:snapToGrid w:val="0"/>
          <w:color w:val="auto"/>
          <w:kern w:val="2"/>
          <w:sz w:val="20"/>
          <w:szCs w:val="20"/>
          <w:highlight w:val="none"/>
          <w:lang w:val="zh-CN" w:eastAsia="en-US" w:bidi="ar-SA"/>
        </w:rPr>
        <w:t>分项报价表中</w:t>
      </w:r>
      <w:r>
        <w:rPr>
          <w:rFonts w:hint="eastAsia" w:ascii="仿宋" w:hAnsi="仿宋" w:eastAsia="仿宋" w:cs="仿宋"/>
          <w:b w:val="0"/>
          <w:snapToGrid w:val="0"/>
          <w:color w:val="auto"/>
          <w:kern w:val="2"/>
          <w:sz w:val="20"/>
          <w:szCs w:val="20"/>
          <w:highlight w:val="none"/>
          <w:lang w:val="en-US" w:eastAsia="zh-CN" w:bidi="ar-SA"/>
        </w:rPr>
        <w:t>合计金额</w:t>
      </w:r>
      <w:r>
        <w:rPr>
          <w:rFonts w:hint="eastAsia" w:ascii="仿宋" w:hAnsi="仿宋" w:eastAsia="仿宋" w:cs="仿宋"/>
          <w:b w:val="0"/>
          <w:snapToGrid w:val="0"/>
          <w:color w:val="auto"/>
          <w:kern w:val="2"/>
          <w:sz w:val="20"/>
          <w:szCs w:val="20"/>
          <w:highlight w:val="none"/>
          <w:lang w:val="zh-CN" w:eastAsia="en-US" w:bidi="ar-SA"/>
        </w:rPr>
        <w:t>须与</w:t>
      </w:r>
      <w:r>
        <w:rPr>
          <w:rFonts w:hint="eastAsia" w:ascii="仿宋" w:hAnsi="仿宋" w:eastAsia="仿宋" w:cs="仿宋"/>
          <w:b w:val="0"/>
          <w:snapToGrid w:val="0"/>
          <w:color w:val="auto"/>
          <w:kern w:val="2"/>
          <w:sz w:val="20"/>
          <w:szCs w:val="20"/>
          <w:highlight w:val="none"/>
          <w:lang w:val="en-US" w:eastAsia="en-US" w:bidi="ar-SA"/>
        </w:rPr>
        <w:t>首次</w:t>
      </w:r>
      <w:r>
        <w:rPr>
          <w:rFonts w:hint="eastAsia" w:ascii="仿宋" w:hAnsi="仿宋" w:eastAsia="仿宋" w:cs="仿宋"/>
          <w:b w:val="0"/>
          <w:snapToGrid w:val="0"/>
          <w:color w:val="auto"/>
          <w:kern w:val="2"/>
          <w:sz w:val="20"/>
          <w:szCs w:val="20"/>
          <w:highlight w:val="none"/>
          <w:lang w:val="zh-CN" w:eastAsia="en-US" w:bidi="ar-SA"/>
        </w:rPr>
        <w:t>磋商报价表中磋商</w:t>
      </w:r>
      <w:r>
        <w:rPr>
          <w:rFonts w:hint="eastAsia" w:ascii="仿宋" w:hAnsi="仿宋" w:eastAsia="仿宋" w:cs="仿宋"/>
          <w:b w:val="0"/>
          <w:snapToGrid w:val="0"/>
          <w:color w:val="auto"/>
          <w:kern w:val="2"/>
          <w:sz w:val="20"/>
          <w:szCs w:val="20"/>
          <w:highlight w:val="none"/>
          <w:lang w:val="en-US" w:eastAsia="en-US" w:bidi="ar-SA"/>
        </w:rPr>
        <w:t>总</w:t>
      </w:r>
      <w:r>
        <w:rPr>
          <w:rFonts w:hint="eastAsia" w:ascii="仿宋" w:hAnsi="仿宋" w:eastAsia="仿宋" w:cs="仿宋"/>
          <w:b w:val="0"/>
          <w:snapToGrid w:val="0"/>
          <w:color w:val="auto"/>
          <w:kern w:val="2"/>
          <w:sz w:val="20"/>
          <w:szCs w:val="20"/>
          <w:highlight w:val="none"/>
          <w:lang w:val="zh-CN" w:eastAsia="en-US" w:bidi="ar-SA"/>
        </w:rPr>
        <w:t>报价一致。</w:t>
      </w:r>
    </w:p>
    <w:p w14:paraId="214660F9">
      <w:pPr>
        <w:keepNext w:val="0"/>
        <w:keepLines w:val="0"/>
        <w:pageBreakBefore w:val="0"/>
        <w:widowControl w:val="0"/>
        <w:tabs>
          <w:tab w:val="left" w:pos="5580"/>
        </w:tabs>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 w:val="0"/>
          <w:snapToGrid w:val="0"/>
          <w:color w:val="auto"/>
          <w:kern w:val="2"/>
          <w:sz w:val="20"/>
          <w:szCs w:val="20"/>
          <w:highlight w:val="none"/>
          <w:lang w:val="en-US" w:eastAsia="zh-CN" w:bidi="ar-SA"/>
        </w:rPr>
      </w:pPr>
      <w:r>
        <w:rPr>
          <w:rFonts w:hint="eastAsia" w:ascii="仿宋" w:hAnsi="仿宋" w:eastAsia="仿宋" w:cs="仿宋"/>
          <w:b w:val="0"/>
          <w:snapToGrid w:val="0"/>
          <w:color w:val="auto"/>
          <w:kern w:val="2"/>
          <w:sz w:val="20"/>
          <w:szCs w:val="20"/>
          <w:highlight w:val="none"/>
          <w:lang w:val="en-US" w:eastAsia="zh-CN" w:bidi="ar-SA"/>
        </w:rPr>
        <w:t>3.供应商可根据采购内容及要求在原有服务内容的基础上自行增加分项报价内容。</w:t>
      </w:r>
    </w:p>
    <w:p w14:paraId="17765B20">
      <w:pPr>
        <w:keepNext w:val="0"/>
        <w:keepLines w:val="0"/>
        <w:pageBreakBefore w:val="0"/>
        <w:widowControl w:val="0"/>
        <w:tabs>
          <w:tab w:val="left" w:pos="5580"/>
        </w:tabs>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 w:val="0"/>
          <w:snapToGrid w:val="0"/>
          <w:color w:val="auto"/>
          <w:kern w:val="2"/>
          <w:sz w:val="20"/>
          <w:szCs w:val="20"/>
          <w:highlight w:val="none"/>
          <w:lang w:val="zh-CN" w:eastAsia="zh-CN" w:bidi="ar-SA"/>
        </w:rPr>
      </w:pPr>
    </w:p>
    <w:p w14:paraId="3908AC12">
      <w:pPr>
        <w:keepNext w:val="0"/>
        <w:keepLines w:val="0"/>
        <w:pageBreakBefore w:val="0"/>
        <w:shd w:val="clear"/>
        <w:wordWrap/>
        <w:overflowPunct/>
        <w:topLinePunct w:val="0"/>
        <w:bidi w:val="0"/>
        <w:spacing w:line="360" w:lineRule="auto"/>
        <w:ind w:firstLine="4600" w:firstLineChars="2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4EABC9A2">
      <w:pPr>
        <w:keepNext w:val="0"/>
        <w:keepLines w:val="0"/>
        <w:pageBreakBefore w:val="0"/>
        <w:shd w:val="clear"/>
        <w:wordWrap/>
        <w:overflowPunct/>
        <w:topLinePunct w:val="0"/>
        <w:bidi w:val="0"/>
        <w:spacing w:line="36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6A91E9BC">
      <w:pPr>
        <w:keepNext w:val="0"/>
        <w:keepLines w:val="0"/>
        <w:pageBreakBefore w:val="0"/>
        <w:shd w:val="clear"/>
        <w:wordWrap/>
        <w:overflowPunct/>
        <w:topLinePunct w:val="0"/>
        <w:bidi w:val="0"/>
        <w:spacing w:line="36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09A8508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3A1C8A"/>
    <w:rsid w:val="783A1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目录"/>
    <w:basedOn w:val="1"/>
    <w:qFormat/>
    <w:uiPriority w:val="0"/>
    <w:pPr>
      <w:widowControl/>
      <w:jc w:val="center"/>
    </w:pPr>
    <w:rPr>
      <w:rFonts w:ascii="宋体" w:hAnsi="Times New Roman" w:cs="Times New Roman"/>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2026-06-30T03:52:00Z</dcterms:created>
  <dc:creator>ttt</dc:creator>
  <cp:lastModifiedBy>ttt</cp:lastModifiedBy>
  <dcterms:modified xsi:type="dcterms:W3CDTF">2026-06-30T03:52:57Z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D0DC1FB4EAD6468DAF5E21846A66C589_11</vt:lpwstr>
  </property>
  <property fmtid="{D5CDD505-2E9C-101B-9397-08002B2CF9AE}" pid="4" name="KSOTemplateDocerSaveRecord">
    <vt:lpwstr>eyJoZGlkIjoiNWJlMTZkNzkxYTk2ZWMzMDUxYmFlZDhhYTA3N2E0OTEiLCJ1c2VySWQiOiI3NTg1MTk3MDIifQ==</vt:lpwstr>
  </property>
</Properties>
</file>