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版本号：ZMZB2026SYDX-37720260822001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化学化工学院实验室环境安全提升改造项目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ZMZB2026SYDX-377</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化学化工学院实验室环境安全提升改造项目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ZMZB2026SYDX-377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化学化工学院实验室环境安全提升改造项目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化学化工学院实验室环境安全提升改造项目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采购包1（化学化工学院实验室环境安全提升改造项目）：属于专门面向中小企业采购。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8、供应商企业资质：具备建设行政主管部门颁发的建筑工程施工总承包三级及以上资质证书或建筑装修装饰工程专业承包二级及以上资质，具备有效的安全生产许可证</w:t>
      </w:r>
    </w:p>
    <w:p>
      <w:pPr>
        <w:pStyle w:val="null3"/>
      </w:pPr>
      <w:r>
        <w:rPr>
          <w:rFonts w:ascii="仿宋_GB2312" w:hAnsi="仿宋_GB2312" w:cs="仿宋_GB2312" w:eastAsia="仿宋_GB2312"/>
        </w:rPr>
        <w:t>9、拟派项目负责人资质及专业要求：拟派项目经理须具备建筑工程专业二级以上（含二级）注册建造师执业资格证（在本单位注册）及有效的安全生产考核合格证（建安B证），未担任其它在建工程的项目经理（提供承诺）</w:t>
      </w:r>
    </w:p>
    <w:p>
      <w:pPr>
        <w:pStyle w:val="null3"/>
      </w:pPr>
      <w:r>
        <w:rPr>
          <w:rFonts w:ascii="仿宋_GB2312" w:hAnsi="仿宋_GB2312" w:cs="仿宋_GB2312" w:eastAsia="仿宋_GB2312"/>
        </w:rPr>
        <w:t>10、外地企业备案：外地企业提供在“陕西省建筑市场监管与诚信信息一体化平台”上登记的基本信息界面截图</w:t>
      </w:r>
    </w:p>
    <w:p>
      <w:pPr>
        <w:pStyle w:val="null3"/>
      </w:pPr>
      <w:r>
        <w:rPr>
          <w:rFonts w:ascii="仿宋_GB2312" w:hAnsi="仿宋_GB2312" w:cs="仿宋_GB2312" w:eastAsia="仿宋_GB2312"/>
        </w:rPr>
        <w:t>11、非联合体投标：提供非联合体投标声明函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029-88382833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董菊莉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使用的PPR管、墙面涂料、水泥、混凝土、石膏板、建筑陶瓷制品等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代理服务费收费标准：采购代理服务费参照国家计委颁布的《招标代理服务收费管理暂行办法》（计价格[2002]1980号）号文件收费标准的90%收取。 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踏勘时间：2026-08-31 14:30:00</w:t>
            </w:r>
          </w:p>
          <w:p>
            <w:pPr>
              <w:pStyle w:val="null3"/>
              <w:ind w:firstLine="975"/>
            </w:pPr>
            <w:r>
              <w:rPr>
                <w:rFonts w:ascii="仿宋_GB2312" w:hAnsi="仿宋_GB2312" w:cs="仿宋_GB2312" w:eastAsia="仿宋_GB2312"/>
              </w:rPr>
              <w:t>踏勘地点：鄠邑校区东门</w:t>
            </w:r>
          </w:p>
          <w:p>
            <w:pPr>
              <w:pStyle w:val="null3"/>
              <w:ind w:firstLine="975"/>
            </w:pPr>
            <w:r>
              <w:rPr>
                <w:rFonts w:ascii="仿宋_GB2312" w:hAnsi="仿宋_GB2312" w:cs="仿宋_GB2312" w:eastAsia="仿宋_GB2312"/>
              </w:rPr>
              <w:t>联系人：董菊莉 侯倩雨</w:t>
            </w:r>
          </w:p>
          <w:p>
            <w:pPr>
              <w:pStyle w:val="null3"/>
              <w:ind w:firstLine="975"/>
            </w:pPr>
            <w:r>
              <w:rPr>
                <w:rFonts w:ascii="仿宋_GB2312" w:hAnsi="仿宋_GB2312" w:cs="仿宋_GB2312" w:eastAsia="仿宋_GB2312"/>
              </w:rPr>
              <w:t>联系电话号码：17778966062</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1,638,552.21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鄠邑校区化学化工学院实验室环境安全提升改造项目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标的名称：鄠邑校区化学化工学院实验室环境安全提升改造项目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化学化工学院实验室环境安全提升改造项目计划对西安石油大学鄠邑校区行知楼</w:t>
            </w:r>
            <w:r>
              <w:rPr>
                <w:rFonts w:ascii="仿宋_GB2312" w:hAnsi="仿宋_GB2312" w:cs="仿宋_GB2312" w:eastAsia="仿宋_GB2312"/>
              </w:rPr>
              <w:t>3、4层部分房间以及1层部分房间共计31间实验室进行装修改造，包括拆除讲台、黑板14套，拆除木地板2618平方米并在原区域整体浇筑水泥自流平；完成41套水柜安装及相关水路铺设，完成31间实验室整体电路升级；完成专用通风橱采购、现场改造和安装调试；完成通风系统、77套气瓶柜（含固定接地装置、气体报警接口、现场摆放就位、安全固定等），25套紧急喷淋装置安装及相关水路铺设等，本项目旨在消除原电子工程实验室因功能转型为化学化工实验室后所遗留的通风不畅、防腐失效、电气不匹配及消防不足等结构性安全隐患，使实验室环境满足师生基本安全使用条件，切实保障教学科研活动的正常开展。</w:t>
            </w:r>
          </w:p>
          <w:p>
            <w:pPr>
              <w:pStyle w:val="null3"/>
            </w:pPr>
            <w:r>
              <w:rPr>
                <w:rFonts w:ascii="仿宋_GB2312" w:hAnsi="仿宋_GB2312" w:cs="仿宋_GB2312" w:eastAsia="仿宋_GB2312"/>
              </w:rPr>
              <w:t>（二）标准要求</w:t>
            </w:r>
          </w:p>
          <w:p>
            <w:pPr>
              <w:pStyle w:val="null3"/>
            </w:pPr>
            <w:r>
              <w:rPr>
                <w:rFonts w:ascii="仿宋_GB2312" w:hAnsi="仿宋_GB2312" w:cs="仿宋_GB2312" w:eastAsia="仿宋_GB2312"/>
              </w:rPr>
              <w:t>1.依据设计文件的要求，本工程项目的施工、材料和设备安装等技术和工艺环节须达到现行的中华人民共和国以及陕西省、西安市的工程建设标准或行业规程的要求。当各级、各类标准及规范中的同一条文规定有出入时，以较严格者为准。</w:t>
            </w:r>
          </w:p>
          <w:p>
            <w:pPr>
              <w:pStyle w:val="null3"/>
            </w:pPr>
            <w:r>
              <w:rPr>
                <w:rFonts w:ascii="仿宋_GB2312" w:hAnsi="仿宋_GB2312" w:cs="仿宋_GB2312" w:eastAsia="仿宋_GB2312"/>
              </w:rPr>
              <w:t>1.1《民用建筑电气设计标准》</w:t>
            </w:r>
            <w:r>
              <w:rPr>
                <w:rFonts w:ascii="仿宋_GB2312" w:hAnsi="仿宋_GB2312" w:cs="仿宋_GB2312" w:eastAsia="仿宋_GB2312"/>
              </w:rPr>
              <w:t>GB51348-2019</w:t>
            </w:r>
          </w:p>
          <w:p>
            <w:pPr>
              <w:pStyle w:val="null3"/>
            </w:pPr>
            <w:r>
              <w:rPr>
                <w:rFonts w:ascii="仿宋_GB2312" w:hAnsi="仿宋_GB2312" w:cs="仿宋_GB2312" w:eastAsia="仿宋_GB2312"/>
              </w:rPr>
              <w:t>1.2《供配电系统设计规范》GB50052-2009</w:t>
            </w:r>
          </w:p>
          <w:p>
            <w:pPr>
              <w:pStyle w:val="null3"/>
            </w:pPr>
            <w:r>
              <w:rPr>
                <w:rFonts w:ascii="仿宋_GB2312" w:hAnsi="仿宋_GB2312" w:cs="仿宋_GB2312" w:eastAsia="仿宋_GB2312"/>
              </w:rPr>
              <w:t>1.3《建筑照明设计标准》 GB50034-2013</w:t>
            </w:r>
          </w:p>
          <w:p>
            <w:pPr>
              <w:pStyle w:val="null3"/>
            </w:pPr>
            <w:r>
              <w:rPr>
                <w:rFonts w:ascii="仿宋_GB2312" w:hAnsi="仿宋_GB2312" w:cs="仿宋_GB2312" w:eastAsia="仿宋_GB2312"/>
              </w:rPr>
              <w:t>1.4《教育建筑电气设计规范》</w:t>
            </w:r>
            <w:r>
              <w:rPr>
                <w:rFonts w:ascii="仿宋_GB2312" w:hAnsi="仿宋_GB2312" w:cs="仿宋_GB2312" w:eastAsia="仿宋_GB2312"/>
              </w:rPr>
              <w:t>JGJ 310-2013</w:t>
            </w:r>
          </w:p>
          <w:p>
            <w:pPr>
              <w:pStyle w:val="null3"/>
            </w:pPr>
            <w:r>
              <w:rPr>
                <w:rFonts w:ascii="仿宋_GB2312" w:hAnsi="仿宋_GB2312" w:cs="仿宋_GB2312" w:eastAsia="仿宋_GB2312"/>
              </w:rPr>
              <w:t>1.5《建筑装饰工程施工及验收规范》GB20210-2001</w:t>
            </w:r>
          </w:p>
          <w:p>
            <w:pPr>
              <w:pStyle w:val="null3"/>
            </w:pPr>
            <w:r>
              <w:rPr>
                <w:rFonts w:ascii="仿宋_GB2312" w:hAnsi="仿宋_GB2312" w:cs="仿宋_GB2312" w:eastAsia="仿宋_GB2312"/>
              </w:rPr>
              <w:t>根据工程设计要求，该项工程项目的施工、材料、设备和安装等除达到以上标准外，还应满足设计要求和招标人在招标文件中的有关要求。</w:t>
            </w:r>
          </w:p>
          <w:p>
            <w:pPr>
              <w:pStyle w:val="null3"/>
            </w:pPr>
            <w:r>
              <w:rPr>
                <w:rFonts w:ascii="仿宋_GB2312" w:hAnsi="仿宋_GB2312" w:cs="仿宋_GB2312" w:eastAsia="仿宋_GB2312"/>
              </w:rPr>
              <w:t xml:space="preserve">  </w:t>
            </w:r>
            <w:r>
              <w:rPr>
                <w:rFonts w:ascii="仿宋_GB2312" w:hAnsi="仿宋_GB2312" w:cs="仿宋_GB2312" w:eastAsia="仿宋_GB2312"/>
              </w:rPr>
              <w:t>（三）电气要求</w:t>
            </w:r>
          </w:p>
          <w:p>
            <w:pPr>
              <w:pStyle w:val="null3"/>
            </w:pPr>
            <w:r>
              <w:rPr>
                <w:rFonts w:ascii="仿宋_GB2312" w:hAnsi="仿宋_GB2312" w:cs="仿宋_GB2312" w:eastAsia="仿宋_GB2312"/>
              </w:rPr>
              <w:t>1.本次改造范围为局部改造。三层及四层照明配电线路电源均由原有层配电箱5AL1引出，三层及四层照明配电线路电源均由原有层配电箱4AL2、5AL2引出，负荷等级：均为三级负荷。</w:t>
            </w:r>
          </w:p>
          <w:p>
            <w:pPr>
              <w:pStyle w:val="null3"/>
            </w:pPr>
            <w:r>
              <w:rPr>
                <w:rFonts w:ascii="仿宋_GB2312" w:hAnsi="仿宋_GB2312" w:cs="仿宋_GB2312" w:eastAsia="仿宋_GB2312"/>
              </w:rPr>
              <w:t>2.穿管墙外明配，导线根数为2—3根穿SC20，4—5根穿SC25。</w:t>
            </w:r>
          </w:p>
          <w:p>
            <w:pPr>
              <w:pStyle w:val="null3"/>
            </w:pPr>
            <w:r>
              <w:rPr>
                <w:rFonts w:ascii="仿宋_GB2312" w:hAnsi="仿宋_GB2312" w:cs="仿宋_GB2312" w:eastAsia="仿宋_GB2312"/>
              </w:rPr>
              <w:t>3.照明线路中全部采用单相三线制。插座回路配管配线方式为BV-3x4-SC25，每路插座回路均安装漏电保护器。插座除具体要求外安装高度均为0.3M.</w:t>
            </w:r>
          </w:p>
          <w:p>
            <w:pPr>
              <w:pStyle w:val="null3"/>
            </w:pPr>
            <w:r>
              <w:rPr>
                <w:rFonts w:ascii="仿宋_GB2312" w:hAnsi="仿宋_GB2312" w:cs="仿宋_GB2312" w:eastAsia="仿宋_GB2312"/>
              </w:rPr>
              <w:t>4.配电间内线路均为明敷，所有孔洞待电气设备安装完成后用防火堵料封堵.</w:t>
            </w:r>
          </w:p>
          <w:p>
            <w:pPr>
              <w:pStyle w:val="null3"/>
            </w:pPr>
            <w:r>
              <w:rPr>
                <w:rFonts w:ascii="仿宋_GB2312" w:hAnsi="仿宋_GB2312" w:cs="仿宋_GB2312" w:eastAsia="仿宋_GB2312"/>
              </w:rPr>
              <w:t>（四）建筑要求</w:t>
            </w:r>
          </w:p>
          <w:p>
            <w:pPr>
              <w:pStyle w:val="null3"/>
            </w:pPr>
            <w:r>
              <w:rPr>
                <w:rFonts w:ascii="仿宋_GB2312" w:hAnsi="仿宋_GB2312" w:cs="仿宋_GB2312" w:eastAsia="仿宋_GB2312"/>
              </w:rPr>
              <w:t>1.本工程所用材料规格、材质、施工及验收等要求，均应遵照国家现行标准、各项工程施工及验收规范进行。</w:t>
            </w:r>
          </w:p>
          <w:p>
            <w:pPr>
              <w:pStyle w:val="null3"/>
            </w:pPr>
            <w:r>
              <w:rPr>
                <w:rFonts w:ascii="仿宋_GB2312" w:hAnsi="仿宋_GB2312" w:cs="仿宋_GB2312" w:eastAsia="仿宋_GB2312"/>
              </w:rPr>
              <w:t>2.工程室内所选用的建筑材料和装修材料，不得使用国家禁止使用，限制使用的建筑材料。应选用符合规范GB 50325-2020要求的材料。建筑工程所使用的砂、石、砖、砌块、水泥、混凝土，混凝土预制构件等无机非金属建筑主体材料的放射性限量，应符合现行国家标准《建筑材料放射性核素限量》GB 6566的规定。建筑工程所使用的无机非金属装修材料，包括石材，建筑卫生陶瓷、石膏板、吊顶材料、无机陶质砖新接材料等，其放射性限量应分类符合现行国家标准《建筑材料放射性核素限量》GB 6566的规定。</w:t>
            </w:r>
          </w:p>
          <w:p>
            <w:pPr>
              <w:pStyle w:val="null3"/>
            </w:pPr>
            <w:r>
              <w:rPr>
                <w:rFonts w:ascii="仿宋_GB2312" w:hAnsi="仿宋_GB2312" w:cs="仿宋_GB2312" w:eastAsia="仿宋_GB2312"/>
              </w:rPr>
              <w:t>3.建筑工程室内装修中所使用的木质材料、严禁采用沥青、煤焦油类防腐、防潮处理剂。建筑工程室内装修时，严禁使用苯、工业苯、石油苯，重质苯及混苯作为稀释剂和溶剂。</w:t>
            </w:r>
          </w:p>
          <w:p>
            <w:pPr>
              <w:pStyle w:val="null3"/>
            </w:pPr>
            <w:r>
              <w:rPr>
                <w:rFonts w:ascii="仿宋_GB2312" w:hAnsi="仿宋_GB2312" w:cs="仿宋_GB2312" w:eastAsia="仿宋_GB2312"/>
              </w:rPr>
              <w:t>（五）装饰要求</w:t>
            </w:r>
          </w:p>
          <w:p>
            <w:pPr>
              <w:pStyle w:val="null3"/>
            </w:pPr>
            <w:r>
              <w:rPr>
                <w:rFonts w:ascii="仿宋_GB2312" w:hAnsi="仿宋_GB2312" w:cs="仿宋_GB2312" w:eastAsia="仿宋_GB2312"/>
              </w:rPr>
              <w:t>1.室内二次装修设计：应满足消防安全、使用功能、节能及环保等要求，不得超过结构楼面设计荷载值。也不得任意更改公用的给排水管道、暖通风管及消防设施，不得任意降低吊顶控制标高以及改动吊顶上的通风与消防设施，不应减少安全出口及疏散走道的净宽和数量。</w:t>
            </w:r>
          </w:p>
          <w:p>
            <w:pPr>
              <w:pStyle w:val="null3"/>
            </w:pPr>
            <w:r>
              <w:rPr>
                <w:rFonts w:ascii="仿宋_GB2312" w:hAnsi="仿宋_GB2312" w:cs="仿宋_GB2312" w:eastAsia="仿宋_GB2312"/>
              </w:rPr>
              <w:t>2.未经技术鉴定和设计认可，不得破坏建筑主体结构承重构件，不得拆改结构构件和加层改造、增设隔墙或墙体移位。</w:t>
            </w:r>
          </w:p>
          <w:p>
            <w:pPr>
              <w:pStyle w:val="null3"/>
            </w:pPr>
            <w:r>
              <w:rPr>
                <w:rFonts w:ascii="仿宋_GB2312" w:hAnsi="仿宋_GB2312" w:cs="仿宋_GB2312" w:eastAsia="仿宋_GB2312"/>
              </w:rPr>
              <w:t>3.室内为混合砂浆粉刷时，墙、柱和门洞口的阳角，应用每侧宽度＞50。</w:t>
            </w:r>
          </w:p>
          <w:p>
            <w:pPr>
              <w:pStyle w:val="null3"/>
            </w:pPr>
            <w:r>
              <w:rPr>
                <w:rFonts w:ascii="仿宋_GB2312" w:hAnsi="仿宋_GB2312" w:cs="仿宋_GB2312" w:eastAsia="仿宋_GB2312"/>
              </w:rPr>
              <w:t>4.有吊顶的房间，装饰面层应做至吊顶标高以上100mm处。</w:t>
            </w:r>
          </w:p>
          <w:p>
            <w:pPr>
              <w:pStyle w:val="null3"/>
            </w:pPr>
            <w:r>
              <w:rPr>
                <w:rFonts w:ascii="仿宋_GB2312" w:hAnsi="仿宋_GB2312" w:cs="仿宋_GB2312" w:eastAsia="仿宋_GB2312"/>
              </w:rPr>
              <w:t>5.不同材料交接处，应在找平层中附加耐碱玻璃纤维网格布，两边搭接不小于100mm，防止墙体开裂。</w:t>
            </w:r>
          </w:p>
          <w:p>
            <w:pPr>
              <w:pStyle w:val="null3"/>
            </w:pPr>
            <w:r>
              <w:rPr>
                <w:rFonts w:ascii="仿宋_GB2312" w:hAnsi="仿宋_GB2312" w:cs="仿宋_GB2312" w:eastAsia="仿宋_GB2312"/>
              </w:rPr>
              <w:t>6.室内采暖立管、给排水立管、雨水管未设在管道井内时可统一由装修统一包管。</w:t>
            </w:r>
          </w:p>
          <w:p>
            <w:pPr>
              <w:pStyle w:val="null3"/>
            </w:pPr>
            <w:r>
              <w:rPr>
                <w:rFonts w:ascii="仿宋_GB2312" w:hAnsi="仿宋_GB2312" w:cs="仿宋_GB2312" w:eastAsia="仿宋_GB2312"/>
              </w:rPr>
              <w:t>7.设有地漏的房间均应做防水层，未注明整个房间找坡者，在地漏周围1米范围内向地漏找1%～2%坡。</w:t>
            </w:r>
          </w:p>
          <w:p>
            <w:pPr>
              <w:pStyle w:val="null3"/>
            </w:pPr>
            <w:r>
              <w:rPr>
                <w:rFonts w:ascii="仿宋_GB2312" w:hAnsi="仿宋_GB2312" w:cs="仿宋_GB2312" w:eastAsia="仿宋_GB2312"/>
              </w:rPr>
              <w:t>8.及时清理施工现场垃圾。</w:t>
            </w:r>
          </w:p>
          <w:p>
            <w:pPr>
              <w:pStyle w:val="null3"/>
            </w:pPr>
            <w:r>
              <w:rPr>
                <w:rFonts w:ascii="仿宋_GB2312" w:hAnsi="仿宋_GB2312" w:cs="仿宋_GB2312" w:eastAsia="仿宋_GB2312"/>
              </w:rPr>
              <w:t>（六）以下内容为对本工程的最基本要求，包括但不限于：</w:t>
            </w:r>
          </w:p>
          <w:p>
            <w:pPr>
              <w:pStyle w:val="null3"/>
            </w:pPr>
            <w:r>
              <w:rPr>
                <w:rFonts w:ascii="仿宋_GB2312" w:hAnsi="仿宋_GB2312" w:cs="仿宋_GB2312" w:eastAsia="仿宋_GB2312"/>
              </w:rPr>
              <w:t>1.施工单位项目负责人是安全生产第一责任人，施工单位应建立健全安全生产责任制度和安全教育培训、安全生产检查和安全生产操作规程等各项规章制度；向施工作业人员提供符合相关标准的劳动安全防护用品（具），为施工人员缴纳意外伤害保险。</w:t>
            </w:r>
          </w:p>
          <w:p>
            <w:pPr>
              <w:pStyle w:val="null3"/>
            </w:pPr>
            <w:r>
              <w:rPr>
                <w:rFonts w:ascii="仿宋_GB2312" w:hAnsi="仿宋_GB2312" w:cs="仿宋_GB2312" w:eastAsia="仿宋_GB2312"/>
              </w:rPr>
              <w:t>2.施工单位应根据工程特点和周边各种管线管网、相邻建筑物以及绿化等其他设施编制工程安全防护措施方案。该方案经施工单位技术负责人签字批准送建设单位审核后方可施工。</w:t>
            </w:r>
          </w:p>
          <w:p>
            <w:pPr>
              <w:pStyle w:val="null3"/>
            </w:pPr>
            <w:r>
              <w:rPr>
                <w:rFonts w:ascii="仿宋_GB2312" w:hAnsi="仿宋_GB2312" w:cs="仿宋_GB2312" w:eastAsia="仿宋_GB2312"/>
              </w:rPr>
              <w:t>3.施工单位在施工现场应建立项目部，并按规定配备专职安全员。现场专职安全员必须持有安全生产考核合格证。</w:t>
            </w:r>
          </w:p>
          <w:p>
            <w:pPr>
              <w:pStyle w:val="null3"/>
            </w:pPr>
            <w:r>
              <w:rPr>
                <w:rFonts w:ascii="仿宋_GB2312" w:hAnsi="仿宋_GB2312" w:cs="仿宋_GB2312" w:eastAsia="仿宋_GB2312"/>
              </w:rPr>
              <w:t>4.关键部位作业人员必须经专业安全技术培训后方可上岗。必要时施工前施工单位对施工作业人员进行安全技术交底，派出技术人员到现场指导，专职安全员在现场监督安全管理。另外施工单位必须制定安全事故应急救援方案。</w:t>
            </w:r>
          </w:p>
          <w:p>
            <w:pPr>
              <w:pStyle w:val="null3"/>
            </w:pPr>
            <w:r>
              <w:rPr>
                <w:rFonts w:ascii="仿宋_GB2312" w:hAnsi="仿宋_GB2312" w:cs="仿宋_GB2312" w:eastAsia="仿宋_GB2312"/>
              </w:rPr>
              <w:t>5.拆除时不得野蛮施工、不得对附近建筑物、路灯、规划外的树木等造成损害。</w:t>
            </w:r>
          </w:p>
          <w:p>
            <w:pPr>
              <w:pStyle w:val="null3"/>
            </w:pPr>
            <w:r>
              <w:rPr>
                <w:rFonts w:ascii="仿宋_GB2312" w:hAnsi="仿宋_GB2312" w:cs="仿宋_GB2312" w:eastAsia="仿宋_GB2312"/>
              </w:rPr>
              <w:t>6.施工单位对工程的周边环境和施工区域内的环境卫生负责。</w:t>
            </w:r>
          </w:p>
          <w:p>
            <w:pPr>
              <w:pStyle w:val="null3"/>
            </w:pPr>
            <w:r>
              <w:rPr>
                <w:rFonts w:ascii="仿宋_GB2312" w:hAnsi="仿宋_GB2312" w:cs="仿宋_GB2312" w:eastAsia="仿宋_GB2312"/>
              </w:rPr>
              <w:t>五、项目管理要求</w:t>
            </w:r>
          </w:p>
          <w:p>
            <w:pPr>
              <w:pStyle w:val="null3"/>
            </w:pPr>
            <w:r>
              <w:rPr>
                <w:rFonts w:ascii="仿宋_GB2312" w:hAnsi="仿宋_GB2312" w:cs="仿宋_GB2312" w:eastAsia="仿宋_GB2312"/>
              </w:rPr>
              <w:t>1.本项目不得分包、转包。</w:t>
            </w:r>
          </w:p>
          <w:p>
            <w:pPr>
              <w:pStyle w:val="null3"/>
            </w:pPr>
            <w:r>
              <w:rPr>
                <w:rFonts w:ascii="仿宋_GB2312" w:hAnsi="仿宋_GB2312" w:cs="仿宋_GB2312" w:eastAsia="仿宋_GB2312"/>
              </w:rPr>
              <w:t>2.供应商在竞争性磋商响应文件中承诺的项目负责人及相应资质的专业技术、安全管理人员未经采购人书面同意，承包人不得调换和撤离，并按工程进度及时到位。采购人有权要求施工单位撤换工作不负责任、管理不力、贻误工期和造成严重安全事故和违法乱纪的专业技术、安全管理人员。如项目负责人及相应资质的专业技术人员未按要求到位，视作违约，采购人有权按合同约定进行罚款直至单方面终止合同。</w:t>
            </w:r>
          </w:p>
          <w:p>
            <w:pPr>
              <w:pStyle w:val="null3"/>
            </w:pPr>
            <w:r>
              <w:rPr>
                <w:rFonts w:ascii="仿宋_GB2312" w:hAnsi="仿宋_GB2312" w:cs="仿宋_GB2312" w:eastAsia="仿宋_GB2312"/>
              </w:rPr>
              <w:t>3.成交供应商须无条件接受甲方代表的现场检查和管理。</w:t>
            </w:r>
          </w:p>
          <w:p>
            <w:pPr>
              <w:pStyle w:val="null3"/>
            </w:pPr>
            <w:r>
              <w:rPr>
                <w:rFonts w:ascii="仿宋_GB2312" w:hAnsi="仿宋_GB2312" w:cs="仿宋_GB2312" w:eastAsia="仿宋_GB2312"/>
              </w:rPr>
              <w:t>4.成交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学校无关。</w:t>
            </w:r>
          </w:p>
          <w:p>
            <w:pPr>
              <w:pStyle w:val="null3"/>
            </w:pPr>
            <w:r>
              <w:rPr>
                <w:rFonts w:ascii="仿宋_GB2312" w:hAnsi="仿宋_GB2312" w:cs="仿宋_GB2312" w:eastAsia="仿宋_GB2312"/>
                <w:sz w:val="21"/>
              </w:rPr>
              <w:t>5.施工的建筑垃圾应清运至有关部门指定的地点，做到工完场清，不留死角。</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工程质量和验收需符合国家相关标准和规范。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一、商务要求：1.工期：33日历天。2.质保期：验收合格后两年； 3.实施地点：西安石油大学指定地点；4.付款方式：此工程无预付款，工程施工完毕，经采购人验收合格后，10日内支付合同总价款的80%；经工程审计结算审核后10日内，扣除核定总造价1%的水电费，余款一次性支付。办理付款时，供应商应提供增值税专用发票。承包人应按要求向发包人递交竣工结算报告及完整的结算资料，并对递交的报告及资料的完整性负全责。若出现漏报，损失由承包人承担。工程竣工验收合格，发包人在收到竣工结算报告及完整的结算资料后，按相关要求对承包人提供的竣工结算资料进行审计。发包人委托有资质的造价咨询机构进行审计，基本审计费由发包人承担，审减额在5%以内（含5%），发生的审核成果费由发包人承担；审减额5%以上的审核成果费由承包人承担。 注：商务要求不允许负偏离。 二、纸质文件递交： 中标供应商应在中标结果发布后2日内提供与电子化交易平台上传一致的纸质投标文件2份，电子版壹套（U盘【已标价工程量清单（广联达云计价平台生成电子投标文件，格式为GBQ7及SXTB4）、已标价工程量清单PDF版本及Excel版文件】线下递交文件地点： 西安市雁塔区科技路30号合力紫郡B座21层。磋商保证金以电子保函形式递交需在开标前给shanxizhuoming_zb@163.com发一份扫描件。供应商投标保证金缴纳完成后请致电代理机构财务部门确认投标保证金到账情况，电话：029-81875979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提供开标截止时间前12个月内任意一个月的依法缴纳税收的相关凭据（时间以税款所属时期为准），凭据应有税务机关或代收机关的公章或业务专用章。依法免税或无须缴纳税收的供应商应提供相应证明文件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供应商企业资质</w:t>
            </w:r>
          </w:p>
        </w:tc>
        <w:tc>
          <w:tcPr>
            <w:tcW w:type="dxa" w:w="3322"/>
          </w:tcPr>
          <w:p>
            <w:pPr>
              <w:pStyle w:val="null3"/>
            </w:pPr>
            <w:r>
              <w:rPr>
                <w:rFonts w:ascii="仿宋_GB2312" w:hAnsi="仿宋_GB2312" w:cs="仿宋_GB2312" w:eastAsia="仿宋_GB2312"/>
              </w:rPr>
              <w:t>具备建设行政主管部门颁发的建筑工程施工总承包三级及以上资质证书或建筑装修装饰工程专业承包二级及以上资质，具备有效的安全生产许可证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拟派项目经理须具备建筑工程专业二级以上（含二级）注册建造师执业资格证（在本单位注册）及有效的安全生产考核合格证（建安B证），未担任其它在建工程的项目经理（提供承诺）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外地企业备案</w:t>
            </w:r>
          </w:p>
        </w:tc>
        <w:tc>
          <w:tcPr>
            <w:tcW w:type="dxa" w:w="332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 （合格） 投标文件的签署、盖章不符合采购文件要求 (不合格)</w:t>
            </w:r>
          </w:p>
        </w:tc>
        <w:tc>
          <w:tcPr>
            <w:tcW w:type="dxa" w:w="1661"/>
          </w:tcPr>
          <w:p>
            <w:pPr>
              <w:pStyle w:val="null3"/>
            </w:pPr>
            <w:r>
              <w:rPr>
                <w:rFonts w:ascii="仿宋_GB2312" w:hAnsi="仿宋_GB2312" w:cs="仿宋_GB2312" w:eastAsia="仿宋_GB2312"/>
              </w:rPr>
              <w:t>响应文件封面 已标价工程量清单 供应商资格要求.docx 中小企业声明函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响应文件封面 实质性商务部分偏离表.docx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响应文件封面 实质性商务部分偏离表.docx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响应文件无响应有效期</w:t>
            </w:r>
          </w:p>
        </w:tc>
        <w:tc>
          <w:tcPr>
            <w:tcW w:type="dxa" w:w="3322"/>
          </w:tcPr>
          <w:p>
            <w:pPr>
              <w:pStyle w:val="null3"/>
            </w:pPr>
            <w:r>
              <w:rPr>
                <w:rFonts w:ascii="仿宋_GB2312" w:hAnsi="仿宋_GB2312" w:cs="仿宋_GB2312" w:eastAsia="仿宋_GB2312"/>
              </w:rPr>
              <w:t>响应文件有效期达到竞争性磋商文件要求的（合格） 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已标价工程量清单扉页是否(仅指投标总价扉页)加盖有注册或登记的造价人员签字并盖执业印章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或工程造价咨询企业(提供双方合作协议)的造价人员签字并盖执业印章（合格）；已标价工程量清单扉页(仅指投标总价扉页)未加盖注册或登记在本单位的造价人员签字并盖执业印章或工程造价咨询企业(提供双方合作协议)的造价人员签字并盖执业印章（不合格）</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响应文件未出现工程量漏项或工程量清单与要求不符的（合格） 响应文件出现工程量漏项或工程量清单与要求不符的（不合格）</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响应文件封面 已标价工程量清单 供应商资格要求.docx 实质性商务部分偏离表.docx 中小企业声明函 报价函 供应商认为有必要说明的其他问题.docx 标的清单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一、评审内容 供应商针对本项目提供施工组织设计。内容包括①施工方案及施工技术措施 ；②确保工程质量的技术组织措施；③确保安全生产的技术组织措施；④确保工期的技术组织措施；⑤确保文明施工的技术组织措施及环境保护措施；⑥施工机械配备和材料投入计划；⑦施工进度表或施工网络图；⑧项目经理部及劳动力安排计划；⑨施工总平面布置图及新技术、新产品、新工艺、新材料应用； 二、评审标准 1、完整性：方案须全面，对评审内容中的各项要求描述详细； 2、可实施性：切合本项目实际情况，实施步骤清晰、合理； 3、针对性：方案能够紧扣项目实际情况，内容科学合理。 三、赋分依据 ①施工方案及施工技术措施：每完全满足一个评审标准得 1分，满分 3分；未提供不得分； ②确保工程质量的技术组织措施：每完全满足一个评审标准得 1分，满分 3分；未提供不得分； ③确保安全生产的技术组织措施：每完全满足一个评审标准得 1分，满分3分；未提供不得分； ④确保工期的技术组织措施：每完全满足一个评审标准得 1分，满分 3 分；未提供不得分； ⑤确保文明施工的技术组织措施及环境保护措施：每完全满足 一个评审标准得 1分，满分 3分；未提供不得分； ⑥施工机械配备和材料投入计划：每完全满足一个评审标准得 1分，满分 3分；未提供不得分； ⑦施工进度表或施工网络图：每完全满足一个评审标准得1分，满分 3 分；未提供不得分； ⑧项目经理部及劳动力安排计划：每完全满足一个评审标准得1分，满分 3 分；未提供不得分； ⑨施工总平面布置图及新技术、新产品、新工艺、新材料应用：每完全满足一个评审标准得 1 分，满 分 3分；未提供不得分。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主要设备清单品目</w:t>
            </w:r>
          </w:p>
        </w:tc>
        <w:tc>
          <w:tcPr>
            <w:tcW w:type="dxa" w:w="2492"/>
          </w:tcPr>
          <w:p>
            <w:pPr>
              <w:pStyle w:val="null3"/>
            </w:pPr>
            <w:r>
              <w:rPr>
                <w:rFonts w:ascii="仿宋_GB2312" w:hAnsi="仿宋_GB2312" w:cs="仿宋_GB2312" w:eastAsia="仿宋_GB2312"/>
              </w:rPr>
              <w:t>投标人提供针对本项目拟投入施工主要设备（至少包含、化验盆、通风柜、通风机、气瓶柜、风机控制箱、阀门、塑料管）清单品目，主要材料清单品目完整，品牌、规格型号等明确得 2 分。未提供或不完整或品牌不明确不得分。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主要设备清单品目.docx</w:t>
            </w:r>
          </w:p>
        </w:tc>
      </w:tr>
      <w:tr>
        <w:tc>
          <w:tcPr>
            <w:tcW w:type="dxa" w:w="831"/>
            <w:vMerge/>
          </w:tcPr>
          <w:p/>
        </w:tc>
        <w:tc>
          <w:tcPr>
            <w:tcW w:type="dxa" w:w="1661"/>
          </w:tcPr>
          <w:p>
            <w:pPr>
              <w:pStyle w:val="null3"/>
            </w:pPr>
            <w:r>
              <w:rPr>
                <w:rFonts w:ascii="仿宋_GB2312" w:hAnsi="仿宋_GB2312" w:cs="仿宋_GB2312" w:eastAsia="仿宋_GB2312"/>
              </w:rPr>
              <w:t>主要设备技术参数</w:t>
            </w:r>
          </w:p>
        </w:tc>
        <w:tc>
          <w:tcPr>
            <w:tcW w:type="dxa" w:w="2492"/>
          </w:tcPr>
          <w:p>
            <w:pPr>
              <w:pStyle w:val="null3"/>
            </w:pPr>
            <w:r>
              <w:rPr>
                <w:rFonts w:ascii="仿宋_GB2312" w:hAnsi="仿宋_GB2312" w:cs="仿宋_GB2312" w:eastAsia="仿宋_GB2312"/>
              </w:rPr>
              <w:t>投标人提供针对本项目拟投入施工主要设备（ 化验盆、、通风柜、通风机、气瓶柜、风机控制箱、阀门、塑料管） 技术参数证明文件（检测机构出具的检测报告/制造商检验报告 /产品彩页/官网功能截图/技术白皮书等），每提供一项满足要求的产品得1分，最多得10分。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主要设备技术参数.docx</w:t>
            </w:r>
          </w:p>
        </w:tc>
      </w:tr>
      <w:tr>
        <w:tc>
          <w:tcPr>
            <w:tcW w:type="dxa" w:w="831"/>
            <w:vMerge/>
          </w:tcPr>
          <w:p/>
        </w:tc>
        <w:tc>
          <w:tcPr>
            <w:tcW w:type="dxa" w:w="1661"/>
          </w:tcPr>
          <w:p>
            <w:pPr>
              <w:pStyle w:val="null3"/>
            </w:pPr>
            <w:r>
              <w:rPr>
                <w:rFonts w:ascii="仿宋_GB2312" w:hAnsi="仿宋_GB2312" w:cs="仿宋_GB2312" w:eastAsia="仿宋_GB2312"/>
              </w:rPr>
              <w:t>主要材料及设备质量保证承诺</w:t>
            </w:r>
          </w:p>
        </w:tc>
        <w:tc>
          <w:tcPr>
            <w:tcW w:type="dxa" w:w="2492"/>
          </w:tcPr>
          <w:p>
            <w:pPr>
              <w:pStyle w:val="null3"/>
            </w:pPr>
            <w:r>
              <w:rPr>
                <w:rFonts w:ascii="仿宋_GB2312" w:hAnsi="仿宋_GB2312" w:cs="仿宋_GB2312" w:eastAsia="仿宋_GB2312"/>
              </w:rPr>
              <w:t>投标人提供无假冒产品、无翻新产品的书面承诺，得3分。未提供承诺书不得分，承诺书格式自拟。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主要材料及设备质量保证承诺.docx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①职称：具有中级职称，得1分；其他情况不得分。 注：以加盖供应商公章的职称证书为准。 ②学历：具有本科或以上得 1 分；具有专科学历的得0.5分； 其他情况不得分。 注：以加盖供应商公章的学历证书为准。 ③业绩：提供项目经理自 2023 年 7月 1 日至今（时间以合同签 订时间为准）的类似业绩合同，每提供 1 项得 1 分，最多得 3 分。 注：合同须体现项目经理姓名，项目经理业绩不可与企业业绩重复计分。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提供供应商自 2023 年 7 月 1 日至今（时间以合同签订时间为 准）的类似业绩合同，每提供 1 项得 1 分，最多得 5 分。 注：项目经理业绩不可与企业业绩重复计分。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在满足采购文件要求质保期（两年）的基础上，供应商可根据自身情况延长质保年限，质保期每增加1年得1分，最高5分。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实质性商务部分偏离表.docx</w:t>
            </w:r>
          </w:p>
        </w:tc>
      </w:tr>
      <w:tr>
        <w:tc>
          <w:tcPr>
            <w:tcW w:type="dxa" w:w="831"/>
            <w:vMerge/>
          </w:tcPr>
          <w:p/>
        </w:tc>
        <w:tc>
          <w:tcPr>
            <w:tcW w:type="dxa" w:w="1661"/>
          </w:tcPr>
          <w:p>
            <w:pPr>
              <w:pStyle w:val="null3"/>
            </w:pPr>
            <w:r>
              <w:rPr>
                <w:rFonts w:ascii="仿宋_GB2312" w:hAnsi="仿宋_GB2312" w:cs="仿宋_GB2312" w:eastAsia="仿宋_GB2312"/>
              </w:rPr>
              <w:t>保修期内服务方案</w:t>
            </w:r>
          </w:p>
        </w:tc>
        <w:tc>
          <w:tcPr>
            <w:tcW w:type="dxa" w:w="2492"/>
          </w:tcPr>
          <w:p>
            <w:pPr>
              <w:pStyle w:val="null3"/>
            </w:pPr>
            <w:r>
              <w:rPr>
                <w:rFonts w:ascii="仿宋_GB2312" w:hAnsi="仿宋_GB2312" w:cs="仿宋_GB2312" w:eastAsia="仿宋_GB2312"/>
              </w:rPr>
              <w:t>一、评审内容 供应商针对本项目提供施工组织设计。内容包括 ①质量保证期内的保障工作服务方案及工作计划；②维修保养服务内容及相关标准；③有巡查或复查计划及质量保障措施； ④对工程维修服务响应时限有明确的承诺。 二、评审标准 1、完整性：方案须全面，对评审内容中的各项要求描述详细； 2、可实施性：切合本项目实际情况，实施步骤清晰、合理； 3、针对性：方案能够紧扣项目实际情况，内容科学合理。 三、赋分依据 ①质量保证期内的保障工作服务方案及工作计划：每完全满足一个评审标准得 0.5分，满分 1.5分；未提供不得分； ②维修保养服务内容及相关标准：每完全满足一个评审标准得 0.5分，满分 1.5分；未提供不得分； ③有巡查或复查计划及质量保障措施：每完全满足一个评审标准得 0.5分，满分 1.5分；未提供不得分；④对工程维修服务响应时限有明确的承诺：每完全满足一个评审标准得 0.5分，满分 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保修期内服务方案.docx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供应商需提供具有节能、环境标志的产品，每提供1种节能（属于节能产品政府采购品目清单中应强制采购的产品范围以外）或环境标志产品，计1分，最高7分。注:需提供证明材料。</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详见附件：实质性商务部分偏离表.docx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详见附件：主要设备清单品目.docx</w:t>
      </w:r>
    </w:p>
    <w:p>
      <w:pPr>
        <w:pStyle w:val="null3"/>
        <w:ind w:firstLine="960"/>
      </w:pPr>
      <w:r>
        <w:rPr>
          <w:rFonts w:ascii="仿宋_GB2312" w:hAnsi="仿宋_GB2312" w:cs="仿宋_GB2312" w:eastAsia="仿宋_GB2312"/>
        </w:rPr>
        <w:t>详见附件：主要设备技术参数.docx</w:t>
      </w:r>
    </w:p>
    <w:p>
      <w:pPr>
        <w:pStyle w:val="null3"/>
        <w:ind w:firstLine="960"/>
      </w:pPr>
      <w:r>
        <w:rPr>
          <w:rFonts w:ascii="仿宋_GB2312" w:hAnsi="仿宋_GB2312" w:cs="仿宋_GB2312" w:eastAsia="仿宋_GB2312"/>
        </w:rPr>
        <w:t>详见附件：主要材料及设备质量保证承诺.docx</w:t>
      </w:r>
    </w:p>
    <w:p>
      <w:pPr>
        <w:pStyle w:val="null3"/>
        <w:ind w:firstLine="960"/>
      </w:pPr>
      <w:r>
        <w:rPr>
          <w:rFonts w:ascii="仿宋_GB2312" w:hAnsi="仿宋_GB2312" w:cs="仿宋_GB2312" w:eastAsia="仿宋_GB2312"/>
        </w:rPr>
        <w:t>详见附件：项目经理.docx</w:t>
      </w:r>
    </w:p>
    <w:p>
      <w:pPr>
        <w:pStyle w:val="null3"/>
        <w:ind w:firstLine="960"/>
      </w:pPr>
      <w:r>
        <w:rPr>
          <w:rFonts w:ascii="仿宋_GB2312" w:hAnsi="仿宋_GB2312" w:cs="仿宋_GB2312" w:eastAsia="仿宋_GB2312"/>
        </w:rPr>
        <w:t>详见附件：供应商业绩.docx</w:t>
      </w:r>
    </w:p>
    <w:p>
      <w:pPr>
        <w:pStyle w:val="null3"/>
        <w:ind w:firstLine="960"/>
      </w:pPr>
      <w:r>
        <w:rPr>
          <w:rFonts w:ascii="仿宋_GB2312" w:hAnsi="仿宋_GB2312" w:cs="仿宋_GB2312" w:eastAsia="仿宋_GB2312"/>
        </w:rPr>
        <w:t>详见附件：保修期内服务方案.docx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