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26F39">
      <w:pPr>
        <w:pStyle w:val="2"/>
        <w:numPr>
          <w:ilvl w:val="0"/>
          <w:numId w:val="0"/>
        </w:numPr>
        <w:spacing w:before="0" w:beforeAutospacing="0" w:after="0" w:afterAutospacing="0" w:line="480" w:lineRule="exact"/>
        <w:ind w:leftChars="0"/>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eastAsia="zh-CN"/>
        </w:rPr>
        <w:t>合同</w:t>
      </w:r>
      <w:r>
        <w:rPr>
          <w:rFonts w:hint="eastAsia" w:ascii="仿宋_GB2312" w:hAnsi="仿宋_GB2312" w:eastAsia="仿宋_GB2312" w:cs="仿宋_GB2312"/>
          <w:b/>
          <w:bCs/>
          <w:kern w:val="0"/>
          <w:sz w:val="32"/>
          <w:szCs w:val="32"/>
          <w:lang w:val="en-US" w:eastAsia="zh-CN"/>
        </w:rPr>
        <w:t>模板</w:t>
      </w:r>
    </w:p>
    <w:p w14:paraId="00CD9882">
      <w:pPr>
        <w:pStyle w:val="2"/>
        <w:numPr>
          <w:ilvl w:val="0"/>
          <w:numId w:val="0"/>
        </w:numPr>
        <w:spacing w:before="0" w:beforeAutospacing="0" w:after="0" w:afterAutospacing="0" w:line="480" w:lineRule="exact"/>
        <w:ind w:leftChars="0"/>
        <w:jc w:val="center"/>
        <w:rPr>
          <w:rFonts w:hint="default" w:ascii="仿宋_GB2312" w:hAnsi="仿宋_GB2312" w:eastAsia="仿宋_GB2312" w:cs="仿宋_GB2312"/>
          <w:b/>
          <w:bCs/>
          <w:kern w:val="0"/>
          <w:sz w:val="24"/>
          <w:lang w:val="en-US" w:eastAsia="zh-CN"/>
        </w:rPr>
      </w:pPr>
    </w:p>
    <w:p w14:paraId="50DBE50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仿宋" w:eastAsia="仿宋" w:cs="仿宋"/>
          <w:b/>
          <w:bCs/>
          <w:sz w:val="28"/>
          <w:szCs w:val="28"/>
          <w:lang w:eastAsia="zh-CN"/>
        </w:rPr>
      </w:pPr>
      <w:bookmarkStart w:id="0" w:name="_Toc423529083"/>
      <w:bookmarkStart w:id="1" w:name="_Toc423528747"/>
      <w:bookmarkStart w:id="2" w:name="_Toc424720404"/>
      <w:r>
        <w:rPr>
          <w:rFonts w:hint="eastAsia" w:ascii="仿宋" w:hAnsi="仿宋" w:eastAsia="仿宋" w:cs="仿宋"/>
          <w:b/>
          <w:bCs/>
          <w:sz w:val="28"/>
          <w:szCs w:val="28"/>
          <w:lang w:eastAsia="zh-CN"/>
        </w:rPr>
        <w:t>第一部分  协议书</w:t>
      </w:r>
      <w:bookmarkEnd w:id="0"/>
      <w:bookmarkEnd w:id="1"/>
      <w:bookmarkEnd w:id="2"/>
    </w:p>
    <w:p w14:paraId="154EC3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 xml:space="preserve">发包人（全称）：  西安石油大学                    </w:t>
      </w:r>
    </w:p>
    <w:p w14:paraId="3E5829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承包人（全称）： 　　　　　　　　　　　　　　　　　</w:t>
      </w:r>
    </w:p>
    <w:p w14:paraId="0C3668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依照《中华人民共和国民法典》、《中华人民共和国建筑法》等法律、行政法规，以及相关施工规范、标准，遵循平等、自愿、公平和诚实信用的原则，双方就“西安石油大学化学化工学院实验室环境安全提升改造项目”达成协议，承包人愿按本合同约定的付款方式承担本工程的全部施工任务，双方协商一致，订立本合同。</w:t>
      </w:r>
    </w:p>
    <w:p w14:paraId="48D161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bookmarkStart w:id="3" w:name="_Toc423528748"/>
      <w:bookmarkStart w:id="4" w:name="_Toc423529084"/>
      <w:bookmarkStart w:id="5" w:name="_Toc424720405"/>
      <w:r>
        <w:rPr>
          <w:rFonts w:hint="eastAsia" w:ascii="仿宋" w:hAnsi="Times New Roman" w:eastAsia="仿宋" w:cs="Times New Roman"/>
          <w:kern w:val="0"/>
          <w:sz w:val="24"/>
          <w:szCs w:val="24"/>
          <w:lang w:val="en-US" w:eastAsia="zh-CN" w:bidi="ar-SA"/>
        </w:rPr>
        <w:t>一、工程概况</w:t>
      </w:r>
      <w:bookmarkEnd w:id="3"/>
      <w:bookmarkEnd w:id="4"/>
      <w:bookmarkEnd w:id="5"/>
    </w:p>
    <w:p w14:paraId="74ECF0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 xml:space="preserve">工程名称：西安石油大学化学化工学院实验室环境安全提升改造项目　  </w:t>
      </w:r>
    </w:p>
    <w:p w14:paraId="00A037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工程地点：西安石油大学</w:t>
      </w:r>
      <w:bookmarkStart w:id="6" w:name="_Toc423529085"/>
      <w:bookmarkStart w:id="7" w:name="_Toc423528749"/>
      <w:bookmarkStart w:id="8" w:name="_Toc424720406"/>
      <w:r>
        <w:rPr>
          <w:rFonts w:hint="eastAsia" w:ascii="仿宋" w:hAnsi="Times New Roman" w:eastAsia="仿宋" w:cs="Times New Roman"/>
          <w:kern w:val="0"/>
          <w:sz w:val="24"/>
          <w:szCs w:val="24"/>
          <w:lang w:val="en-US" w:eastAsia="zh-CN" w:bidi="ar-SA"/>
        </w:rPr>
        <w:t>鄠邑校区</w:t>
      </w:r>
    </w:p>
    <w:p w14:paraId="3493F340">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auto"/>
        <w:rPr>
          <w:rFonts w:hint="default" w:ascii="仿宋" w:hAnsi="Times New Roman" w:eastAsia="仿宋" w:cs="Times New Roman"/>
          <w:bCs/>
          <w:lang w:val="en-US" w:eastAsia="zh-CN"/>
        </w:rPr>
      </w:pPr>
      <w:r>
        <w:rPr>
          <w:rFonts w:hint="eastAsia" w:ascii="仿宋" w:hAnsi="Times New Roman" w:eastAsia="仿宋" w:cs="Times New Roman"/>
          <w:kern w:val="0"/>
          <w:sz w:val="24"/>
          <w:szCs w:val="24"/>
          <w:lang w:val="en-US" w:eastAsia="zh-CN" w:bidi="ar-SA"/>
        </w:rPr>
        <w:t>工程承包范围</w:t>
      </w:r>
      <w:bookmarkEnd w:id="6"/>
      <w:bookmarkEnd w:id="7"/>
      <w:bookmarkEnd w:id="8"/>
      <w:bookmarkStart w:id="9" w:name="_Toc423528750"/>
      <w:bookmarkStart w:id="10" w:name="_Toc424720407"/>
      <w:bookmarkStart w:id="11" w:name="_Toc423529086"/>
    </w:p>
    <w:p w14:paraId="3B56B8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Calibri" w:eastAsia="仿宋" w:cs="Times New Roman"/>
          <w:bCs/>
          <w:kern w:val="0"/>
          <w:sz w:val="24"/>
          <w:szCs w:val="24"/>
          <w:lang w:val="en-US" w:eastAsia="zh-CN" w:bidi="ar-SA"/>
        </w:rPr>
      </w:pPr>
      <w:r>
        <w:rPr>
          <w:rFonts w:hint="eastAsia" w:ascii="仿宋" w:hAnsi="仿宋" w:eastAsia="仿宋" w:cs="仿宋"/>
          <w:b w:val="0"/>
          <w:bCs w:val="0"/>
          <w:sz w:val="24"/>
          <w:szCs w:val="24"/>
          <w:lang w:val="en-US" w:eastAsia="zh-CN"/>
        </w:rPr>
        <w:t>拟对化学化工学院实验室环境安全提升改造项目，</w:t>
      </w:r>
      <w:r>
        <w:rPr>
          <w:rFonts w:hint="eastAsia" w:ascii="仿宋" w:hAnsi="Calibri" w:eastAsia="仿宋" w:cs="Times New Roman"/>
          <w:bCs/>
          <w:kern w:val="0"/>
          <w:sz w:val="24"/>
          <w:szCs w:val="24"/>
          <w:lang w:val="en-US" w:eastAsia="zh-CN" w:bidi="ar-SA"/>
        </w:rPr>
        <w:t>行知楼3、4层部分房间以及1层部分房间共计31间实验室进行装修改造</w:t>
      </w:r>
      <w:r>
        <w:rPr>
          <w:rFonts w:hint="default" w:ascii="仿宋" w:hAnsi="Calibri" w:eastAsia="仿宋" w:cs="Times New Roman"/>
          <w:bCs/>
          <w:kern w:val="0"/>
          <w:sz w:val="24"/>
          <w:szCs w:val="24"/>
          <w:lang w:val="en-US" w:eastAsia="zh-CN" w:bidi="ar-SA"/>
        </w:rPr>
        <w:t>，</w:t>
      </w:r>
      <w:r>
        <w:rPr>
          <w:rFonts w:hint="eastAsia" w:ascii="仿宋" w:hAnsi="Calibri" w:eastAsia="仿宋" w:cs="Times New Roman"/>
          <w:bCs/>
          <w:kern w:val="0"/>
          <w:sz w:val="24"/>
          <w:szCs w:val="24"/>
          <w:lang w:val="en-US" w:eastAsia="zh-CN" w:bidi="ar-SA"/>
        </w:rPr>
        <w:t>包括拆除讲台、黑板14套，拆除木地板2618平方米并在原区域整体浇筑水泥自流平；完成41套水柜安装及相关水路铺设，完成31间实验室整体电路升级；完成专用通风橱采购、现场改造和安装调试；完成通风系统、77套气瓶柜（含固定接地装置、气体报警接口、现场摆放就位、安全固定等），25套紧急喷淋装置安装及相关水路铺设等改造内容。</w:t>
      </w:r>
    </w:p>
    <w:p w14:paraId="5499D0B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施工要求</w:t>
      </w:r>
      <w:bookmarkEnd w:id="9"/>
      <w:bookmarkEnd w:id="10"/>
      <w:bookmarkEnd w:id="11"/>
    </w:p>
    <w:p w14:paraId="3729E81C">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hint="eastAsia" w:ascii="仿宋" w:hAnsi="仿宋" w:eastAsia="仿宋" w:cs="仿宋"/>
          <w:b/>
          <w:bCs/>
          <w:sz w:val="24"/>
          <w:szCs w:val="24"/>
          <w:lang w:eastAsia="zh-CN"/>
        </w:rPr>
      </w:pPr>
      <w:bookmarkStart w:id="12" w:name="_Toc424720408"/>
      <w:bookmarkStart w:id="13" w:name="_Toc423528751"/>
      <w:bookmarkStart w:id="14" w:name="_Toc423529087"/>
      <w:r>
        <w:rPr>
          <w:rFonts w:hint="eastAsia" w:ascii="仿宋" w:hAnsi="仿宋" w:eastAsia="仿宋" w:cs="仿宋"/>
          <w:b/>
          <w:bCs/>
          <w:sz w:val="24"/>
          <w:szCs w:val="24"/>
          <w:lang w:eastAsia="zh-CN"/>
        </w:rPr>
        <w:t>（一）标准要求</w:t>
      </w:r>
    </w:p>
    <w:p w14:paraId="06FC7F51">
      <w:pPr>
        <w:spacing w:line="360" w:lineRule="auto"/>
        <w:ind w:firstLine="480" w:firstLineChars="200"/>
        <w:rPr>
          <w:rFonts w:hint="eastAsia" w:ascii="仿宋_GB2312" w:hAnsi="仿宋_GB2312" w:eastAsia="仿宋_GB2312" w:cs="仿宋_GB2312"/>
          <w:sz w:val="24"/>
          <w:szCs w:val="24"/>
        </w:rPr>
      </w:pPr>
      <w:r>
        <w:rPr>
          <w:rFonts w:hint="eastAsia" w:ascii="仿宋" w:hAnsi="Times New Roman" w:eastAsia="仿宋" w:cs="Times New Roman"/>
          <w:kern w:val="0"/>
          <w:sz w:val="24"/>
          <w:szCs w:val="24"/>
          <w:lang w:val="en-US" w:eastAsia="zh-CN" w:bidi="ar-SA"/>
        </w:rPr>
        <w:t>1.</w:t>
      </w:r>
      <w:r>
        <w:rPr>
          <w:rFonts w:hint="eastAsia" w:ascii="仿宋_GB2312" w:hAnsi="仿宋_GB2312" w:eastAsia="仿宋_GB2312" w:cs="仿宋_GB2312"/>
          <w:sz w:val="24"/>
          <w:szCs w:val="24"/>
        </w:rPr>
        <w:t>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14:paraId="1F082B0D">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1.1《民用建筑电气设计标准》</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t>GB51348-2019</w:t>
      </w:r>
    </w:p>
    <w:p w14:paraId="35CF64C2">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1.2</w:t>
      </w:r>
      <w:r>
        <w:rPr>
          <w:rFonts w:hint="eastAsia" w:ascii="仿宋_GB2312" w:hAnsi="仿宋_GB2312" w:eastAsia="仿宋_GB2312" w:cs="仿宋_GB2312"/>
          <w:sz w:val="24"/>
          <w:szCs w:val="24"/>
        </w:rPr>
        <w:t>《供配电系统设计规范》GB50052-2009</w:t>
      </w:r>
    </w:p>
    <w:p w14:paraId="5D79C326">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《建筑照明设计标准》 GB50034-2013</w:t>
      </w:r>
    </w:p>
    <w:p w14:paraId="14C9BF0B">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1.4《教育建筑电气设计规范》</w:t>
      </w:r>
      <w:r>
        <w:rPr>
          <w:rFonts w:hint="eastAsia" w:ascii="仿宋_GB2312" w:hAnsi="仿宋_GB2312" w:eastAsia="仿宋_GB2312" w:cs="仿宋_GB2312"/>
          <w:sz w:val="24"/>
          <w:szCs w:val="24"/>
          <w:lang w:val="en-US" w:eastAsia="zh-CN"/>
        </w:rPr>
        <w:tab/>
      </w:r>
      <w:r>
        <w:rPr>
          <w:rFonts w:hint="eastAsia" w:ascii="仿宋_GB2312" w:hAnsi="仿宋_GB2312" w:eastAsia="仿宋_GB2312" w:cs="仿宋_GB2312"/>
          <w:sz w:val="24"/>
          <w:szCs w:val="24"/>
          <w:lang w:val="en-US" w:eastAsia="zh-CN"/>
        </w:rPr>
        <w:t>JGJ 310-2013</w:t>
      </w:r>
    </w:p>
    <w:p w14:paraId="547E1D51">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1.5《建筑装饰工程施工及验收规范》GB20210-2001</w:t>
      </w:r>
    </w:p>
    <w:p w14:paraId="6F6B12E9">
      <w:pPr>
        <w:numPr>
          <w:ilvl w:val="0"/>
          <w:numId w:val="2"/>
        </w:num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根据工程设计要求，该项工程项目的施工、材料、设备和安装等除达到以上标准外，还应满足设计要求和招标人在招标文件中的有关要求。  </w:t>
      </w:r>
    </w:p>
    <w:p w14:paraId="5518DFC7">
      <w:pPr>
        <w:numPr>
          <w:ilvl w:val="0"/>
          <w:numId w:val="0"/>
        </w:numPr>
        <w:spacing w:line="360" w:lineRule="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b/>
          <w:bCs/>
          <w:sz w:val="24"/>
          <w:szCs w:val="24"/>
          <w:lang w:val="en-US" w:eastAsia="zh-CN"/>
        </w:rPr>
        <w:t>（二）电气要求</w:t>
      </w:r>
    </w:p>
    <w:p w14:paraId="46DCC8F2">
      <w:pPr>
        <w:spacing w:line="360" w:lineRule="auto"/>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本次改造范围为局部改造。</w:t>
      </w:r>
      <w:r>
        <w:rPr>
          <w:rFonts w:hint="eastAsia" w:ascii="仿宋_GB2312" w:hAnsi="仿宋_GB2312" w:eastAsia="仿宋_GB2312" w:cs="仿宋_GB2312"/>
          <w:sz w:val="24"/>
          <w:szCs w:val="24"/>
          <w:lang w:val="en-US" w:eastAsia="zh-CN"/>
        </w:rPr>
        <w:t>三</w:t>
      </w:r>
      <w:r>
        <w:rPr>
          <w:rFonts w:hint="eastAsia" w:ascii="仿宋_GB2312" w:hAnsi="仿宋_GB2312" w:eastAsia="仿宋_GB2312" w:cs="仿宋_GB2312"/>
          <w:sz w:val="24"/>
          <w:szCs w:val="24"/>
          <w:lang w:eastAsia="zh-CN"/>
        </w:rPr>
        <w:t>层</w:t>
      </w:r>
      <w:r>
        <w:rPr>
          <w:rFonts w:hint="eastAsia" w:ascii="仿宋_GB2312" w:hAnsi="仿宋_GB2312" w:eastAsia="仿宋_GB2312" w:cs="仿宋_GB2312"/>
          <w:sz w:val="24"/>
          <w:szCs w:val="24"/>
          <w:lang w:val="en-US" w:eastAsia="zh-CN"/>
        </w:rPr>
        <w:t>及四层</w:t>
      </w:r>
      <w:r>
        <w:rPr>
          <w:rFonts w:hint="eastAsia" w:ascii="仿宋_GB2312" w:hAnsi="仿宋_GB2312" w:eastAsia="仿宋_GB2312" w:cs="仿宋_GB2312"/>
          <w:sz w:val="24"/>
          <w:szCs w:val="24"/>
          <w:lang w:eastAsia="zh-CN"/>
        </w:rPr>
        <w:t>照明配电线路电源均由原有层配电箱5AL1引出，</w:t>
      </w:r>
      <w:r>
        <w:rPr>
          <w:rFonts w:hint="eastAsia" w:ascii="仿宋_GB2312" w:hAnsi="仿宋_GB2312" w:eastAsia="仿宋_GB2312" w:cs="仿宋_GB2312"/>
          <w:sz w:val="24"/>
          <w:szCs w:val="24"/>
          <w:lang w:val="en-US" w:eastAsia="zh-CN"/>
        </w:rPr>
        <w:t>三</w:t>
      </w:r>
      <w:r>
        <w:rPr>
          <w:rFonts w:hint="eastAsia" w:ascii="仿宋_GB2312" w:hAnsi="仿宋_GB2312" w:eastAsia="仿宋_GB2312" w:cs="仿宋_GB2312"/>
          <w:sz w:val="24"/>
          <w:szCs w:val="24"/>
          <w:lang w:eastAsia="zh-CN"/>
        </w:rPr>
        <w:t>层</w:t>
      </w:r>
      <w:r>
        <w:rPr>
          <w:rFonts w:hint="eastAsia" w:ascii="仿宋_GB2312" w:hAnsi="仿宋_GB2312" w:eastAsia="仿宋_GB2312" w:cs="仿宋_GB2312"/>
          <w:sz w:val="24"/>
          <w:szCs w:val="24"/>
          <w:lang w:val="en-US" w:eastAsia="zh-CN"/>
        </w:rPr>
        <w:t>及四层</w:t>
      </w:r>
      <w:r>
        <w:rPr>
          <w:rFonts w:hint="eastAsia" w:ascii="仿宋_GB2312" w:hAnsi="仿宋_GB2312" w:eastAsia="仿宋_GB2312" w:cs="仿宋_GB2312"/>
          <w:sz w:val="24"/>
          <w:szCs w:val="24"/>
          <w:lang w:eastAsia="zh-CN"/>
        </w:rPr>
        <w:t>照明配电线路电源均由原有层配电箱4AL2、5AL2引出，负荷等级：均为三级负荷。</w:t>
      </w:r>
    </w:p>
    <w:p w14:paraId="5186A381">
      <w:pPr>
        <w:spacing w:line="360" w:lineRule="auto"/>
        <w:ind w:left="840" w:hanging="840" w:hangingChars="35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2</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穿管墙</w:t>
      </w:r>
      <w:r>
        <w:rPr>
          <w:rFonts w:hint="eastAsia" w:ascii="仿宋_GB2312" w:hAnsi="仿宋_GB2312" w:eastAsia="仿宋_GB2312" w:cs="仿宋_GB2312"/>
          <w:sz w:val="24"/>
          <w:szCs w:val="24"/>
          <w:lang w:val="en-US" w:eastAsia="zh-CN"/>
        </w:rPr>
        <w:t>外明</w:t>
      </w:r>
      <w:r>
        <w:rPr>
          <w:rFonts w:hint="eastAsia" w:ascii="仿宋_GB2312" w:hAnsi="仿宋_GB2312" w:eastAsia="仿宋_GB2312" w:cs="仿宋_GB2312"/>
          <w:sz w:val="24"/>
          <w:szCs w:val="24"/>
          <w:lang w:eastAsia="zh-CN"/>
        </w:rPr>
        <w:t>配，导线根数为2—3根穿SC20,4—5根穿SC25。</w:t>
      </w:r>
    </w:p>
    <w:p w14:paraId="3C80C285">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3.照明线路中全部采用单相三线制。插座回路配管配线方式为BV-3x4-SC25，每路插座回路均安装漏电保护器。插座除具体要求外安装高度均为0.3M.</w:t>
      </w:r>
    </w:p>
    <w:p w14:paraId="08BEA7F3">
      <w:pPr>
        <w:keepNext w:val="0"/>
        <w:keepLines w:val="0"/>
        <w:pageBreakBefore w:val="0"/>
        <w:widowControl w:val="0"/>
        <w:kinsoku/>
        <w:wordWrap/>
        <w:overflowPunct/>
        <w:topLinePunct w:val="0"/>
        <w:autoSpaceDE/>
        <w:autoSpaceDN/>
        <w:bidi w:val="0"/>
        <w:adjustRightInd/>
        <w:snapToGrid/>
        <w:spacing w:line="360" w:lineRule="auto"/>
        <w:ind w:left="0" w:firstLine="48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4.配电间内线路均为明敷，所有孔洞待电气设备安装完成后用防火堵料封堵。</w:t>
      </w:r>
    </w:p>
    <w:p w14:paraId="6A084420">
      <w:pPr>
        <w:spacing w:line="360" w:lineRule="auto"/>
        <w:rPr>
          <w:rFonts w:hint="default" w:ascii="仿宋_GB2312" w:hAnsi="仿宋_GB2312" w:eastAsia="仿宋_GB2312" w:cs="仿宋_GB2312"/>
          <w:b/>
          <w:bCs w:val="0"/>
          <w:sz w:val="24"/>
          <w:szCs w:val="24"/>
          <w:lang w:val="en-US" w:eastAsia="zh-CN"/>
        </w:rPr>
      </w:pPr>
      <w:r>
        <w:rPr>
          <w:rFonts w:hint="eastAsia" w:ascii="仿宋_GB2312" w:hAnsi="仿宋_GB2312" w:eastAsia="仿宋_GB2312" w:cs="仿宋_GB2312"/>
          <w:b/>
          <w:bCs w:val="0"/>
          <w:sz w:val="24"/>
          <w:szCs w:val="24"/>
          <w:lang w:val="en-US" w:eastAsia="zh-CN"/>
        </w:rPr>
        <w:t>（三）建筑要求</w:t>
      </w:r>
    </w:p>
    <w:p w14:paraId="76EF7030">
      <w:pPr>
        <w:widowControl/>
        <w:spacing w:line="360" w:lineRule="auto"/>
        <w:ind w:firstLine="240" w:firstLineChars="100"/>
        <w:jc w:val="left"/>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1.本工程所用材料规格、材质、施工及验收等要求，均应遵照国家现行标准、各项工程施工及验收规范进行。</w:t>
      </w:r>
    </w:p>
    <w:p w14:paraId="55C4762A">
      <w:pPr>
        <w:widowControl/>
        <w:spacing w:line="360" w:lineRule="auto"/>
        <w:ind w:firstLine="240" w:firstLineChars="100"/>
        <w:jc w:val="left"/>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2.工程室内所选用的建筑材料和装修材料，不得使用国家禁止使用，限制使用的建筑材料：应选用符合规范GB 50325-2020要求的材料。建筑工程所使用的砂、石、砖、砌块、水泥、混凝土，混凝土预制构件等无机非金属建筑主体材料的放射性限量，应符合现行国家标准《建筑材料放射性核素限量》GB 6566的规定。建筑工程所使用的无机非金属装修材料，包括石材，建筑卫生陶瓷、石膏板、吊顶材料、无机陶质砖新接材料等，其放射性限量应分类符合现行国家标准《建筑材料放射性核素限量》GB 6566的规定。</w:t>
      </w:r>
    </w:p>
    <w:p w14:paraId="24A134A6">
      <w:pPr>
        <w:widowControl/>
        <w:spacing w:line="360" w:lineRule="auto"/>
        <w:ind w:firstLine="240" w:firstLineChars="100"/>
        <w:jc w:val="left"/>
        <w:rPr>
          <w:rFonts w:hint="eastAsia"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3.建筑工程室内装修中所使用的木质材料、严禁采用沥青、煤焦油类防腐、防潮处理剂；建筑工程室内装修时，严禁使用苯、工业苯、石油苯，重质苯及混苯作为稀释剂和溶剂。</w:t>
      </w:r>
    </w:p>
    <w:p w14:paraId="23705A1E">
      <w:pPr>
        <w:spacing w:line="360" w:lineRule="auto"/>
        <w:rPr>
          <w:rFonts w:hint="eastAsia" w:ascii="仿宋_GB2312" w:hAnsi="仿宋_GB2312" w:eastAsia="仿宋_GB2312" w:cs="仿宋_GB2312"/>
          <w:bCs/>
          <w:snapToGrid w:val="0"/>
          <w:sz w:val="24"/>
          <w:szCs w:val="24"/>
        </w:rPr>
      </w:pPr>
      <w:r>
        <w:rPr>
          <w:rFonts w:hint="eastAsia" w:ascii="仿宋_GB2312" w:hAnsi="仿宋_GB2312" w:eastAsia="仿宋_GB2312" w:cs="仿宋_GB2312"/>
          <w:b/>
          <w:bCs/>
          <w:snapToGrid w:val="0"/>
          <w:color w:val="000000"/>
          <w:sz w:val="24"/>
          <w:szCs w:val="24"/>
        </w:rPr>
        <w:t>（</w:t>
      </w:r>
      <w:r>
        <w:rPr>
          <w:rFonts w:hint="eastAsia" w:ascii="仿宋_GB2312" w:hAnsi="仿宋_GB2312" w:eastAsia="仿宋_GB2312" w:cs="仿宋_GB2312"/>
          <w:b/>
          <w:bCs/>
          <w:snapToGrid w:val="0"/>
          <w:color w:val="000000"/>
          <w:sz w:val="24"/>
          <w:szCs w:val="24"/>
          <w:lang w:val="en-US" w:eastAsia="zh-CN"/>
        </w:rPr>
        <w:t>四</w:t>
      </w:r>
      <w:r>
        <w:rPr>
          <w:rFonts w:hint="eastAsia" w:ascii="仿宋_GB2312" w:hAnsi="仿宋_GB2312" w:eastAsia="仿宋_GB2312" w:cs="仿宋_GB2312"/>
          <w:b/>
          <w:bCs/>
          <w:snapToGrid w:val="0"/>
          <w:color w:val="000000"/>
          <w:sz w:val="24"/>
          <w:szCs w:val="24"/>
        </w:rPr>
        <w:t>）</w:t>
      </w:r>
      <w:r>
        <w:rPr>
          <w:rFonts w:hint="eastAsia" w:ascii="仿宋_GB2312" w:hAnsi="仿宋_GB2312" w:eastAsia="仿宋_GB2312" w:cs="仿宋_GB2312"/>
          <w:b/>
          <w:bCs/>
          <w:snapToGrid w:val="0"/>
          <w:color w:val="000000"/>
          <w:sz w:val="24"/>
          <w:szCs w:val="24"/>
          <w:lang w:eastAsia="zh-CN"/>
        </w:rPr>
        <w:t>装饰要求</w:t>
      </w:r>
    </w:p>
    <w:p w14:paraId="4F52257C">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1.</w:t>
      </w:r>
      <w:r>
        <w:rPr>
          <w:rFonts w:hint="eastAsia" w:ascii="仿宋_GB2312" w:hAnsi="仿宋_GB2312" w:eastAsia="仿宋_GB2312" w:cs="仿宋_GB2312"/>
          <w:bCs/>
          <w:snapToGrid w:val="0"/>
          <w:color w:val="000000"/>
          <w:sz w:val="24"/>
          <w:szCs w:val="24"/>
        </w:rPr>
        <w:t>室内二次装修设计：应满足消防安全、使用功能、节能及环保等要求，不得超过结构楼面设计荷载值。也不得任意更改公用的给排水管道、暖通风管及消防设施</w:t>
      </w:r>
      <w:r>
        <w:rPr>
          <w:rFonts w:hint="eastAsia" w:ascii="仿宋_GB2312" w:hAnsi="仿宋_GB2312" w:eastAsia="仿宋_GB2312" w:cs="仿宋_GB2312"/>
          <w:bCs/>
          <w:snapToGrid w:val="0"/>
          <w:color w:val="000000"/>
          <w:sz w:val="24"/>
          <w:szCs w:val="24"/>
          <w:lang w:eastAsia="zh-CN"/>
        </w:rPr>
        <w:t>，</w:t>
      </w:r>
      <w:r>
        <w:rPr>
          <w:rFonts w:hint="eastAsia" w:ascii="仿宋_GB2312" w:hAnsi="仿宋_GB2312" w:eastAsia="仿宋_GB2312" w:cs="仿宋_GB2312"/>
          <w:bCs/>
          <w:snapToGrid w:val="0"/>
          <w:color w:val="000000"/>
          <w:sz w:val="24"/>
          <w:szCs w:val="24"/>
        </w:rPr>
        <w:t>不得任意降低吊顶控制标高以及改动吊顶上的通风与消防设施</w:t>
      </w:r>
      <w:r>
        <w:rPr>
          <w:rFonts w:hint="eastAsia" w:ascii="仿宋_GB2312" w:hAnsi="仿宋_GB2312" w:eastAsia="仿宋_GB2312" w:cs="仿宋_GB2312"/>
          <w:bCs/>
          <w:snapToGrid w:val="0"/>
          <w:color w:val="000000"/>
          <w:sz w:val="24"/>
          <w:szCs w:val="24"/>
          <w:lang w:eastAsia="zh-CN"/>
        </w:rPr>
        <w:t>，</w:t>
      </w:r>
      <w:r>
        <w:rPr>
          <w:rFonts w:hint="eastAsia" w:ascii="仿宋_GB2312" w:hAnsi="仿宋_GB2312" w:eastAsia="仿宋_GB2312" w:cs="仿宋_GB2312"/>
          <w:bCs/>
          <w:snapToGrid w:val="0"/>
          <w:color w:val="000000"/>
          <w:sz w:val="24"/>
          <w:szCs w:val="24"/>
        </w:rPr>
        <w:t>不应减少安全出口及疏散走道的净宽和数量。</w:t>
      </w:r>
    </w:p>
    <w:p w14:paraId="2B9663D6">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2.</w:t>
      </w:r>
      <w:r>
        <w:rPr>
          <w:rFonts w:hint="eastAsia" w:ascii="仿宋_GB2312" w:hAnsi="仿宋_GB2312" w:eastAsia="仿宋_GB2312" w:cs="仿宋_GB2312"/>
          <w:bCs/>
          <w:snapToGrid w:val="0"/>
          <w:color w:val="000000"/>
          <w:sz w:val="24"/>
          <w:szCs w:val="24"/>
        </w:rPr>
        <w:t>未经技术鉴定和设计认可，不得破坏建筑主体结构承重构件，不得拆改结构构件和加层改造、增设隔墙或墙体移位。</w:t>
      </w:r>
    </w:p>
    <w:p w14:paraId="7D2D5FC9">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3.</w:t>
      </w:r>
      <w:r>
        <w:rPr>
          <w:rFonts w:hint="eastAsia" w:ascii="仿宋_GB2312" w:hAnsi="仿宋_GB2312" w:eastAsia="仿宋_GB2312" w:cs="仿宋_GB2312"/>
          <w:bCs/>
          <w:snapToGrid w:val="0"/>
          <w:color w:val="000000"/>
          <w:sz w:val="24"/>
          <w:szCs w:val="24"/>
        </w:rPr>
        <w:t>室内为混合砂浆粉刷时，墙、柱和门洞口的阳角，应用每侧宽度＞50</w:t>
      </w:r>
    </w:p>
    <w:p w14:paraId="092E933E">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4.</w:t>
      </w:r>
      <w:r>
        <w:rPr>
          <w:rFonts w:hint="eastAsia" w:ascii="仿宋_GB2312" w:hAnsi="仿宋_GB2312" w:eastAsia="仿宋_GB2312" w:cs="仿宋_GB2312"/>
          <w:bCs/>
          <w:snapToGrid w:val="0"/>
          <w:color w:val="000000"/>
          <w:sz w:val="24"/>
          <w:szCs w:val="24"/>
        </w:rPr>
        <w:t>有吊顶的房间，装饰面层应做至吊顶标高以上100</w:t>
      </w:r>
      <w:r>
        <w:rPr>
          <w:rFonts w:hint="eastAsia" w:ascii="仿宋_GB2312" w:hAnsi="仿宋_GB2312" w:eastAsia="仿宋_GB2312" w:cs="仿宋_GB2312"/>
          <w:bCs/>
          <w:snapToGrid w:val="0"/>
          <w:color w:val="000000"/>
          <w:sz w:val="24"/>
          <w:szCs w:val="24"/>
          <w:lang w:eastAsia="zh-CN"/>
        </w:rPr>
        <w:t xml:space="preserve"> mm处</w:t>
      </w:r>
      <w:r>
        <w:rPr>
          <w:rFonts w:hint="eastAsia" w:ascii="仿宋_GB2312" w:hAnsi="仿宋_GB2312" w:eastAsia="仿宋_GB2312" w:cs="仿宋_GB2312"/>
          <w:bCs/>
          <w:snapToGrid w:val="0"/>
          <w:color w:val="000000"/>
          <w:sz w:val="24"/>
          <w:szCs w:val="24"/>
        </w:rPr>
        <w:t>。</w:t>
      </w:r>
    </w:p>
    <w:p w14:paraId="65016CDB">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5.</w:t>
      </w:r>
      <w:r>
        <w:rPr>
          <w:rFonts w:hint="eastAsia" w:ascii="仿宋_GB2312" w:hAnsi="仿宋_GB2312" w:eastAsia="仿宋_GB2312" w:cs="仿宋_GB2312"/>
          <w:bCs/>
          <w:snapToGrid w:val="0"/>
          <w:color w:val="000000"/>
          <w:sz w:val="24"/>
          <w:szCs w:val="24"/>
        </w:rPr>
        <w:t>不同材料交接处，应在找平层中附加耐碱玻璃纤维网格布，两边搭接不小于100，防止墙体开裂。</w:t>
      </w:r>
    </w:p>
    <w:p w14:paraId="563213EA">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6.</w:t>
      </w:r>
      <w:r>
        <w:rPr>
          <w:rFonts w:hint="eastAsia" w:ascii="仿宋_GB2312" w:hAnsi="仿宋_GB2312" w:eastAsia="仿宋_GB2312" w:cs="仿宋_GB2312"/>
          <w:bCs/>
          <w:snapToGrid w:val="0"/>
          <w:color w:val="000000"/>
          <w:sz w:val="24"/>
          <w:szCs w:val="24"/>
        </w:rPr>
        <w:t>室内采暖立管、给排水立管、雨水管未设在管道井内时可统一由装修统一包管。</w:t>
      </w:r>
    </w:p>
    <w:p w14:paraId="2BB036DC">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仿宋_GB2312" w:hAnsi="仿宋_GB2312" w:eastAsia="仿宋_GB2312" w:cs="仿宋_GB2312"/>
          <w:bCs/>
          <w:snapToGrid w:val="0"/>
          <w:color w:val="000000"/>
          <w:sz w:val="24"/>
          <w:szCs w:val="24"/>
        </w:rPr>
      </w:pPr>
      <w:r>
        <w:rPr>
          <w:rFonts w:hint="eastAsia" w:ascii="仿宋_GB2312" w:hAnsi="仿宋_GB2312" w:eastAsia="仿宋_GB2312" w:cs="仿宋_GB2312"/>
          <w:bCs/>
          <w:snapToGrid w:val="0"/>
          <w:color w:val="000000"/>
          <w:sz w:val="24"/>
          <w:szCs w:val="24"/>
          <w:lang w:val="en-US" w:eastAsia="zh-CN"/>
        </w:rPr>
        <w:t>7.</w:t>
      </w:r>
      <w:r>
        <w:rPr>
          <w:rFonts w:hint="eastAsia" w:ascii="仿宋_GB2312" w:hAnsi="仿宋_GB2312" w:eastAsia="仿宋_GB2312" w:cs="仿宋_GB2312"/>
          <w:bCs/>
          <w:snapToGrid w:val="0"/>
          <w:color w:val="000000"/>
          <w:sz w:val="24"/>
          <w:szCs w:val="24"/>
        </w:rPr>
        <w:t>设有地漏的房间均应做防水层，未注明整个房间找坡者，在地漏周围1米范围内向地漏找</w:t>
      </w:r>
      <w:r>
        <w:rPr>
          <w:rFonts w:hint="eastAsia" w:ascii="仿宋_GB2312" w:hAnsi="仿宋_GB2312" w:eastAsia="仿宋_GB2312" w:cs="仿宋_GB2312"/>
          <w:bCs/>
          <w:snapToGrid w:val="0"/>
          <w:color w:val="000000"/>
          <w:sz w:val="24"/>
          <w:szCs w:val="24"/>
          <w:lang w:eastAsia="zh-CN"/>
        </w:rPr>
        <w:t>1%～2%</w:t>
      </w:r>
      <w:r>
        <w:rPr>
          <w:rFonts w:hint="eastAsia" w:ascii="仿宋_GB2312" w:hAnsi="仿宋_GB2312" w:eastAsia="仿宋_GB2312" w:cs="仿宋_GB2312"/>
          <w:bCs/>
          <w:snapToGrid w:val="0"/>
          <w:color w:val="000000"/>
          <w:sz w:val="24"/>
          <w:szCs w:val="24"/>
        </w:rPr>
        <w:t>坡。</w:t>
      </w:r>
    </w:p>
    <w:p w14:paraId="7F667E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8.及时清理施工现场垃圾</w:t>
      </w:r>
    </w:p>
    <w:p w14:paraId="145E0B2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lang w:val="en-US" w:eastAsia="zh-CN" w:bidi="ar-SA"/>
        </w:rPr>
      </w:pPr>
      <w:r>
        <w:rPr>
          <w:rFonts w:hint="eastAsia" w:ascii="仿宋" w:hAnsi="Times New Roman" w:eastAsia="仿宋" w:cs="Times New Roman"/>
          <w:b/>
          <w:bCs/>
          <w:kern w:val="0"/>
          <w:sz w:val="24"/>
          <w:szCs w:val="24"/>
          <w:lang w:val="en-US" w:eastAsia="zh-CN" w:bidi="ar-SA"/>
        </w:rPr>
        <w:t>（五）、合同工期</w:t>
      </w:r>
      <w:bookmarkEnd w:id="12"/>
      <w:bookmarkEnd w:id="13"/>
      <w:bookmarkEnd w:id="14"/>
    </w:p>
    <w:p w14:paraId="1CE842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开工日期：</w:t>
      </w:r>
      <w:r>
        <w:rPr>
          <w:rFonts w:hint="eastAsia" w:ascii="仿宋" w:hAnsi="Times New Roman" w:eastAsia="仿宋" w:cs="Times New Roman"/>
          <w:kern w:val="0"/>
          <w:sz w:val="24"/>
          <w:szCs w:val="24"/>
          <w:highlight w:val="none"/>
          <w:u w:val="single"/>
          <w:lang w:val="en-US" w:eastAsia="zh-CN" w:bidi="ar-SA"/>
        </w:rPr>
        <w:t xml:space="preserve">     </w:t>
      </w:r>
      <w:bookmarkStart w:id="60" w:name="_GoBack"/>
      <w:bookmarkEnd w:id="60"/>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完工日期：</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 xml:space="preserve">  </w:t>
      </w:r>
    </w:p>
    <w:p w14:paraId="752D18B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总日历天数：</w:t>
      </w:r>
      <w:r>
        <w:rPr>
          <w:rFonts w:hint="eastAsia" w:ascii="仿宋" w:hAnsi="Times New Roman" w:eastAsia="仿宋" w:cs="Times New Roman"/>
          <w:kern w:val="0"/>
          <w:sz w:val="24"/>
          <w:szCs w:val="24"/>
          <w:highlight w:val="none"/>
          <w:u w:val="single"/>
          <w:lang w:val="en-US" w:eastAsia="zh-CN" w:bidi="ar-SA"/>
        </w:rPr>
        <w:t xml:space="preserve">    </w:t>
      </w:r>
      <w:r>
        <w:rPr>
          <w:rFonts w:hint="eastAsia" w:ascii="仿宋" w:hAnsi="Times New Roman" w:eastAsia="仿宋" w:cs="Times New Roman"/>
          <w:kern w:val="0"/>
          <w:sz w:val="24"/>
          <w:szCs w:val="24"/>
          <w:highlight w:val="none"/>
          <w:lang w:val="en-US" w:eastAsia="zh-CN" w:bidi="ar-SA"/>
        </w:rPr>
        <w:t>日历天。</w:t>
      </w:r>
    </w:p>
    <w:p w14:paraId="640CF5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highlight w:val="none"/>
          <w:lang w:val="en-US" w:eastAsia="zh-CN" w:bidi="ar-SA"/>
        </w:rPr>
      </w:pPr>
      <w:bookmarkStart w:id="15" w:name="_Toc424720409"/>
      <w:bookmarkStart w:id="16" w:name="_Toc423529088"/>
      <w:bookmarkStart w:id="17" w:name="_Toc423528752"/>
      <w:r>
        <w:rPr>
          <w:rFonts w:hint="eastAsia" w:ascii="仿宋" w:hAnsi="Times New Roman" w:eastAsia="仿宋" w:cs="Times New Roman"/>
          <w:b/>
          <w:bCs/>
          <w:kern w:val="0"/>
          <w:sz w:val="24"/>
          <w:szCs w:val="24"/>
          <w:highlight w:val="none"/>
          <w:lang w:val="en-US" w:eastAsia="zh-CN" w:bidi="ar-SA"/>
        </w:rPr>
        <w:t>(六)、质保期</w:t>
      </w:r>
      <w:bookmarkEnd w:id="15"/>
    </w:p>
    <w:p w14:paraId="74EDBA73">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仿宋" w:hAnsi="Times New Roman" w:eastAsia="仿宋" w:cs="Times New Roman"/>
          <w:kern w:val="0"/>
          <w:sz w:val="24"/>
          <w:szCs w:val="24"/>
          <w:highlight w:val="none"/>
          <w:lang w:val="en-US" w:eastAsia="zh-CN" w:bidi="ar-SA"/>
        </w:rPr>
      </w:pPr>
      <w:r>
        <w:rPr>
          <w:rFonts w:hint="eastAsia" w:ascii="仿宋" w:hAnsi="Times New Roman" w:eastAsia="仿宋" w:cs="Times New Roman"/>
          <w:kern w:val="0"/>
          <w:sz w:val="24"/>
          <w:szCs w:val="24"/>
          <w:highlight w:val="none"/>
          <w:lang w:val="en-US" w:eastAsia="zh-CN" w:bidi="ar-SA"/>
        </w:rPr>
        <w:t>两年</w:t>
      </w:r>
      <w:bookmarkEnd w:id="16"/>
      <w:bookmarkEnd w:id="17"/>
    </w:p>
    <w:p w14:paraId="09898C3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lang w:val="en-US" w:eastAsia="zh-CN" w:bidi="ar-SA"/>
        </w:rPr>
      </w:pPr>
      <w:bookmarkStart w:id="18" w:name="_Toc424720410"/>
      <w:bookmarkStart w:id="19" w:name="_Toc423529089"/>
      <w:bookmarkStart w:id="20" w:name="_Toc423528753"/>
      <w:r>
        <w:rPr>
          <w:rFonts w:hint="eastAsia" w:ascii="仿宋" w:hAnsi="Times New Roman" w:eastAsia="仿宋" w:cs="Times New Roman"/>
          <w:b/>
          <w:bCs/>
          <w:kern w:val="0"/>
          <w:sz w:val="24"/>
          <w:szCs w:val="24"/>
          <w:lang w:val="en-US" w:eastAsia="zh-CN" w:bidi="ar-SA"/>
        </w:rPr>
        <w:t>七、安全文明施工</w:t>
      </w:r>
      <w:bookmarkEnd w:id="18"/>
      <w:bookmarkEnd w:id="19"/>
      <w:bookmarkEnd w:id="20"/>
    </w:p>
    <w:p w14:paraId="25DB86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1. 乙方应遵守工程建设安全生产有关规定，严格按照安全标准组织施工，并随时接受行业安全检查人员依法实施的监督检查，采取必要的安全防护措施，消除安全隐患，安全措施费用由乙方承担。施工现场安全事故的责任和由此发生的费用均由乙方承担。</w:t>
      </w:r>
    </w:p>
    <w:p w14:paraId="77A5A6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2.符合《安全生产管理条例》的标准、道路、场地、绿化工程现行规范、西安市建筑工地环卫部门等要求；施工场地内无施工遗留物，垃圾清运干净。</w:t>
      </w:r>
    </w:p>
    <w:p w14:paraId="4502A3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3.乙方应遵守政府有关部门对施工场地交通、噪声以及环境保护和文明施工等管理规定，按有关规定办理有关手续，上述费用由乙方承担。</w:t>
      </w:r>
    </w:p>
    <w:p w14:paraId="7F256C3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lang w:val="en-US" w:eastAsia="zh-CN" w:bidi="ar-SA"/>
        </w:rPr>
      </w:pPr>
      <w:bookmarkStart w:id="21" w:name="_Toc423528754"/>
      <w:bookmarkStart w:id="22" w:name="_Toc424720411"/>
      <w:bookmarkStart w:id="23" w:name="_Toc423529090"/>
      <w:r>
        <w:rPr>
          <w:rFonts w:hint="eastAsia" w:ascii="仿宋" w:hAnsi="Times New Roman" w:eastAsia="仿宋" w:cs="Times New Roman"/>
          <w:b/>
          <w:bCs/>
          <w:kern w:val="0"/>
          <w:sz w:val="24"/>
          <w:szCs w:val="24"/>
          <w:lang w:val="en-US" w:eastAsia="zh-CN" w:bidi="ar-SA"/>
        </w:rPr>
        <w:t>八、合同价款</w:t>
      </w:r>
      <w:bookmarkEnd w:id="21"/>
      <w:bookmarkEnd w:id="22"/>
      <w:bookmarkEnd w:id="23"/>
    </w:p>
    <w:p w14:paraId="095572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合同总价（大写）：  　　 元整</w:t>
      </w:r>
    </w:p>
    <w:p w14:paraId="291DD5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（小写）：￥ 　　　　    元整</w:t>
      </w:r>
    </w:p>
    <w:p w14:paraId="32CD422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lang w:val="en-US" w:eastAsia="zh-CN" w:bidi="ar-SA"/>
        </w:rPr>
      </w:pPr>
      <w:bookmarkStart w:id="24" w:name="_Toc423528755"/>
      <w:bookmarkStart w:id="25" w:name="_Toc424720412"/>
      <w:bookmarkStart w:id="26" w:name="_Toc423529091"/>
      <w:r>
        <w:rPr>
          <w:rFonts w:hint="eastAsia" w:ascii="仿宋" w:hAnsi="Times New Roman" w:eastAsia="仿宋" w:cs="Times New Roman"/>
          <w:b/>
          <w:bCs/>
          <w:kern w:val="0"/>
          <w:sz w:val="24"/>
          <w:szCs w:val="24"/>
          <w:lang w:val="en-US" w:eastAsia="zh-CN" w:bidi="ar-SA"/>
        </w:rPr>
        <w:t>九、组成合同的文件</w:t>
      </w:r>
      <w:bookmarkEnd w:id="24"/>
      <w:bookmarkEnd w:id="25"/>
      <w:bookmarkEnd w:id="26"/>
    </w:p>
    <w:p w14:paraId="5B8242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组成本合同的文件包括：</w:t>
      </w:r>
    </w:p>
    <w:p w14:paraId="1DDA40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1.本合同协议书</w:t>
      </w:r>
    </w:p>
    <w:p w14:paraId="1E11C5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2.本合同通用条款</w:t>
      </w:r>
    </w:p>
    <w:p w14:paraId="0A9BB1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3.本合同专用条款</w:t>
      </w:r>
    </w:p>
    <w:p w14:paraId="1AB39C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4.竞争性磋商响应文件及承诺</w:t>
      </w:r>
    </w:p>
    <w:p w14:paraId="3CE6AA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5.竞争性磋商文件</w:t>
      </w:r>
    </w:p>
    <w:p w14:paraId="19DAC9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7.标准、规范及有关技术文件</w:t>
      </w:r>
    </w:p>
    <w:p w14:paraId="64BA5B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双方为履行本合同的有关洽商、变更等书面协议、文件，视为本合同的组成部分。</w:t>
      </w:r>
    </w:p>
    <w:p w14:paraId="0CCFE00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lang w:val="en-US" w:eastAsia="zh-CN" w:bidi="ar-SA"/>
        </w:rPr>
      </w:pPr>
      <w:bookmarkStart w:id="27" w:name="_Toc424720413"/>
      <w:bookmarkStart w:id="28" w:name="_Toc423528756"/>
      <w:bookmarkStart w:id="29" w:name="_Toc423529092"/>
      <w:r>
        <w:rPr>
          <w:rFonts w:hint="eastAsia" w:ascii="仿宋" w:hAnsi="Times New Roman" w:eastAsia="仿宋" w:cs="Times New Roman"/>
          <w:b/>
          <w:bCs/>
          <w:kern w:val="0"/>
          <w:sz w:val="24"/>
          <w:szCs w:val="24"/>
          <w:lang w:val="en-US" w:eastAsia="zh-CN" w:bidi="ar-SA"/>
        </w:rPr>
        <w:t>十、支付方式</w:t>
      </w:r>
      <w:bookmarkEnd w:id="27"/>
      <w:bookmarkEnd w:id="28"/>
      <w:bookmarkEnd w:id="29"/>
    </w:p>
    <w:p w14:paraId="0C2046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bookmarkStart w:id="30" w:name="_Toc424720414"/>
      <w:bookmarkStart w:id="31" w:name="_Toc423528757"/>
      <w:bookmarkStart w:id="32" w:name="_Toc423529093"/>
      <w:r>
        <w:rPr>
          <w:rFonts w:hint="eastAsia" w:ascii="仿宋" w:hAnsi="Times New Roman" w:eastAsia="仿宋" w:cs="Times New Roman"/>
          <w:kern w:val="0"/>
          <w:sz w:val="24"/>
          <w:szCs w:val="24"/>
          <w:lang w:val="en-US" w:eastAsia="zh-CN" w:bidi="ar-SA"/>
        </w:rPr>
        <w:t>此工程无预付款，工程施工完毕，经采购人验收合格后，10日内支付合同总价款的80%；经工程审计结算审核后10日内，扣除核定总造价1%的水电费，余款一次性支付。办理付款时，供应商应提供增值税专用发票。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w:t>
      </w:r>
    </w:p>
    <w:p w14:paraId="2FBC9A4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Times New Roman" w:eastAsia="仿宋" w:cs="Times New Roman"/>
          <w:b/>
          <w:bCs/>
          <w:kern w:val="0"/>
          <w:sz w:val="24"/>
          <w:szCs w:val="24"/>
          <w:lang w:val="en-US" w:eastAsia="zh-CN" w:bidi="ar-SA"/>
        </w:rPr>
      </w:pPr>
      <w:r>
        <w:rPr>
          <w:rFonts w:hint="eastAsia" w:ascii="仿宋" w:hAnsi="Times New Roman" w:eastAsia="仿宋" w:cs="Times New Roman"/>
          <w:b/>
          <w:bCs/>
          <w:kern w:val="0"/>
          <w:sz w:val="24"/>
          <w:szCs w:val="24"/>
          <w:lang w:val="en-US" w:eastAsia="zh-CN" w:bidi="ar-SA"/>
        </w:rPr>
        <w:t>十一、合同生效</w:t>
      </w:r>
      <w:bookmarkEnd w:id="30"/>
      <w:bookmarkEnd w:id="31"/>
      <w:bookmarkEnd w:id="32"/>
    </w:p>
    <w:p w14:paraId="37E9E4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合同订立时间：       　年　    月      日</w:t>
      </w:r>
    </w:p>
    <w:p w14:paraId="7EDFBA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r>
        <w:rPr>
          <w:rFonts w:hint="eastAsia" w:ascii="仿宋" w:hAnsi="Times New Roman" w:eastAsia="仿宋" w:cs="Times New Roman"/>
          <w:kern w:val="0"/>
          <w:sz w:val="24"/>
          <w:szCs w:val="24"/>
          <w:lang w:val="en-US" w:eastAsia="zh-CN" w:bidi="ar-SA"/>
        </w:rPr>
        <w:t>合同订立地点：　　   西安                          　</w:t>
      </w:r>
    </w:p>
    <w:p w14:paraId="609133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lang w:val="en-US" w:eastAsia="zh-CN"/>
        </w:rPr>
      </w:pPr>
      <w:r>
        <w:rPr>
          <w:rFonts w:hint="eastAsia" w:ascii="仿宋" w:hAnsi="Times New Roman" w:eastAsia="仿宋" w:cs="Times New Roman"/>
          <w:kern w:val="0"/>
          <w:sz w:val="24"/>
          <w:szCs w:val="24"/>
          <w:lang w:val="en-US" w:eastAsia="zh-CN" w:bidi="ar-SA"/>
        </w:rPr>
        <w:t>本合同双方约定         签字盖章        后生效。</w:t>
      </w:r>
      <w:r>
        <w:rPr>
          <w:rFonts w:hint="eastAsia"/>
          <w:lang w:val="en-US" w:eastAsia="zh-CN"/>
        </w:rPr>
        <w:br w:type="page"/>
      </w:r>
    </w:p>
    <w:p w14:paraId="19D04BE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仿宋" w:hAnsi="仿宋" w:eastAsia="仿宋" w:cs="仿宋"/>
          <w:b/>
          <w:bCs/>
          <w:sz w:val="28"/>
          <w:szCs w:val="28"/>
          <w:lang w:eastAsia="zh-CN"/>
        </w:rPr>
      </w:pPr>
      <w:bookmarkStart w:id="33" w:name="_Toc423529095"/>
      <w:bookmarkStart w:id="34" w:name="_Toc423528759"/>
      <w:bookmarkStart w:id="35" w:name="_Toc424720416"/>
      <w:r>
        <w:rPr>
          <w:rFonts w:hint="eastAsia" w:ascii="仿宋" w:hAnsi="仿宋" w:eastAsia="仿宋" w:cs="仿宋"/>
          <w:b/>
          <w:bCs/>
          <w:sz w:val="28"/>
          <w:szCs w:val="28"/>
          <w:lang w:eastAsia="zh-CN"/>
        </w:rPr>
        <w:t>第三部分  专用条款</w:t>
      </w:r>
      <w:bookmarkEnd w:id="33"/>
      <w:bookmarkEnd w:id="34"/>
      <w:bookmarkEnd w:id="35"/>
    </w:p>
    <w:p w14:paraId="2BA4798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36" w:name="_Toc423529096"/>
      <w:bookmarkStart w:id="37" w:name="_Toc423528760"/>
      <w:bookmarkStart w:id="38" w:name="_Toc424720417"/>
      <w:r>
        <w:rPr>
          <w:rFonts w:hint="eastAsia" w:ascii="仿宋" w:hAnsi="仿宋" w:eastAsia="仿宋" w:cs="仿宋"/>
          <w:b/>
          <w:bCs/>
          <w:sz w:val="24"/>
          <w:szCs w:val="24"/>
          <w:lang w:eastAsia="zh-CN"/>
        </w:rPr>
        <w:t>一、工程要求</w:t>
      </w:r>
      <w:bookmarkEnd w:id="36"/>
      <w:bookmarkEnd w:id="37"/>
      <w:bookmarkEnd w:id="38"/>
    </w:p>
    <w:p w14:paraId="5CBCBB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1.工程施工前承包人应熟悉现场，以避免在施工过程中造成麻烦及安全隐患、损坏周边设施，由此造成的一切后果由施工单位负责。</w:t>
      </w:r>
    </w:p>
    <w:p w14:paraId="356EC9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2.按发包方要求施工。</w:t>
      </w:r>
    </w:p>
    <w:p w14:paraId="142C5F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3.施工时必须格外留意暗埋的电气线管、弱电线管。要爱护房间内的设施，不得随意挪动、损坏。如有损坏必须要及时维修，并承担所有费用。</w:t>
      </w:r>
    </w:p>
    <w:p w14:paraId="1C4108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4.及时清理当天的建筑垃圾，建筑材料应整齐堆放在指定地点，不得影响校园环境整洁。</w:t>
      </w:r>
    </w:p>
    <w:p w14:paraId="44D3C6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5.本工程项目负责人和安全员必须常驻工地，施工期间安全员不得离开现场。</w:t>
      </w:r>
    </w:p>
    <w:p w14:paraId="080EBF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6.发包人有权对不合格的项目经理、项目部成员进行更换，有权将不具备资格的施工人员清理出场。</w:t>
      </w:r>
    </w:p>
    <w:p w14:paraId="5E2333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7.承包人应遵守学校校园管理规定，文明施工，做好施工现场保卫，保证校园干净，服从校内道路交通、门卫管理。</w:t>
      </w:r>
    </w:p>
    <w:p w14:paraId="658F25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8.承包人现场用电必须按照发包人要求，三相五线制，一机一闸必须带漏电保护，不许私用电炉。 </w:t>
      </w:r>
    </w:p>
    <w:p w14:paraId="57B058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9.承包人因外部原因停工超过36小时，应向发包人以书面形式提出顺延工期的报告。 </w:t>
      </w:r>
    </w:p>
    <w:p w14:paraId="29325B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10.在本工程完工验收之前，承包人应将施工现场周围清除干净，做到无建筑材料、无临时垃圾、无坑池渠沟和垃圾，场地整洁。 </w:t>
      </w:r>
    </w:p>
    <w:p w14:paraId="3A7497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11.承包人应当确保农民工工资的按时、足额发放，不得因此而影响工程的正常进行。</w:t>
      </w:r>
    </w:p>
    <w:p w14:paraId="2500C5D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39" w:name="_Toc423529097"/>
      <w:bookmarkStart w:id="40" w:name="_Toc423528761"/>
      <w:bookmarkStart w:id="41" w:name="_Toc424720418"/>
      <w:r>
        <w:rPr>
          <w:rFonts w:hint="eastAsia" w:ascii="仿宋" w:hAnsi="仿宋" w:eastAsia="仿宋" w:cs="仿宋"/>
          <w:b/>
          <w:bCs/>
          <w:sz w:val="24"/>
          <w:szCs w:val="24"/>
          <w:lang w:eastAsia="zh-CN"/>
        </w:rPr>
        <w:t>二、履约保证金</w:t>
      </w:r>
      <w:bookmarkEnd w:id="39"/>
      <w:bookmarkEnd w:id="40"/>
      <w:bookmarkEnd w:id="41"/>
    </w:p>
    <w:p w14:paraId="03A654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为保证合同的正常履行，确保工程能按期保质完成，避免施工安全事故，达到环保要求，承包方向发包方交纳</w:t>
      </w:r>
      <w:r>
        <w:rPr>
          <w:rFonts w:hint="eastAsia" w:ascii="仿宋" w:hAnsi="仿宋" w:eastAsia="仿宋" w:cs="仿宋"/>
          <w:sz w:val="24"/>
          <w:szCs w:val="24"/>
          <w:lang w:val="en-US" w:eastAsia="zh-CN"/>
        </w:rPr>
        <w:t>合同金额的5%</w:t>
      </w:r>
      <w:r>
        <w:rPr>
          <w:rFonts w:hint="eastAsia" w:ascii="仿宋" w:hAnsi="仿宋" w:eastAsia="仿宋" w:cs="仿宋"/>
          <w:sz w:val="24"/>
          <w:szCs w:val="24"/>
          <w:lang w:eastAsia="zh-CN"/>
        </w:rPr>
        <w:t>作为履约及安全保证金，履约保证金在工程正常验收合格后，两周内无息退还给承包人。</w:t>
      </w:r>
    </w:p>
    <w:p w14:paraId="2BB60A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如遇以下情况之一，发包方有权没收承包方所提交的履约保证金：</w:t>
      </w:r>
    </w:p>
    <w:p w14:paraId="0EA5E7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（1）未按发包人要求的工期、施工安装要求完成施工任务的；</w:t>
      </w:r>
    </w:p>
    <w:p w14:paraId="2EB9A4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（2）施工过程中出现安全事故的；</w:t>
      </w:r>
    </w:p>
    <w:p w14:paraId="2B1BF7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（3）施工过程中出现污染环境的；</w:t>
      </w:r>
    </w:p>
    <w:p w14:paraId="30534F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（4）违反管理部门命令、规定和要求的；</w:t>
      </w:r>
    </w:p>
    <w:p w14:paraId="631DF4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（5）施工中如果对各类地下天然气、水、电、暖等管、沟和架空缆线等管线，以及绿化等其他设施有损坏，且没有维修合格到位的；</w:t>
      </w:r>
    </w:p>
    <w:p w14:paraId="525072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（6）未能完全履行合同义务的；</w:t>
      </w:r>
    </w:p>
    <w:p w14:paraId="7CE340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（7）情况严重的，乙方承担违约责任，甲方有权解除合同，并不退还履约及安全保证金。</w:t>
      </w:r>
    </w:p>
    <w:p w14:paraId="5C2191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42" w:name="_Toc424720419"/>
      <w:bookmarkStart w:id="43" w:name="_Toc423529098"/>
      <w:bookmarkStart w:id="44" w:name="_Toc423528762"/>
      <w:r>
        <w:rPr>
          <w:rFonts w:hint="eastAsia" w:ascii="仿宋" w:hAnsi="仿宋" w:eastAsia="仿宋" w:cs="仿宋"/>
          <w:b/>
          <w:bCs/>
          <w:sz w:val="24"/>
          <w:szCs w:val="24"/>
          <w:lang w:eastAsia="zh-CN"/>
        </w:rPr>
        <w:t>三、双方一般权利和义务</w:t>
      </w:r>
      <w:bookmarkEnd w:id="42"/>
      <w:bookmarkEnd w:id="43"/>
      <w:bookmarkEnd w:id="44"/>
    </w:p>
    <w:p w14:paraId="200158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1.发包人派出的：</w:t>
      </w:r>
    </w:p>
    <w:p w14:paraId="71EC15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现场联络人</w:t>
      </w:r>
    </w:p>
    <w:p w14:paraId="1F271A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姓名：                 职务：          </w:t>
      </w:r>
    </w:p>
    <w:p w14:paraId="346188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项目负责人</w:t>
      </w:r>
    </w:p>
    <w:p w14:paraId="6BC240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姓名：               职务：            </w:t>
      </w:r>
    </w:p>
    <w:p w14:paraId="27655B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职权：负责施工全过程与学校有关部门的协调，处理往来事项，对工程进度、安全、文明施工和造价进行管理。</w:t>
      </w:r>
    </w:p>
    <w:p w14:paraId="5E627C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2.发包人的权利和义务</w:t>
      </w:r>
    </w:p>
    <w:p w14:paraId="7E7523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（1）施工场地具备施工条件的要求及完成的时间：工程开工前3日内。</w:t>
      </w:r>
    </w:p>
    <w:p w14:paraId="57032D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（2）安排施工所需的水、电源送至施工场地的接入口，保证将水、电源引至施工现场。供水、供电线路由承包人负责安装。</w:t>
      </w:r>
    </w:p>
    <w:p w14:paraId="686838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（3）有权随时检查、监督现场施工质量、进度和进场建材质量；有权叫停不符合质量要求的施工，强制承包人返工重做。</w:t>
      </w:r>
    </w:p>
    <w:p w14:paraId="082841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（4）有对现场需拆除的认定权。</w:t>
      </w:r>
    </w:p>
    <w:p w14:paraId="47D7A6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（5）及时组织好施工现场内物体、设施搬移工作。</w:t>
      </w:r>
    </w:p>
    <w:p w14:paraId="18C068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（6）及时按合同办理支付工程款事项。</w:t>
      </w:r>
    </w:p>
    <w:p w14:paraId="26F0D4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3.承包人派驻的：</w:t>
      </w:r>
    </w:p>
    <w:p w14:paraId="08E93B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现场联络人</w:t>
      </w:r>
    </w:p>
    <w:p w14:paraId="22949E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姓名：                 职务：           </w:t>
      </w:r>
    </w:p>
    <w:p w14:paraId="64659C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项目负责人</w:t>
      </w:r>
    </w:p>
    <w:p w14:paraId="6CBB1E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姓名：               职务：            </w:t>
      </w:r>
    </w:p>
    <w:p w14:paraId="78F250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职权：负责在施工全过程中保证质量、按期完成全部工程量，以及根据发包方要求进行变更签证工程量，与学校协调关系，处理往来事项，对工程进度、安全、文明施工和造价进行管理并承担责任。</w:t>
      </w:r>
    </w:p>
    <w:p w14:paraId="4AC05F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4.承包人的权利和义务</w:t>
      </w:r>
    </w:p>
    <w:p w14:paraId="74C4C0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（1）有权按合同书中的约定获得工程进度施工费。</w:t>
      </w:r>
    </w:p>
    <w:p w14:paraId="45E8B2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（2）接受发包人和各级建设主管部门的监督和管理。</w:t>
      </w:r>
    </w:p>
    <w:p w14:paraId="690A47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（3）按照合同的规定承担认定范围内的施工及清运任务；现场实际情况有变时，及时与发包人联系、协商，达成一致应积极落实施工，并办理签证。</w:t>
      </w:r>
    </w:p>
    <w:p w14:paraId="061938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（4）要按合同约定制定施工方案，确保按合同规定施工。</w:t>
      </w:r>
    </w:p>
    <w:p w14:paraId="1827C8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（5）必须将施工材料整齐放置到现场指定位置，不得在现场随意堆放。</w:t>
      </w:r>
    </w:p>
    <w:p w14:paraId="7F16F5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（6）加强易燃物品、水、电、车辆等的管理；在施工中发生的各种事故与学校无关。</w:t>
      </w:r>
    </w:p>
    <w:p w14:paraId="20C5EB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（7）工程完成后，须及时向有关部门提出工程验收申请，如验收不合格，则必须在限期内整改完毕并达到合同规定的标准。</w:t>
      </w:r>
    </w:p>
    <w:p w14:paraId="32CBF9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（8）要切实做好安全与文明施工，制定安全生产责任制，责任落实到人，与有关部门签订安全责任书，发生安全问题完全由承包方负责。</w:t>
      </w:r>
    </w:p>
    <w:p w14:paraId="566D02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（9）乙方应在现场设置项目部，项目部常驻人员名单应在开工前向甲方提交。</w:t>
      </w:r>
    </w:p>
    <w:p w14:paraId="3899FD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（10）乙方未经采购人同意，不得擅自更换采购人认定的本工程施工负责人及管理人员。</w:t>
      </w:r>
    </w:p>
    <w:p w14:paraId="6D8680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（11）乙方必须自行施工，不得转包，需分包个别子项时，须征得采购人同意。</w:t>
      </w:r>
    </w:p>
    <w:p w14:paraId="56B6E7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（12）乙方在施工过程中所发生的由自身原因造成的损失和后果自负。</w:t>
      </w:r>
    </w:p>
    <w:p w14:paraId="62EC9A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（13）乙方需提供详实准确的竣工图。</w:t>
      </w:r>
    </w:p>
    <w:p w14:paraId="1F3896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45" w:name="_Toc424720420"/>
      <w:bookmarkStart w:id="46" w:name="_Toc423529099"/>
      <w:bookmarkStart w:id="47" w:name="_Toc423528763"/>
      <w:r>
        <w:rPr>
          <w:rFonts w:hint="eastAsia" w:ascii="仿宋" w:hAnsi="仿宋" w:eastAsia="仿宋" w:cs="仿宋"/>
          <w:b/>
          <w:bCs/>
          <w:sz w:val="24"/>
          <w:szCs w:val="24"/>
          <w:lang w:eastAsia="zh-CN"/>
        </w:rPr>
        <w:t>四、施工组织设计和工期</w:t>
      </w:r>
      <w:bookmarkEnd w:id="45"/>
      <w:bookmarkEnd w:id="46"/>
      <w:bookmarkEnd w:id="47"/>
    </w:p>
    <w:p w14:paraId="29EBEB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1.进度计划</w:t>
      </w:r>
    </w:p>
    <w:p w14:paraId="395974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承包人提供施工组织设计（施工方案）和进度计划的时间：  投标时提交的施工组织设计如需修改时，在开工日期3日前内。  </w:t>
      </w:r>
    </w:p>
    <w:p w14:paraId="15CB68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2.工程师确认的时间：  收到承包人报告后当日内。   </w:t>
      </w:r>
    </w:p>
    <w:p w14:paraId="415AEC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48" w:name="_Toc423529100"/>
      <w:bookmarkStart w:id="49" w:name="_Toc423528764"/>
      <w:bookmarkStart w:id="50" w:name="_Toc424720421"/>
      <w:r>
        <w:rPr>
          <w:rFonts w:hint="eastAsia" w:ascii="仿宋" w:hAnsi="仿宋" w:eastAsia="仿宋" w:cs="仿宋"/>
          <w:b/>
          <w:bCs/>
          <w:sz w:val="24"/>
          <w:szCs w:val="24"/>
          <w:lang w:eastAsia="zh-CN"/>
        </w:rPr>
        <w:t>五、合同价款</w:t>
      </w:r>
      <w:bookmarkEnd w:id="48"/>
      <w:bookmarkEnd w:id="49"/>
      <w:bookmarkEnd w:id="50"/>
    </w:p>
    <w:p w14:paraId="578728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1.合同价款约定为：  　　　　　　　　。</w:t>
      </w:r>
    </w:p>
    <w:p w14:paraId="1F0E3C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2.本合同价款采用综合单价计价。</w:t>
      </w:r>
    </w:p>
    <w:p w14:paraId="3D432C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3.工程预付款：本工程无预付款。</w:t>
      </w:r>
    </w:p>
    <w:p w14:paraId="7E25FF8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51" w:name="_Toc424720422"/>
      <w:bookmarkStart w:id="52" w:name="_Toc423528765"/>
      <w:bookmarkStart w:id="53" w:name="_Toc423529101"/>
      <w:r>
        <w:rPr>
          <w:rFonts w:hint="eastAsia" w:ascii="仿宋" w:hAnsi="仿宋" w:eastAsia="仿宋" w:cs="仿宋"/>
          <w:b/>
          <w:bCs/>
          <w:sz w:val="24"/>
          <w:szCs w:val="24"/>
          <w:lang w:eastAsia="zh-CN"/>
        </w:rPr>
        <w:t>六、竣工验收与结算</w:t>
      </w:r>
      <w:bookmarkEnd w:id="51"/>
      <w:bookmarkEnd w:id="52"/>
      <w:bookmarkEnd w:id="53"/>
    </w:p>
    <w:p w14:paraId="6D2579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1.竣工验收</w:t>
      </w:r>
    </w:p>
    <w:p w14:paraId="18E3DF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全部工程完工，承包人将施工垃圾、障碍物全部平整清除后，经发包方组织相关人员验收合格后，该项目方可交工验收。</w:t>
      </w:r>
    </w:p>
    <w:p w14:paraId="456D62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2.结算</w:t>
      </w:r>
    </w:p>
    <w:p w14:paraId="597C2E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Times New Roman" w:eastAsia="仿宋" w:cs="Times New Roman"/>
          <w:kern w:val="0"/>
          <w:sz w:val="24"/>
          <w:szCs w:val="24"/>
          <w:lang w:val="en-US" w:eastAsia="zh-CN" w:bidi="ar-SA"/>
        </w:rPr>
      </w:pPr>
      <w:bookmarkStart w:id="54" w:name="_Toc423528766"/>
      <w:bookmarkStart w:id="55" w:name="_Toc423529102"/>
      <w:bookmarkStart w:id="56" w:name="_Toc424720423"/>
      <w:r>
        <w:rPr>
          <w:rFonts w:hint="eastAsia" w:ascii="仿宋" w:hAnsi="Times New Roman" w:eastAsia="仿宋" w:cs="Times New Roman"/>
          <w:kern w:val="0"/>
          <w:sz w:val="24"/>
          <w:szCs w:val="24"/>
          <w:lang w:val="en-US" w:eastAsia="zh-CN" w:bidi="ar-SA"/>
        </w:rPr>
        <w:t>此工程进场应付40%预付款，工程施工完毕，经甲方验收合格后，10日内支付合同总价款剩余的60%；经工程审计结算审核后10日内，办理付款时，乙方应提供增值税专用发票。</w:t>
      </w:r>
    </w:p>
    <w:p w14:paraId="068E089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七、违约和争议</w:t>
      </w:r>
      <w:bookmarkEnd w:id="54"/>
      <w:bookmarkEnd w:id="55"/>
      <w:bookmarkEnd w:id="56"/>
    </w:p>
    <w:p w14:paraId="37DD0D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1.违约</w:t>
      </w:r>
    </w:p>
    <w:p w14:paraId="229322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（1）因承包人原因拖延工期，每拖后一天按1000元/天处罚，累计拖延</w:t>
      </w:r>
      <w:r>
        <w:rPr>
          <w:rFonts w:hint="eastAsia" w:ascii="仿宋" w:hAnsi="仿宋" w:eastAsia="仿宋" w:cs="仿宋"/>
          <w:sz w:val="24"/>
          <w:szCs w:val="24"/>
          <w:lang w:val="en-US" w:eastAsia="zh-CN"/>
        </w:rPr>
        <w:t>10</w:t>
      </w:r>
      <w:r>
        <w:rPr>
          <w:rFonts w:hint="eastAsia" w:ascii="仿宋" w:hAnsi="仿宋" w:eastAsia="仿宋" w:cs="仿宋"/>
          <w:sz w:val="24"/>
          <w:szCs w:val="24"/>
          <w:lang w:eastAsia="zh-CN"/>
        </w:rPr>
        <w:t>天，合同自动解除，施工队伍自行离场，由此引起的一切后果，由承包人承担。</w:t>
      </w:r>
    </w:p>
    <w:p w14:paraId="28D38A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（2）本合同规定工程项目负责人在工地停留时间不得少于</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个日历日，施工期间，安全员不得离开现场。</w:t>
      </w:r>
    </w:p>
    <w:p w14:paraId="3A0657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（3）本合同规定，施工期间施工方应规范用电，如施工现场出现漏电或短路跳闸，造成停电、影响发包人用电的，每次罚款1000元。</w:t>
      </w:r>
    </w:p>
    <w:p w14:paraId="6349C4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（4）本合同规定承包人因外部原因停工超过36小时，未向发包人以书面形式提出顺延工期报告的，发包人不考虑顺延工期。</w:t>
      </w:r>
    </w:p>
    <w:p w14:paraId="5184F3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（5）本合同规定本工程应在完工验收之前，承包人应及时清理施工现场周围的建筑材料和垃圾，保持场地整洁，否则发包人不予支付工程款。</w:t>
      </w:r>
    </w:p>
    <w:p w14:paraId="7D0266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（6）本合同规定承包人应当确保农民工工资的按时、足额发放，否则由此引起的一切后果由承包人负责。</w:t>
      </w:r>
    </w:p>
    <w:p w14:paraId="021E97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2.争议</w:t>
      </w:r>
    </w:p>
    <w:p w14:paraId="0ED58B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双方当事人约定，在履行合同过程中产生争议时，双方协商解决；协商未果的，按下列第（1）种方式解决：</w:t>
      </w:r>
    </w:p>
    <w:p w14:paraId="268992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（1）提交       西安市      仲裁委员会申请仲裁；</w:t>
      </w:r>
    </w:p>
    <w:p w14:paraId="20C9D2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（2）依法向            当地           人民法院提起诉讼。</w:t>
      </w:r>
    </w:p>
    <w:p w14:paraId="4C8792B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lang w:eastAsia="zh-CN"/>
        </w:rPr>
      </w:pPr>
      <w:bookmarkStart w:id="57" w:name="_Toc423529103"/>
      <w:bookmarkStart w:id="58" w:name="_Toc424720424"/>
      <w:bookmarkStart w:id="59" w:name="_Toc423528767"/>
      <w:r>
        <w:rPr>
          <w:rFonts w:hint="eastAsia" w:ascii="仿宋" w:hAnsi="仿宋" w:eastAsia="仿宋" w:cs="仿宋"/>
          <w:b/>
          <w:bCs/>
          <w:sz w:val="24"/>
          <w:szCs w:val="24"/>
          <w:lang w:eastAsia="zh-CN"/>
        </w:rPr>
        <w:t>八、双方约定合同份数</w:t>
      </w:r>
      <w:bookmarkEnd w:id="57"/>
      <w:bookmarkEnd w:id="58"/>
      <w:bookmarkEnd w:id="59"/>
    </w:p>
    <w:p w14:paraId="428CAD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   本合同一式八份，发包人持六份，承包人持两份。   </w:t>
      </w:r>
    </w:p>
    <w:p w14:paraId="4B3F57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2D231B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27E2E2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2FE2AF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发包人：（公章）西安石油大学     承包人：（公章）            </w:t>
      </w:r>
    </w:p>
    <w:p w14:paraId="42671D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318B47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地址：　　　　　　　　　　　　    地址：                     </w:t>
      </w:r>
    </w:p>
    <w:p w14:paraId="5A7A3B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邮政编码：  　　　　              邮政编码：               </w:t>
      </w:r>
    </w:p>
    <w:p w14:paraId="037276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                    </w:t>
      </w:r>
      <w:r>
        <w:rPr>
          <w:rFonts w:hint="eastAsia" w:ascii="仿宋" w:hAnsi="仿宋" w:eastAsia="仿宋" w:cs="仿宋"/>
          <w:sz w:val="24"/>
          <w:szCs w:val="24"/>
          <w:lang w:eastAsia="zh-CN"/>
        </w:rPr>
        <w:t xml:space="preserve"> </w:t>
      </w:r>
      <w:r>
        <w:rPr>
          <w:rFonts w:hint="eastAsia" w:ascii="仿宋" w:hAnsi="仿宋" w:eastAsia="仿宋" w:cs="仿宋"/>
          <w:sz w:val="24"/>
          <w:szCs w:val="24"/>
        </w:rPr>
        <w:t xml:space="preserve">法定代表人：              </w:t>
      </w:r>
    </w:p>
    <w:p w14:paraId="3A6D7F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委托代理人：                  </w:t>
      </w:r>
      <w:r>
        <w:rPr>
          <w:rFonts w:hint="eastAsia" w:ascii="仿宋" w:hAnsi="仿宋" w:eastAsia="仿宋" w:cs="仿宋"/>
          <w:sz w:val="24"/>
          <w:szCs w:val="24"/>
          <w:lang w:eastAsia="zh-CN"/>
        </w:rPr>
        <w:t xml:space="preserve">  </w:t>
      </w:r>
      <w:r>
        <w:rPr>
          <w:rFonts w:hint="eastAsia" w:ascii="仿宋" w:hAnsi="仿宋" w:eastAsia="仿宋" w:cs="仿宋"/>
          <w:sz w:val="24"/>
          <w:szCs w:val="24"/>
        </w:rPr>
        <w:t xml:space="preserve"> 委托代理人：                </w:t>
      </w:r>
    </w:p>
    <w:p w14:paraId="2A04E5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电话：                           电话：                    </w:t>
      </w:r>
    </w:p>
    <w:p w14:paraId="07522E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传真：                           传真：                  </w:t>
      </w:r>
    </w:p>
    <w:p w14:paraId="439C5E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开户银行：　　　　　　　　　     开户银行：               </w:t>
      </w:r>
    </w:p>
    <w:p w14:paraId="46D89F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账号： 　　　　　　　　　　       账号：                    </w:t>
      </w:r>
    </w:p>
    <w:p w14:paraId="0E76F4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14:paraId="6B65D9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pacing w:val="3"/>
          <w:sz w:val="16"/>
          <w:szCs w:val="16"/>
          <w:lang w:val="en-US" w:eastAsia="zh-CN"/>
        </w:rPr>
      </w:pPr>
      <w:r>
        <w:rPr>
          <w:rFonts w:hint="eastAsia" w:ascii="仿宋" w:hAnsi="仿宋" w:eastAsia="仿宋" w:cs="仿宋"/>
          <w:sz w:val="24"/>
          <w:szCs w:val="24"/>
          <w:lang w:eastAsia="zh-CN"/>
        </w:rPr>
        <w:t>合同签订时间：      年     月     日</w:t>
      </w:r>
    </w:p>
    <w:p w14:paraId="5FA9FDC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FCF3F7"/>
    <w:multiLevelType w:val="singleLevel"/>
    <w:tmpl w:val="13FCF3F7"/>
    <w:lvl w:ilvl="0" w:tentative="0">
      <w:start w:val="2"/>
      <w:numFmt w:val="chineseCounting"/>
      <w:suff w:val="nothing"/>
      <w:lvlText w:val="%1、"/>
      <w:lvlJc w:val="left"/>
      <w:rPr>
        <w:rFonts w:hint="eastAsia"/>
      </w:rPr>
    </w:lvl>
  </w:abstractNum>
  <w:abstractNum w:abstractNumId="1">
    <w:nsid w:val="4D6E59BC"/>
    <w:multiLevelType w:val="singleLevel"/>
    <w:tmpl w:val="4D6E59BC"/>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C4F67"/>
    <w:rsid w:val="13791FCD"/>
    <w:rsid w:val="18FC4F67"/>
    <w:rsid w:val="2CCE1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widowControl/>
      <w:spacing w:before="100" w:beforeAutospacing="1" w:after="100" w:afterAutospacing="1"/>
      <w:jc w:val="left"/>
    </w:pPr>
    <w:rPr>
      <w:rFonts w:asci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4938</Words>
  <Characters>5149</Characters>
  <Lines>0</Lines>
  <Paragraphs>0</Paragraphs>
  <TotalTime>0</TotalTime>
  <ScaleCrop>false</ScaleCrop>
  <LinksUpToDate>false</LinksUpToDate>
  <CharactersWithSpaces>5812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2026-08-21T09:10:00Z</dcterms:created>
  <dc:creator>侯@_@!</dc:creator>
  <cp:lastModifiedBy>侯@_@!</cp:lastModifiedBy>
  <dcterms:modified xsi:type="dcterms:W3CDTF">2026-08-22T09:33:55Z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F24AF010154D4B11ADD193B16B3B4353_11</vt:lpwstr>
  </property>
  <property fmtid="{D5CDD505-2E9C-101B-9397-08002B2CF9AE}" pid="4" name="KSOTemplateDocerSaveRecord">
    <vt:lpwstr>eyJoZGlkIjoiZWE2M2VmODljZjg2ZDZlNWY1NzAyZjk2YzUyNWViZTMiLCJ1c2VySWQiOiIyNjA2MTU2NDgifQ==</vt:lpwstr>
  </property>
</Properties>
</file>