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版本号：ZX2026-05-0520260526001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中国教育科研计算机网带宽租用服务项目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ZX2026-05-05</w:t>
      </w:r>
      <w:r>
        <w:br/>
      </w:r>
      <w:r>
        <w:br/>
      </w:r>
      <w:r>
        <w:br/>
      </w:r>
    </w:p>
    <w:p>
      <w:pPr>
        <w:pStyle w:val="null3"/>
        <w:jc w:val="center"/>
        <w:outlineLvl w:val="5"/>
      </w:pPr>
      <w:r>
        <w:rPr>
          <w:rFonts w:ascii="仿宋_GB2312" w:hAnsi="仿宋_GB2312" w:cs="仿宋_GB2312" w:eastAsia="仿宋_GB2312"/>
          <w:sz w:val="15"/>
          <w:b/>
        </w:rPr>
        <w:t>西安石油大学</w:t>
      </w:r>
    </w:p>
    <w:p>
      <w:pPr>
        <w:pStyle w:val="null3"/>
        <w:jc w:val="center"/>
        <w:outlineLvl w:val="5"/>
      </w:pPr>
      <w:r>
        <w:rPr>
          <w:rFonts w:ascii="仿宋_GB2312" w:hAnsi="仿宋_GB2312" w:cs="仿宋_GB2312" w:eastAsia="仿宋_GB2312"/>
          <w:sz w:val="15"/>
          <w:b/>
        </w:rPr>
        <w:t>陕西正信招标有限公司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2026年05月26日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西安石油大学</w:t>
      </w:r>
      <w:r>
        <w:rPr>
          <w:rFonts w:ascii="仿宋_GB2312" w:hAnsi="仿宋_GB2312" w:cs="仿宋_GB2312" w:eastAsia="仿宋_GB2312"/>
        </w:rPr>
        <w:t>委托，拟对</w:t>
      </w:r>
      <w:r>
        <w:rPr>
          <w:rFonts w:ascii="仿宋_GB2312" w:hAnsi="仿宋_GB2312" w:cs="仿宋_GB2312" w:eastAsia="仿宋_GB2312"/>
        </w:rPr>
        <w:t>中国教育科研计算机网带宽租用服务项目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ZX2026-05-05</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中国教育科研计算机网带宽租用服务项目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中国教育科研计算机网带宽租用服务项目，具体内容详见采购文件</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采购包1（中国教育科研计算机网带宽租用服务项目）：属于专门面向中小企业采购。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1、法定代表人授权委托书：法定代表人参加协商的，须出示身份证；法定代表人授权本单位他人参加协商的，须提供法定代表人授权委托书。供应商需在项目电子化交易系统中按要求填写并进行电子签章。</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西安石油大学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西安市电子二路18号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029-88382832</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孙童欣 王宇轩 马演 崔文 曹婷 王琦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029-88411508/88411169转8033</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采购包1：495,000.00元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采购包1：495,000.00元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采购包1保证金金额：9,505.00元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开户名称：中国银行西安莲湖区支行营业部</w:t>
            </w:r>
          </w:p>
          <w:p>
            <w:pPr>
              <w:pStyle w:val="null3"/>
            </w:pPr>
            <w:r>
              <w:rPr>
                <w:rFonts w:ascii="仿宋_GB2312" w:hAnsi="仿宋_GB2312" w:cs="仿宋_GB2312" w:eastAsia="仿宋_GB2312"/>
              </w:rPr>
              <w:t>开户银行：陕西正信招标有限公司</w:t>
            </w:r>
          </w:p>
          <w:p>
            <w:pPr>
              <w:pStyle w:val="null3"/>
            </w:pPr>
            <w:r>
              <w:rPr>
                <w:rFonts w:ascii="仿宋_GB2312" w:hAnsi="仿宋_GB2312" w:cs="仿宋_GB2312" w:eastAsia="仿宋_GB2312"/>
              </w:rPr>
              <w:t>银行账号：102119413784</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代理服务费收费标准：参照国家计委计价格[2002]1980号及发改办价格[2003]857号通知规定下浮10%收取。</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西安石油大学</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西安石油大学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根据协商文件、响应文件、合同约定及相关法律法规</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中国教育科研计算机网带宽租用服务项目，1项</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495,000.00</w:t>
      </w:r>
    </w:p>
    <w:p>
      <w:pPr>
        <w:pStyle w:val="null3"/>
      </w:pPr>
      <w:r>
        <w:rPr>
          <w:rFonts w:ascii="仿宋_GB2312" w:hAnsi="仿宋_GB2312" w:cs="仿宋_GB2312" w:eastAsia="仿宋_GB2312"/>
        </w:rPr>
        <w:t>采购包最高限价（元）: 495,000.00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中国教育科研计算机网带宽租用服务项目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495,000.00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标的名称：中国教育科研计算机网带宽租用服务项目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50"/>
              <w:ind w:firstLine="400"/>
            </w:pPr>
            <w:r>
              <w:rPr>
                <w:rFonts w:ascii="仿宋_GB2312" w:hAnsi="仿宋_GB2312" w:cs="仿宋_GB2312" w:eastAsia="仿宋_GB2312"/>
              </w:rPr>
              <w:t>本项目租用教育网带宽服务，同时实现学校edu.cn的域名解析服务，提供公网的ip地址，提高教学科研效率和质量，满足学校高质量发展。</w:t>
            </w:r>
          </w:p>
          <w:p>
            <w:pPr>
              <w:pStyle w:val="null3"/>
            </w:pPr>
            <w:r>
              <w:rPr>
                <w:rFonts w:ascii="仿宋_GB2312" w:hAnsi="仿宋_GB2312" w:cs="仿宋_GB2312" w:eastAsia="仿宋_GB2312"/>
              </w:rPr>
              <w:t>一、采购内容及要求：</w:t>
            </w:r>
          </w:p>
          <w:p>
            <w:pPr>
              <w:pStyle w:val="null3"/>
            </w:pPr>
            <w:r>
              <w:rPr>
                <w:rFonts w:ascii="仿宋_GB2312" w:hAnsi="仿宋_GB2312" w:cs="仿宋_GB2312" w:eastAsia="仿宋_GB2312"/>
              </w:rPr>
              <w:t>1.为学校提供≥300M独享IPv4教育网出口；</w:t>
            </w:r>
          </w:p>
          <w:p>
            <w:pPr>
              <w:pStyle w:val="null3"/>
            </w:pPr>
            <w:r>
              <w:rPr>
                <w:rFonts w:ascii="仿宋_GB2312" w:hAnsi="仿宋_GB2312" w:cs="仿宋_GB2312" w:eastAsia="仿宋_GB2312"/>
              </w:rPr>
              <w:t>2.为学校开通下一代互联网IPv6接入服务（IPv6带宽不低于IPv4带宽）；</w:t>
            </w:r>
          </w:p>
          <w:p>
            <w:pPr>
              <w:pStyle w:val="null3"/>
            </w:pPr>
            <w:r>
              <w:rPr>
                <w:rFonts w:ascii="仿宋_GB2312" w:hAnsi="仿宋_GB2312" w:cs="仿宋_GB2312" w:eastAsia="仿宋_GB2312"/>
              </w:rPr>
              <w:t>3.提供48C(12288)个公网IPv4地址；</w:t>
            </w:r>
          </w:p>
          <w:p>
            <w:pPr>
              <w:pStyle w:val="null3"/>
            </w:pPr>
            <w:r>
              <w:rPr>
                <w:rFonts w:ascii="仿宋_GB2312" w:hAnsi="仿宋_GB2312" w:cs="仿宋_GB2312" w:eastAsia="仿宋_GB2312"/>
              </w:rPr>
              <w:t>4.提供48位IPv6地址;</w:t>
            </w:r>
          </w:p>
          <w:p>
            <w:pPr>
              <w:pStyle w:val="null3"/>
            </w:pPr>
            <w:r>
              <w:rPr>
                <w:rFonts w:ascii="仿宋_GB2312" w:hAnsi="仿宋_GB2312" w:cs="仿宋_GB2312" w:eastAsia="仿宋_GB2312"/>
              </w:rPr>
              <w:t>5.提供学校.edu.cn（二级域）下合法域名的注册和解析服务。</w:t>
            </w:r>
          </w:p>
          <w:p>
            <w:pPr>
              <w:pStyle w:val="null3"/>
            </w:pPr>
            <w:r>
              <w:rPr>
                <w:rFonts w:ascii="仿宋_GB2312" w:hAnsi="仿宋_GB2312" w:cs="仿宋_GB2312" w:eastAsia="仿宋_GB2312"/>
              </w:rPr>
              <w:t xml:space="preserve"> 二、技术及服务要求：</w:t>
            </w:r>
          </w:p>
          <w:p>
            <w:pPr>
              <w:pStyle w:val="null3"/>
            </w:pPr>
            <w:r>
              <w:rPr>
                <w:rFonts w:ascii="仿宋_GB2312" w:hAnsi="仿宋_GB2312" w:cs="仿宋_GB2312" w:eastAsia="仿宋_GB2312"/>
              </w:rPr>
              <w:t>1.学校提供教育网服务，保障带宽的独享和稳定以及正常应用；</w:t>
            </w:r>
          </w:p>
          <w:p>
            <w:pPr>
              <w:pStyle w:val="null3"/>
            </w:pPr>
            <w:r>
              <w:rPr>
                <w:rFonts w:ascii="仿宋_GB2312" w:hAnsi="仿宋_GB2312" w:cs="仿宋_GB2312" w:eastAsia="仿宋_GB2312"/>
              </w:rPr>
              <w:t>2.在流量达到线路的98%时，互联地址时延不超过20ms，到国内知名网站的时延不超过50ms,到国外知名网站时延不超过100ms；</w:t>
            </w:r>
          </w:p>
          <w:p>
            <w:pPr>
              <w:pStyle w:val="null3"/>
            </w:pPr>
            <w:r>
              <w:rPr>
                <w:rFonts w:ascii="仿宋_GB2312" w:hAnsi="仿宋_GB2312" w:cs="仿宋_GB2312" w:eastAsia="仿宋_GB2312"/>
              </w:rPr>
              <w:t>3.实现网络状态自动调整路由，优化网络出口，保障业务不中断；</w:t>
            </w:r>
          </w:p>
          <w:p>
            <w:pPr>
              <w:pStyle w:val="null3"/>
            </w:pPr>
            <w:r>
              <w:rPr>
                <w:rFonts w:ascii="仿宋_GB2312" w:hAnsi="仿宋_GB2312" w:cs="仿宋_GB2312" w:eastAsia="仿宋_GB2312"/>
              </w:rPr>
              <w:t>4.提供各类通信业务的咨询、查询、组网建议和障碍申告等服务，故障申告方式不限于邮件、电话、微信等方式；</w:t>
            </w:r>
          </w:p>
          <w:p>
            <w:pPr>
              <w:pStyle w:val="null3"/>
            </w:pPr>
            <w:r>
              <w:rPr>
                <w:rFonts w:ascii="仿宋_GB2312" w:hAnsi="仿宋_GB2312" w:cs="仿宋_GB2312" w:eastAsia="仿宋_GB2312"/>
              </w:rPr>
              <w:t>5.对服务涉及到的设备和线路进行定期的检修维护，提供日常巡检、走访服务；</w:t>
            </w:r>
          </w:p>
          <w:p>
            <w:pPr>
              <w:pStyle w:val="null3"/>
            </w:pPr>
            <w:r>
              <w:rPr>
                <w:rFonts w:ascii="仿宋_GB2312" w:hAnsi="仿宋_GB2312" w:cs="仿宋_GB2312" w:eastAsia="仿宋_GB2312"/>
              </w:rPr>
              <w:t>6.提供7×24小时网络通信保障、实时监控及故障维护服务；</w:t>
            </w:r>
          </w:p>
          <w:p>
            <w:pPr>
              <w:pStyle w:val="null3"/>
            </w:pPr>
            <w:r>
              <w:rPr>
                <w:rFonts w:ascii="仿宋_GB2312" w:hAnsi="仿宋_GB2312" w:cs="仿宋_GB2312" w:eastAsia="仿宋_GB2312"/>
              </w:rPr>
              <w:t>7.供应商在接到故障报修后，10分钟内响应，故障修复时限不得超过2小时，如遇复杂故障无法在2小时内解决的，供应商应立即提供替代服务及配套内容，确保采购人正常业务不受影响；</w:t>
            </w:r>
          </w:p>
          <w:p>
            <w:pPr>
              <w:pStyle w:val="null3"/>
            </w:pPr>
            <w:r>
              <w:rPr>
                <w:rFonts w:ascii="仿宋_GB2312" w:hAnsi="仿宋_GB2312" w:cs="仿宋_GB2312" w:eastAsia="仿宋_GB2312"/>
              </w:rPr>
              <w:t>8.供应商在进行可能影响采购人业务的网络调整、升级、割接时，必须提前3个工作日以书面形式通知采购人，并尽量安排在凌晨0：00-6：00进行；</w:t>
            </w:r>
          </w:p>
          <w:p>
            <w:pPr>
              <w:pStyle w:val="null3"/>
            </w:pPr>
            <w:r>
              <w:rPr>
                <w:rFonts w:ascii="仿宋_GB2312" w:hAnsi="仿宋_GB2312" w:cs="仿宋_GB2312" w:eastAsia="仿宋_GB2312"/>
              </w:rPr>
              <w:t>9.供应商需与采购人签署数据保密协议，严格遵循保密协议，凡涉及采购人的机型配置、IP地址、生产经营数据、软件等信息不得向第三方泄露，维护过程中如需涉及采购人系统的数据信息，必须先通过采购人认可，维护工作的数据信息（无论何种形式）不得带离采购人工作现场，不得随意复制和传播。</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按项目需求配置</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按项目需求配置</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合同服务期1年，2026年7月1日至2027年6月30日。根据《财政部关于推进和完善服务项目政府采购有关问知》(财库〔2014〕37号)有关规定，本项目在合同期满前，采购人对成交供应商进行考核，根据服务满意程度，采购人有权决定是否续签合同，每次续签期限为1年，累计合同履行期限不超过3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西安石油大学指定地点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进度款，按月支付，付款前成交供应商应提供增值税专用发票，达到付款条件起10个工作日内，支付合同总金额的8.33%</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进度款，按月支付，付款前成交供应商应提供增值税专用发票，达到付款条件起10个工作日内，支付合同总金额的8.33%</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进度款，按月支付，付款前成交供应商应提供增值税专用发票，达到付款条件起10个工作日内，支付合同总金额的8.33%</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进度款，按月支付，付款前成交供应商应提供增值税专用发票，达到付款条件起10个工作日内，支付合同总金额的8.33%</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进度款，按月支付，付款前成交供应商应提供增值税专用发票，达到付款条件起10个工作日内，支付合同总金额的8.33%</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进度款，按月支付，付款前成交供应商应提供增值税专用发票，达到付款条件起10个工作日内，支付合同总金额的8.33%</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进度款，按月支付，付款前成交供应商应提供增值税专用发票，达到付款条件起10个工作日内，支付合同总金额的8.33%</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进度款，按月支付，付款前成交供应商应提供增值税专用发票，达到付款条件起10个工作日内，支付合同总金额的8.33%</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进度款，按月支付，付款前成交供应商应提供增值税专用发票，达到付款条件起10个工作日内，支付合同总金额的8.33%</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进度款，按月支付，付款前成交供应商应提供增值税专用发票，达到付款条件起10个工作日内，支付合同总金额的8.33%</w:t>
      </w:r>
    </w:p>
    <w:p>
      <w:pPr>
        <w:pStyle w:val="null3"/>
        <w:ind w:firstLine="1200"/>
      </w:pPr>
      <w:r>
        <w:rPr>
          <w:rFonts w:ascii="仿宋_GB2312" w:hAnsi="仿宋_GB2312" w:cs="仿宋_GB2312" w:eastAsia="仿宋_GB2312"/>
        </w:rPr>
        <w:t>11、</w:t>
      </w:r>
      <w:r>
        <w:rPr>
          <w:rFonts w:ascii="仿宋_GB2312" w:hAnsi="仿宋_GB2312" w:cs="仿宋_GB2312" w:eastAsia="仿宋_GB2312"/>
        </w:rPr>
        <w:t>进度款，按月支付，付款前成交供应商应提供增值税专用发票，达到付款条件起10个工作日内，支付合同总金额的8.33%</w:t>
      </w:r>
    </w:p>
    <w:p>
      <w:pPr>
        <w:pStyle w:val="null3"/>
        <w:ind w:firstLine="1200"/>
      </w:pPr>
      <w:r>
        <w:rPr>
          <w:rFonts w:ascii="仿宋_GB2312" w:hAnsi="仿宋_GB2312" w:cs="仿宋_GB2312" w:eastAsia="仿宋_GB2312"/>
        </w:rPr>
        <w:t>12、</w:t>
      </w:r>
      <w:r>
        <w:rPr>
          <w:rFonts w:ascii="仿宋_GB2312" w:hAnsi="仿宋_GB2312" w:cs="仿宋_GB2312" w:eastAsia="仿宋_GB2312"/>
        </w:rPr>
        <w:t>进度款，按月支付，付款前成交供应商应提供增值税专用发票，达到付款条件起10个工作日内，支付合同总金额的8.37%</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根据协商文件、响应文件、合同约定及相关法律法规</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根据协商文件、响应文件、合同约定及相关法律法规</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3.4.1协商保证金注意事项：（1）协商保证金须从供应商户名支付，如从个人户名或非供应商户名支付，将被拒绝，视为自动放弃投标权利（该个人是供应商的情形除外）；以保函形式交纳协商保证金的，供应商应在响应截止时间前将保函扫描成清晰的PDF文件，发送至邮箱2559647209@qq.com（邮件命名：项目编号），并将保函原件单独递交至代理机构财务；供应商应在协商文件中附保函复印件。保函必须由具有开具投标保函资格的单位开具；若供应商违约，开具保函单位承担连带责任；（2）协商保证金的提交金额、时间不满足协商文件要求的，投标无效；（3）协商保证金以采购代理机构到账凭证为准，供应商无需更换交纳凭证，由采购代理机构统一提供。（4）未按指定账户提交的，我公司将退回，供应商须在文件递交截止时间前按照指定账户再次提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5月（含5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5月（含5月）以来至少一个月已缴纳的社会保障资金的证明（社会保障资金缴存单据或社保机构开具的社会保险参保缴费情况证明等）；依法不需要缴纳社会保障资金的供应商应提供相关文件证明； ④提供具有履行本合同所必需的设备和专业技术能力的声明； ⑤参加本次政府采购活动前3年内在经营活动中没有重大违纪，以及未被列入失信被执行人、重大税收违法失信主体名单、政府采购严重违法失信行为记录名单的书面声明</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法人提供会计师事务所出具有效的2024年度或2025年度审计报告（审计报告须具有注册会计师行业统一监管平台https://acc.mof.gov.cn赋予的验证码）（成立时间至提交响应文件截止时间不足一年的可提供成立后任意时段的资产负债表），或提交自2025年11月1日以来银行出具的资信证明（以上两种形式的资料提供任何一种即可）；其他组织和自然人提供银行出具的资信证明或财务报表。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法定代表人参加协商的，须出示身份证；法定代表人授权本单位他人参加协商的，须提供法定代表人授权委托书。供应商需在项目电子化交易系统中按要求填写并进行电子签章。</w:t>
            </w:r>
          </w:p>
        </w:tc>
        <w:tc>
          <w:tcPr>
            <w:tcW w:type="dxa" w:w="1661"/>
          </w:tcPr>
          <w:p>
            <w:pPr>
              <w:pStyle w:val="null3"/>
            </w:pPr>
            <w:r>
              <w:rPr>
                <w:rFonts w:ascii="仿宋_GB2312" w:hAnsi="仿宋_GB2312" w:cs="仿宋_GB2312" w:eastAsia="仿宋_GB2312"/>
              </w:rPr>
              <w:t>供应商资格证明文件.docx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专门面向中小企业</w:t>
            </w:r>
          </w:p>
        </w:tc>
        <w:tc>
          <w:tcPr>
            <w:tcW w:type="dxa" w:w="3322"/>
          </w:tcPr>
          <w:p>
            <w:pPr>
              <w:pStyle w:val="null3"/>
            </w:pPr>
            <w:r>
              <w:rPr>
                <w:rFonts w:ascii="仿宋_GB2312" w:hAnsi="仿宋_GB2312" w:cs="仿宋_GB2312" w:eastAsia="仿宋_GB2312"/>
              </w:rPr>
              <w:t>本项目为专门面向中小企业采购，供应商应为中型企业或小型、微型企业或监狱企业或残疾人福利性单位。供应商为中型、小型、微型企业的，提供《中小企业声明函》；供应商为监狱企业的，应提供监狱企业的证明文件；供应商为残疾人福利性单位的，应提供《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满足本单一来源采购文件中第三章中商务要求的“服务期限、服务地点、支付方式、支付约定”的实质性条款要求的</w:t>
            </w:r>
          </w:p>
        </w:tc>
        <w:tc>
          <w:tcPr>
            <w:tcW w:type="dxa" w:w="1661"/>
          </w:tcPr>
          <w:p>
            <w:pPr>
              <w:pStyle w:val="null3"/>
            </w:pPr>
            <w:r>
              <w:rPr>
                <w:rFonts w:ascii="仿宋_GB2312" w:hAnsi="仿宋_GB2312" w:cs="仿宋_GB2312" w:eastAsia="仿宋_GB2312"/>
              </w:rPr>
              <w:t>商务部分偏离表.docx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审小组认为供应商投标报价明显低于其他通过符合性审查投标人的投标报价，有可能影响产品质量或者不能诚信履约的，评审小组应当要求其在合理的时间内在项目电子化交易系统中上传说明材料，必要时提交相关证明材料。供应商提交的相关证明材料，应当加盖供应商（法定名称）电子印章，在评审小组要求的时间内通过项目电子化交易系统进行提交，否则提交的相关证明材料无效。供应商不能证明其投标报价合理性的，评审小组应当将其响应文件作为无效处理。</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供应商按照要求上传响应文件</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响应报价未超采购预算或最高限价</w:t>
            </w:r>
          </w:p>
        </w:tc>
        <w:tc>
          <w:tcPr>
            <w:tcW w:type="dxa" w:w="3322"/>
          </w:tcPr>
          <w:p>
            <w:pPr>
              <w:pStyle w:val="null3"/>
            </w:pPr>
            <w:r>
              <w:rPr>
                <w:rFonts w:ascii="仿宋_GB2312" w:hAnsi="仿宋_GB2312" w:cs="仿宋_GB2312" w:eastAsia="仿宋_GB2312"/>
              </w:rPr>
              <w:t>供应商响应报价未超采购预算或最高限价的</w:t>
            </w:r>
          </w:p>
        </w:tc>
        <w:tc>
          <w:tcPr>
            <w:tcW w:type="dxa" w:w="1661"/>
          </w:tcPr>
          <w:p>
            <w:pPr>
              <w:pStyle w:val="null3"/>
            </w:pPr>
            <w:r>
              <w:rPr>
                <w:rFonts w:ascii="仿宋_GB2312" w:hAnsi="仿宋_GB2312" w:cs="仿宋_GB2312" w:eastAsia="仿宋_GB2312"/>
              </w:rPr>
              <w:t>标的清单 报价表 分项价格表.docx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按照采购文件规定要求签署、盖章的</w:t>
            </w:r>
          </w:p>
        </w:tc>
        <w:tc>
          <w:tcPr>
            <w:tcW w:type="dxa" w:w="1661"/>
          </w:tcPr>
          <w:p>
            <w:pPr>
              <w:pStyle w:val="null3"/>
            </w:pPr>
            <w:r>
              <w:rPr>
                <w:rFonts w:ascii="仿宋_GB2312" w:hAnsi="仿宋_GB2312" w:cs="仿宋_GB2312" w:eastAsia="仿宋_GB2312"/>
              </w:rPr>
              <w:t>响应文件封面 服务响应与偏离表.docx 中小企业声明函 残疾人福利性单位声明函 标的清单 服务方案、组织机构、服务承诺.docx 报价表 供应商资格证明文件.docx 商务部分偏离表.docx 响应函 监狱企业的证明文件 分项价格表.docx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其他内容</w:t>
            </w:r>
          </w:p>
        </w:tc>
        <w:tc>
          <w:tcPr>
            <w:tcW w:type="dxa" w:w="3322"/>
          </w:tcPr>
          <w:p>
            <w:pPr>
              <w:pStyle w:val="null3"/>
            </w:pPr>
            <w:r>
              <w:rPr>
                <w:rFonts w:ascii="仿宋_GB2312" w:hAnsi="仿宋_GB2312" w:cs="仿宋_GB2312" w:eastAsia="仿宋_GB2312"/>
              </w:rPr>
              <w:t>无法律法规和采购文件规定的其他无效情形</w:t>
            </w:r>
          </w:p>
        </w:tc>
        <w:tc>
          <w:tcPr>
            <w:tcW w:type="dxa" w:w="1661"/>
          </w:tcPr>
          <w:p>
            <w:pPr>
              <w:pStyle w:val="null3"/>
            </w:pPr>
            <w:r>
              <w:rPr>
                <w:rFonts w:ascii="仿宋_GB2312" w:hAnsi="仿宋_GB2312" w:cs="仿宋_GB2312" w:eastAsia="仿宋_GB2312"/>
              </w:rPr>
              <w:t>服务方案、组织机构、服务承诺.docx 承诺书.docx</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详见附件：分项价格表.docx</w:t>
      </w:r>
    </w:p>
    <w:p>
      <w:pPr>
        <w:pStyle w:val="null3"/>
        <w:ind w:firstLine="960"/>
      </w:pPr>
      <w:r>
        <w:rPr>
          <w:rFonts w:ascii="仿宋_GB2312" w:hAnsi="仿宋_GB2312" w:cs="仿宋_GB2312" w:eastAsia="仿宋_GB2312"/>
        </w:rPr>
        <w:t>详见附件：商务部分偏离表.docx</w:t>
      </w:r>
    </w:p>
    <w:p>
      <w:pPr>
        <w:pStyle w:val="null3"/>
        <w:ind w:firstLine="960"/>
      </w:pPr>
      <w:r>
        <w:rPr>
          <w:rFonts w:ascii="仿宋_GB2312" w:hAnsi="仿宋_GB2312" w:cs="仿宋_GB2312" w:eastAsia="仿宋_GB2312"/>
        </w:rPr>
        <w:t>详见附件：服务响应与偏离表.docx</w:t>
      </w:r>
    </w:p>
    <w:p>
      <w:pPr>
        <w:pStyle w:val="null3"/>
        <w:ind w:firstLine="960"/>
      </w:pPr>
      <w:r>
        <w:rPr>
          <w:rFonts w:ascii="仿宋_GB2312" w:hAnsi="仿宋_GB2312" w:cs="仿宋_GB2312" w:eastAsia="仿宋_GB2312"/>
        </w:rPr>
        <w:t>详见附件：服务方案、组织机构、服务承诺.docx</w:t>
      </w:r>
    </w:p>
    <w:p>
      <w:pPr>
        <w:pStyle w:val="null3"/>
        <w:ind w:firstLine="960"/>
      </w:pPr>
      <w:r>
        <w:rPr>
          <w:rFonts w:ascii="仿宋_GB2312" w:hAnsi="仿宋_GB2312" w:cs="仿宋_GB2312" w:eastAsia="仿宋_GB2312"/>
        </w:rPr>
        <w:t>详见附件：承诺书.docx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详见附件：合同正文.docx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