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版本号：YMD-2026135F20260820001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辛家庙校区停车场维修改造项目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YMD-2026135F</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辛家庙校区停车场维修改造项目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YMD-2026135F</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辛家庙校区停车场维修改造项目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辛家庙校区现有在册车辆90余辆，但停车位仅有53个，停放无序，教学楼附近车辆停放多，影响教学开展，现有停车位，已经不能满足教职工的停车需求，故计划对逸静楼对面的空地约1500平方米进行改造，改造为停车场，预计可建车位40个，项目包含地面拆除、找平敷设、绿化、棚子搭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采购包1（辛家庙校区停车场维修改造项目）：属于专门面向中小企业采购。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1、供应商资质要求：供应商须具备建筑工程施工总承包三级及以上资质，并具备合法有效的安全生产许可证。</w:t>
      </w:r>
    </w:p>
    <w:p>
      <w:pPr>
        <w:pStyle w:val="null3"/>
      </w:pPr>
      <w:r>
        <w:rPr>
          <w:rFonts w:ascii="仿宋_GB2312" w:hAnsi="仿宋_GB2312" w:cs="仿宋_GB2312" w:eastAsia="仿宋_GB2312"/>
        </w:rPr>
        <w:t>2、项目经理资质要求：拟派项目经理须具有建筑工程专业二级及以上注册建造师证书和有效的安全生产考核证书（B证）且无在建工程、无不良记录（提供无在建工程、无不良记录承诺书）。</w:t>
      </w:r>
    </w:p>
    <w:p>
      <w:pPr>
        <w:pStyle w:val="null3"/>
      </w:pPr>
      <w:r>
        <w:rPr>
          <w:rFonts w:ascii="仿宋_GB2312" w:hAnsi="仿宋_GB2312" w:cs="仿宋_GB2312" w:eastAsia="仿宋_GB2312"/>
        </w:rPr>
        <w:t>3、供应商基本信息及拟派项目经理基本信息：供应商基本信息及拟派项目经理(建造师)的基本信息在“陕西省住房和城乡建设厅网站(http://js.shaanxi.gov.cn/)”可查询。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13892886071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陕西省西咸新区沣西新城秦皇大道南段尚业路总部经济园6号楼516室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踏勘时间：2026-08-31 09:30:00</w:t>
            </w:r>
          </w:p>
          <w:p>
            <w:pPr>
              <w:pStyle w:val="null3"/>
              <w:ind w:firstLine="975"/>
            </w:pPr>
            <w:r>
              <w:rPr>
                <w:rFonts w:ascii="仿宋_GB2312" w:hAnsi="仿宋_GB2312" w:cs="仿宋_GB2312" w:eastAsia="仿宋_GB2312"/>
              </w:rPr>
              <w:t>踏勘地点：西安职业技术学院辛家庙校区南门（西安市未央区太元路99号）</w:t>
            </w:r>
          </w:p>
          <w:p>
            <w:pPr>
              <w:pStyle w:val="null3"/>
              <w:ind w:firstLine="975"/>
            </w:pPr>
            <w:r>
              <w:rPr>
                <w:rFonts w:ascii="仿宋_GB2312" w:hAnsi="仿宋_GB2312" w:cs="仿宋_GB2312" w:eastAsia="仿宋_GB2312"/>
              </w:rPr>
              <w:t>联系人：王彩玲</w:t>
            </w:r>
          </w:p>
          <w:p>
            <w:pPr>
              <w:pStyle w:val="null3"/>
              <w:ind w:firstLine="975"/>
            </w:pPr>
            <w:r>
              <w:rPr>
                <w:rFonts w:ascii="仿宋_GB2312" w:hAnsi="仿宋_GB2312" w:cs="仿宋_GB2312" w:eastAsia="仿宋_GB2312"/>
              </w:rPr>
              <w:t>联系电话号码：18182603963</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按照国家及地方的标准规范要求、磋商交件、响应文件及合同约定执行。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地址：陕西省西安市雁塔区旺座曲江M座25楼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停车场施工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标的名称：停车场施工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辛家庙校区现有在册车辆</w:t>
            </w:r>
            <w:r>
              <w:rPr>
                <w:rFonts w:ascii="仿宋_GB2312" w:hAnsi="仿宋_GB2312" w:cs="仿宋_GB2312" w:eastAsia="仿宋_GB2312"/>
              </w:rPr>
              <w:t>90余辆，但停车位仅有53个，停放无序，教学楼附近车辆停放多，影响教学开展，现有停车位，已经不能满足教职工的停车需求，故计划对逸静楼对面的空地约1500平方米进行改造，改造为停车场，预计可建车位40个，项目包含地面拆除、找平敷设、绿化、棚子搭建。</w:t>
            </w:r>
          </w:p>
          <w:p>
            <w:pPr>
              <w:pStyle w:val="null3"/>
            </w:pPr>
            <w:r>
              <w:rPr>
                <w:rFonts w:ascii="仿宋_GB2312" w:hAnsi="仿宋_GB2312" w:cs="仿宋_GB2312" w:eastAsia="仿宋_GB2312"/>
              </w:rPr>
              <w:t>二、工程内容和施工地点、计划工期、缺陷责任期、质量保修期</w:t>
            </w:r>
          </w:p>
          <w:p>
            <w:pPr>
              <w:pStyle w:val="null3"/>
            </w:pPr>
            <w:r>
              <w:rPr>
                <w:rFonts w:ascii="仿宋_GB2312" w:hAnsi="仿宋_GB2312" w:cs="仿宋_GB2312" w:eastAsia="仿宋_GB2312"/>
              </w:rPr>
              <w:t>（一）工程内容：</w:t>
            </w:r>
          </w:p>
          <w:tbl>
            <w:tblPr>
              <w:tblInd w:type="dxa" w:w="120"/>
              <w:tblBorders>
                <w:top w:val="none" w:color="000000" w:sz="4"/>
                <w:left w:val="none" w:color="000000" w:sz="4"/>
                <w:bottom w:val="none" w:color="000000" w:sz="4"/>
                <w:right w:val="none" w:color="000000" w:sz="4"/>
                <w:insideH w:val="none"/>
                <w:insideV w:val="none"/>
              </w:tblBorders>
            </w:tblPr>
            <w:tblGrid>
              <w:gridCol w:w="293"/>
              <w:gridCol w:w="487"/>
              <w:gridCol w:w="1772"/>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改造项目</w:t>
                  </w:r>
                </w:p>
              </w:tc>
              <w:tc>
                <w:tcPr>
                  <w:tcW w:type="dxa" w:w="1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内容</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停车场</w:t>
                  </w:r>
                </w:p>
              </w:tc>
              <w:tc>
                <w:tcPr>
                  <w:tcW w:type="dxa" w:w="1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原混凝土地面破除及平整敷设，垃圾外运；部分绿化；建设停车位、划线、减速带、限位器，洗车位；建设路灯；原铁皮房移位，并规整处理杂物；建设污水井；水管路敷设并建设拖布池及配套设施，详见工程量清单。</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道沿及绿化</w:t>
                  </w:r>
                </w:p>
              </w:tc>
              <w:tc>
                <w:tcPr>
                  <w:tcW w:type="dxa" w:w="1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拆除原道沿石、花砖并重新敷设，并改造排水，垃圾外运。详见工程量清单。</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活动板房</w:t>
                  </w:r>
                </w:p>
              </w:tc>
              <w:tc>
                <w:tcPr>
                  <w:tcW w:type="dxa" w:w="1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建设地基并搭建活动板房，断桥铝窗户；金属卷闸门。详见工程量清单。</w:t>
                  </w:r>
                </w:p>
              </w:tc>
            </w:tr>
          </w:tbl>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计划工期：</w:t>
            </w:r>
            <w:r>
              <w:rPr>
                <w:rFonts w:ascii="仿宋_GB2312" w:hAnsi="仿宋_GB2312" w:cs="仿宋_GB2312" w:eastAsia="仿宋_GB2312"/>
              </w:rPr>
              <w:t>25</w:t>
            </w:r>
            <w:r>
              <w:rPr>
                <w:rFonts w:ascii="仿宋_GB2312" w:hAnsi="仿宋_GB2312" w:cs="仿宋_GB2312" w:eastAsia="仿宋_GB2312"/>
              </w:rPr>
              <w:t>日</w:t>
            </w:r>
            <w:r>
              <w:rPr>
                <w:rFonts w:ascii="仿宋_GB2312" w:hAnsi="仿宋_GB2312" w:cs="仿宋_GB2312" w:eastAsia="仿宋_GB2312"/>
              </w:rPr>
              <w:t>历日。</w:t>
            </w:r>
          </w:p>
          <w:p>
            <w:pPr>
              <w:pStyle w:val="null3"/>
            </w:pPr>
            <w:r>
              <w:rPr>
                <w:rFonts w:ascii="仿宋_GB2312" w:hAnsi="仿宋_GB2312" w:cs="仿宋_GB2312" w:eastAsia="仿宋_GB2312"/>
              </w:rPr>
              <w:t>（三）缺陷责任期：自竣工验收合格之日起满</w:t>
            </w:r>
            <w:r>
              <w:rPr>
                <w:rFonts w:ascii="仿宋_GB2312" w:hAnsi="仿宋_GB2312" w:cs="仿宋_GB2312" w:eastAsia="仿宋_GB2312"/>
              </w:rPr>
              <w:t>2年。</w:t>
            </w:r>
          </w:p>
          <w:p>
            <w:pPr>
              <w:pStyle w:val="null3"/>
            </w:pPr>
            <w:r>
              <w:rPr>
                <w:rFonts w:ascii="仿宋_GB2312" w:hAnsi="仿宋_GB2312" w:cs="仿宋_GB2312" w:eastAsia="仿宋_GB2312"/>
              </w:rPr>
              <w:t>（四）质量保修期：自竣工验收合格之日起满</w:t>
            </w:r>
            <w:r>
              <w:rPr>
                <w:rFonts w:ascii="仿宋_GB2312" w:hAnsi="仿宋_GB2312" w:cs="仿宋_GB2312" w:eastAsia="仿宋_GB2312"/>
              </w:rPr>
              <w:t>2年。</w:t>
            </w:r>
          </w:p>
          <w:p>
            <w:pPr>
              <w:pStyle w:val="null3"/>
            </w:pP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工程量清单和计价依据</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）工程量清单</w:t>
            </w:r>
            <w:r>
              <w:rPr>
                <w:rFonts w:ascii="仿宋_GB2312" w:hAnsi="仿宋_GB2312" w:cs="仿宋_GB2312" w:eastAsia="仿宋_GB2312"/>
              </w:rPr>
              <w:t>:见工程量清单。</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）计价依据</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）《陕西省建设工程工程量清单计价标准》（</w:t>
            </w:r>
            <w:r>
              <w:rPr>
                <w:rFonts w:ascii="仿宋_GB2312" w:hAnsi="仿宋_GB2312" w:cs="仿宋_GB2312" w:eastAsia="仿宋_GB2312"/>
              </w:rPr>
              <w:t>DB61/T 5126-2025）、《陕西省建设工程费用规则》（2025）；</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）陕西省工程建设标准《房屋建筑与装饰工程工程量计算标准》</w:t>
            </w:r>
            <w:r>
              <w:rPr>
                <w:rFonts w:ascii="仿宋_GB2312" w:hAnsi="仿宋_GB2312" w:cs="仿宋_GB2312" w:eastAsia="仿宋_GB2312"/>
              </w:rPr>
              <w:t>DB61/T 5129-2025、陕西省工程建设标准《通用安装工程工程量计算标准》DB61/T 5130-2025、陕西省工程建设标准《市政工程工程量计算标准》DB61/T 5128-2025、陕西省工程建设标准《园林绿化工程工程量计算标准》DB61/T 5131-2025；</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）《陕西省房屋建筑与装饰工程消耗量定额》（</w:t>
            </w:r>
            <w:r>
              <w:rPr>
                <w:rFonts w:ascii="仿宋_GB2312" w:hAnsi="仿宋_GB2312" w:cs="仿宋_GB2312" w:eastAsia="仿宋_GB2312"/>
              </w:rPr>
              <w:t>2025）、《陕西省通用安装工程消耗量定额》（2025）、《陕西省市政工程消耗量定额》（2025）、《陕西省园林绿化工程消耗量定额》(2025)、《陕西省绿色建筑工程消耗量定额》(2025)、《陕西省城市地下综合管廊工程消耗量定额》(2025)、《陕西省绿色建筑工程消耗量定额》(2025)；</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）《陕西省房屋建筑与装饰工程基价表》</w:t>
            </w:r>
            <w:r>
              <w:rPr>
                <w:rFonts w:ascii="仿宋_GB2312" w:hAnsi="仿宋_GB2312" w:cs="仿宋_GB2312" w:eastAsia="仿宋_GB2312"/>
              </w:rPr>
              <w:t>(2025)、《陕西省通用安装工程基价表》(2025)、《陕西省市政工程基价表》(2025）、《陕西省园林绿化工程基价表》(2025)、《陕西省城市地下综合管廊工程基价表》(2025)、《陕西省绿色建筑工程基价表》(2025)；</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）《陕西省建设工程施工机械台班费用定额》（</w:t>
            </w:r>
            <w:r>
              <w:rPr>
                <w:rFonts w:ascii="仿宋_GB2312" w:hAnsi="仿宋_GB2312" w:cs="仿宋_GB2312" w:eastAsia="仿宋_GB2312"/>
              </w:rPr>
              <w:t>2025）、《陕西省建设工程施工仪器仪表台班费用定额》（2025）；</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）陕建管发〔</w:t>
            </w:r>
            <w:r>
              <w:rPr>
                <w:rFonts w:ascii="仿宋_GB2312" w:hAnsi="仿宋_GB2312" w:cs="仿宋_GB2312" w:eastAsia="仿宋_GB2312"/>
              </w:rPr>
              <w:t>2025〕10号《陕西省住房和城乡建设厅关于印发2025陕西省建设工程费用规则等计价依据的通知》；</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）施工现场情况、工程特点及与本工程相关的常规施工方案、合理工期、工程验收规范及标准；</w:t>
            </w:r>
          </w:p>
          <w:p>
            <w:pPr>
              <w:pStyle w:val="null3"/>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）主要材料价参照陕西省西安市市场价或同类工程中档以上价格、陕西省西安市</w:t>
            </w:r>
            <w:r>
              <w:rPr>
                <w:rFonts w:ascii="仿宋_GB2312" w:hAnsi="仿宋_GB2312" w:cs="仿宋_GB2312" w:eastAsia="仿宋_GB2312"/>
              </w:rPr>
              <w:t>2026年第五期信息价计入；</w:t>
            </w:r>
          </w:p>
          <w:p>
            <w:pPr>
              <w:pStyle w:val="null3"/>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）与建设工程项目有关的标准、规范、图集、技术资料。</w:t>
            </w:r>
          </w:p>
          <w:p>
            <w:pPr>
              <w:pStyle w:val="null3"/>
            </w:pP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w:t>
            </w:r>
            <w:r>
              <w:rPr>
                <w:rFonts w:ascii="仿宋_GB2312" w:hAnsi="仿宋_GB2312" w:cs="仿宋_GB2312" w:eastAsia="仿宋_GB2312"/>
              </w:rPr>
              <w:t>本工程量清单采用广联达云计价平台</w:t>
            </w:r>
            <w:r>
              <w:rPr>
                <w:rFonts w:ascii="仿宋_GB2312" w:hAnsi="仿宋_GB2312" w:cs="仿宋_GB2312" w:eastAsia="仿宋_GB2312"/>
              </w:rPr>
              <w:t>GCCP7.0（7.5000.23.3版本）编制。</w:t>
            </w:r>
          </w:p>
          <w:p>
            <w:pPr>
              <w:pStyle w:val="null3"/>
            </w:pPr>
            <w:r>
              <w:rPr>
                <w:rFonts w:ascii="仿宋_GB2312" w:hAnsi="仿宋_GB2312" w:cs="仿宋_GB2312" w:eastAsia="仿宋_GB2312"/>
              </w:rPr>
              <w:t>四、施工要求</w:t>
            </w:r>
          </w:p>
          <w:p>
            <w:pPr>
              <w:pStyle w:val="null3"/>
            </w:pPr>
            <w:r>
              <w:rPr>
                <w:rFonts w:ascii="仿宋_GB2312" w:hAnsi="仿宋_GB2312" w:cs="仿宋_GB2312" w:eastAsia="仿宋_GB2312"/>
              </w:rPr>
              <w:t>（一）遵守国家相关法律、法规，遵守国家相关技术规范。</w:t>
            </w:r>
          </w:p>
          <w:p>
            <w:pPr>
              <w:pStyle w:val="null3"/>
            </w:pPr>
            <w:r>
              <w:rPr>
                <w:rFonts w:ascii="仿宋_GB2312" w:hAnsi="仿宋_GB2312" w:cs="仿宋_GB2312" w:eastAsia="仿宋_GB2312"/>
              </w:rPr>
              <w:t>（二）所选材料必须保证质量可靠、进货渠道正常，符合国家环保等相关标准，满足施工要求。</w:t>
            </w:r>
          </w:p>
          <w:p>
            <w:pPr>
              <w:pStyle w:val="null3"/>
            </w:pPr>
            <w:r>
              <w:rPr>
                <w:rFonts w:ascii="仿宋_GB2312" w:hAnsi="仿宋_GB2312" w:cs="仿宋_GB2312" w:eastAsia="仿宋_GB2312"/>
              </w:rPr>
              <w:t>（三）工程质量符合国家有关规范，确保达到合格。</w:t>
            </w:r>
          </w:p>
          <w:p>
            <w:pPr>
              <w:pStyle w:val="null3"/>
            </w:pPr>
            <w:r>
              <w:rPr>
                <w:rFonts w:ascii="仿宋_GB2312" w:hAnsi="仿宋_GB2312" w:cs="仿宋_GB2312" w:eastAsia="仿宋_GB2312"/>
              </w:rPr>
              <w:t>（四）该工程项目质量保修期按有关文件规定执行。</w:t>
            </w:r>
          </w:p>
          <w:p>
            <w:pPr>
              <w:pStyle w:val="null3"/>
            </w:pPr>
            <w:r>
              <w:rPr>
                <w:rFonts w:ascii="仿宋_GB2312" w:hAnsi="仿宋_GB2312" w:cs="仿宋_GB2312" w:eastAsia="仿宋_GB2312"/>
              </w:rPr>
              <w:t>（五）遵守有关施工规范和安全操作规程，采取有效的安全保障措施，确保施工安全，包括悬挂警示标牌、装设围栏、配备安全人员等，并承担事故的全部费用和责任。</w:t>
            </w:r>
          </w:p>
          <w:p>
            <w:pPr>
              <w:pStyle w:val="null3"/>
            </w:pPr>
            <w:r>
              <w:rPr>
                <w:rFonts w:ascii="仿宋_GB2312" w:hAnsi="仿宋_GB2312" w:cs="仿宋_GB2312" w:eastAsia="仿宋_GB2312"/>
              </w:rPr>
              <w:t>（六）施工单位必须服从当地对治安、卫生、环保、社会保险等工程建设的统一管理，并按有关规定交纳费用以及因违反相关规定而造成的罚款。</w:t>
            </w:r>
          </w:p>
          <w:p>
            <w:pPr>
              <w:pStyle w:val="null3"/>
            </w:pPr>
            <w:r>
              <w:rPr>
                <w:rFonts w:ascii="仿宋_GB2312" w:hAnsi="仿宋_GB2312" w:cs="仿宋_GB2312" w:eastAsia="仿宋_GB2312"/>
              </w:rPr>
              <w:t>（七）本工程不允许转包。</w:t>
            </w:r>
          </w:p>
          <w:p>
            <w:pPr>
              <w:pStyle w:val="null3"/>
            </w:pPr>
            <w:r>
              <w:rPr>
                <w:rFonts w:ascii="仿宋_GB2312" w:hAnsi="仿宋_GB2312" w:cs="仿宋_GB2312" w:eastAsia="仿宋_GB2312"/>
              </w:rPr>
              <w:t>（八）爱护采购方设施设备，不能为施工方便未经甲方书面同意损坏采购方设施设备。</w:t>
            </w:r>
          </w:p>
          <w:p>
            <w:pPr>
              <w:pStyle w:val="null3"/>
            </w:pPr>
            <w:r>
              <w:rPr>
                <w:rFonts w:ascii="仿宋_GB2312" w:hAnsi="仿宋_GB2312" w:cs="仿宋_GB2312" w:eastAsia="仿宋_GB2312"/>
              </w:rPr>
              <w:t>（九）供应商自行办理垃圾清理手续，遵守当地政府垃圾分类处理有关规定，承担自行处置不当导致的全部费用和责任。</w:t>
            </w:r>
          </w:p>
          <w:p>
            <w:pPr>
              <w:pStyle w:val="null3"/>
            </w:pPr>
            <w:r>
              <w:rPr>
                <w:rFonts w:ascii="仿宋_GB2312" w:hAnsi="仿宋_GB2312" w:cs="仿宋_GB2312" w:eastAsia="仿宋_GB2312"/>
              </w:rPr>
              <w:t>五、商务要求（如合同价款及结算方式等）</w:t>
            </w:r>
          </w:p>
          <w:p>
            <w:pPr>
              <w:pStyle w:val="null3"/>
            </w:pPr>
            <w:r>
              <w:rPr>
                <w:rFonts w:ascii="仿宋_GB2312" w:hAnsi="仿宋_GB2312" w:cs="仿宋_GB2312" w:eastAsia="仿宋_GB2312"/>
              </w:rPr>
              <w:t>（一）合同价款：据实结算，单价按合同规定的固定单价。</w:t>
            </w:r>
          </w:p>
          <w:p>
            <w:pPr>
              <w:pStyle w:val="null3"/>
            </w:pPr>
            <w:r>
              <w:rPr>
                <w:rFonts w:ascii="仿宋_GB2312" w:hAnsi="仿宋_GB2312" w:cs="仿宋_GB2312" w:eastAsia="仿宋_GB2312"/>
              </w:rPr>
              <w:t>（二）结算方式：签订施工合同后，成交供应商提供给采购人相应金额发票，按照计划工期开始施工；采购人收到发票后</w:t>
            </w:r>
            <w:r>
              <w:rPr>
                <w:rFonts w:ascii="仿宋_GB2312" w:hAnsi="仿宋_GB2312" w:cs="仿宋_GB2312" w:eastAsia="仿宋_GB2312"/>
              </w:rPr>
              <w:t>15个工作日内支付成交供应商合同价40%作为工程预付款;工程竣工验收合格后，成交供应商报送结算资料，结算资料经审定后15个工作日内支付至最终价。</w:t>
            </w:r>
          </w:p>
          <w:p>
            <w:pPr>
              <w:pStyle w:val="null3"/>
            </w:pPr>
            <w:r>
              <w:rPr>
                <w:rFonts w:ascii="仿宋_GB2312" w:hAnsi="仿宋_GB2312" w:cs="仿宋_GB2312" w:eastAsia="仿宋_GB2312"/>
                <w:sz w:val="21"/>
              </w:rPr>
              <w:t>（三）漏项处理：施工过程中发现工程量清单中存在漏项工程的，该漏项工程作为本项目采购的组成部分，采购人和供应商可以按照《中华人民共和国政府采购法》的规定协商解决。</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（一）质量验收标准或规范 1.国家现行有关法律、法规、环保和技术指标； 2.本项目施工合同； 3.经批准的设计文件及工程变更文件； 4.有关部政府部门的规定。 （二）违约责任 1.按《政府采购法》、《民法典》中的相关条款执行。 2.未按要求提供货物、质量、环保标准不能满足技术要求的，施工方必须无条件更换，否则，采购单位有权终止合同，并对施工方的违约行为报监管机构进行相应的处罚。 3.施工方不能按期交工的，每逾期一日应向项目单位支付合同总价款2‰的违约金，给采购单位造成损失的，应予以赔偿。 （三）与本工程相关的特别说明 本项目包工、包料、包工期、包质量、包安全、包调试、包垃圾外运、包文明施工，成交供应商要结合工程情况合理报价，按照采购方要求施工。 （四）成交供应商在领取中标通知书时提供纸质版响应文件一正两副。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2、具有独立承担民事责任能力的法人、其他组织或自然人，提供合法有效的统一社会信用代码营业执照（事业单位提供事业单位法人证书，自然人应提供身份证）； 3、提供2025年度经审计的财务会计报告或提交投标文件截止时间三个月内其基本账户开户银行出具的资信证明（附基本存款账户信息）； 4、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5、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6、参加本次政府采购活动前3年内在经营活动中没有重大违法记录，以及未被列入失信被执行人、重大税收违法案件当事人名单、政府采购严重违法失信行为记录名单的书面声明； 7、供应商须提供具有履行合同所必需的设备和专业技术能力的承诺； 8、供应商应授权合法的人员参与磋商全过程，其中法定代表人直接磋商，须附法定代表人身份证明书。法定代表人授权代表参加磋商的，须附法定代表人授权书； 9、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10、本项目不接受联合体磋商。</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报价函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供应商须具备建筑工程施工总承包三级及以上资质，并具备合法有效的安全生产许可证。</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拟派项目经理须具有建筑工程专业二级及以上注册建造师证书和有效的安全生产考核证书（B证）且无在建工程、无不良记录（提供无在建工程、无不良记录承诺书）。</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供应商基本信息及拟派项目经理基本信息</w:t>
            </w:r>
          </w:p>
        </w:tc>
        <w:tc>
          <w:tcPr>
            <w:tcW w:type="dxa" w:w="3322"/>
          </w:tcPr>
          <w:p>
            <w:pPr>
              <w:pStyle w:val="null3"/>
            </w:pPr>
            <w:r>
              <w:rPr>
                <w:rFonts w:ascii="仿宋_GB2312" w:hAnsi="仿宋_GB2312" w:cs="仿宋_GB2312" w:eastAsia="仿宋_GB2312"/>
              </w:rPr>
              <w:t>供应商基本信息及拟派项目经理(建造师)的基本信息在“陕西省住房和城乡建设厅网站(http://js.shaanxi.gov.cn/)”可查询。</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报价函 标的清单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响应内容满足采购文件中商务要求或技术实质性要求、不存在漏项或数量与要求不符</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符合法律法规或者磋商文件要求。</w:t>
            </w:r>
          </w:p>
        </w:tc>
        <w:tc>
          <w:tcPr>
            <w:tcW w:type="dxa" w:w="1661"/>
          </w:tcPr>
          <w:p>
            <w:pPr>
              <w:pStyle w:val="null3"/>
            </w:pPr>
            <w:r>
              <w:rPr>
                <w:rFonts w:ascii="仿宋_GB2312" w:hAnsi="仿宋_GB2312" w:cs="仿宋_GB2312" w:eastAsia="仿宋_GB2312"/>
              </w:rPr>
              <w:t>技术方案.docx 已标价工程量清单 中小企业声明函 企业业绩.docx 技术服务合同条款及其他商务要求应答表 项目经理业绩.docx 项目经理职称证.docx 强制优先采购产品承诺函 响应文件封面 供应商应提交的相关资格证明材料.docx 残疾人福利性单位声明函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施工方案总体说明</w:t>
            </w:r>
          </w:p>
        </w:tc>
        <w:tc>
          <w:tcPr>
            <w:tcW w:type="dxa" w:w="2492"/>
          </w:tcPr>
          <w:p>
            <w:pPr>
              <w:pStyle w:val="null3"/>
            </w:pPr>
            <w:r>
              <w:rPr>
                <w:rFonts w:ascii="仿宋_GB2312" w:hAnsi="仿宋_GB2312" w:cs="仿宋_GB2312" w:eastAsia="仿宋_GB2312"/>
              </w:rPr>
              <w:t>施工方案总体说明全面合理、对项目理解程度高得 6分，施工方案总体说明基本合理但不够全面、对项目理解程度较高得4分，施工方案总体说明不够全面合理、对项目理解程度一般得2分，未提供不得分。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工程质量的技术组织措施全面合理得6分，内容合理但不够详细具体得4分，内容不够详细也不合理得2分，未提供不得分。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安全生产的技术组织措施全面合理得6分，内容合理但不够详细具体得4分，内容不够详细也不合理得2分，未提供不得分。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文明施工的技术组织措施及环境保护措施全面合理得6分，内容合理但不够详细具体得4分，内容不够详细也不合理得2分，未提供不得分。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具备工程类高级技术职称的，计3分。 评审依据:提供拟派项目经理的技术职称证书的扫描件(或复印件)并加盖供应商公章。供应商如未按照上述要求提供相关证明材料的或所提供内容辨析不清、不完整的，不得分。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自2023年1月1日起至本项目响应文件递交截止时间止，每提供1项类似业绩（与房建相关的业绩）证明材料的计2分，最多计8分。 评审依据:以供应商所提供的合同扫描件(或复印件)并加盖供应商公章为准，合同上应体现供应商拟派项目负责人的相关信息(包括但不限于姓名等相关内容)，时间以合同签订时间为依据。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vMerge/>
          </w:tcPr>
          <w:p/>
        </w:tc>
        <w:tc>
          <w:tcPr>
            <w:tcW w:type="dxa" w:w="1661"/>
          </w:tcPr>
          <w:p>
            <w:pPr>
              <w:pStyle w:val="null3"/>
            </w:pPr>
            <w:r>
              <w:rPr>
                <w:rFonts w:ascii="仿宋_GB2312" w:hAnsi="仿宋_GB2312" w:cs="仿宋_GB2312" w:eastAsia="仿宋_GB2312"/>
              </w:rPr>
              <w:t>项目组成员构成</w:t>
            </w:r>
          </w:p>
        </w:tc>
        <w:tc>
          <w:tcPr>
            <w:tcW w:type="dxa" w:w="2492"/>
          </w:tcPr>
          <w:p>
            <w:pPr>
              <w:pStyle w:val="null3"/>
            </w:pPr>
            <w:r>
              <w:rPr>
                <w:rFonts w:ascii="仿宋_GB2312" w:hAnsi="仿宋_GB2312" w:cs="仿宋_GB2312" w:eastAsia="仿宋_GB2312"/>
              </w:rPr>
              <w:t>项目组成员包含质量员、施工员、材料员、安全员、资料员且具有相应资格证得2分，每多提供一个人员加1分，最高得5分。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vMerge/>
          </w:tcPr>
          <w:p/>
        </w:tc>
        <w:tc>
          <w:tcPr>
            <w:tcW w:type="dxa" w:w="1661"/>
          </w:tcPr>
          <w:p>
            <w:pPr>
              <w:pStyle w:val="null3"/>
            </w:pPr>
            <w:r>
              <w:rPr>
                <w:rFonts w:ascii="仿宋_GB2312" w:hAnsi="仿宋_GB2312" w:cs="仿宋_GB2312" w:eastAsia="仿宋_GB2312"/>
              </w:rPr>
              <w:t>项目组成员职称</w:t>
            </w:r>
          </w:p>
        </w:tc>
        <w:tc>
          <w:tcPr>
            <w:tcW w:type="dxa" w:w="2492"/>
          </w:tcPr>
          <w:p>
            <w:pPr>
              <w:pStyle w:val="null3"/>
            </w:pPr>
            <w:r>
              <w:rPr>
                <w:rFonts w:ascii="仿宋_GB2312" w:hAnsi="仿宋_GB2312" w:cs="仿宋_GB2312" w:eastAsia="仿宋_GB2312"/>
              </w:rPr>
              <w:t>项目组成员具备1个相关专业中级及以上职称得1分，最高得3分。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施工机械配备和材料投入计划全面合理得4分，基本合理得2分，不够合理得1分，未提供不得分。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施工进度表或施工网络图全面合理得4 分，基本合理得2分，不够合理得1分，未提供不得分。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劳动力安排计划及劳务分包情况表全面合理得 4分，基本合理得2分，不够合理得1分，未提供不得分。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新技术、新产品、新工艺、新材料应用；施工现场扬尘预防措施</w:t>
            </w:r>
          </w:p>
        </w:tc>
        <w:tc>
          <w:tcPr>
            <w:tcW w:type="dxa" w:w="2492"/>
          </w:tcPr>
          <w:p>
            <w:pPr>
              <w:pStyle w:val="null3"/>
            </w:pPr>
            <w:r>
              <w:rPr>
                <w:rFonts w:ascii="仿宋_GB2312" w:hAnsi="仿宋_GB2312" w:cs="仿宋_GB2312" w:eastAsia="仿宋_GB2312"/>
              </w:rPr>
              <w:t>针对本项目列出的新技术、新产品、新工艺、新材料应用及施工现场扬尘预防措施详细合理得5分，内容合理但不够详细具体得3分，内容不够详细合理得1分，未提供不得分。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提供2023年1月1日至响应截止时间（以合同签订时间为准）类似项目业绩（与房建相关的业绩），每提供一个业绩得2分，满分10分。 评审依据：以加盖公章的业绩合同复印件或扫描件为准。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满足采购文件要求且有效响应文件的最后报价最低的为评审基准价，其价格分为满分。其他供应商的价格分统一按照下列公式计算：响应报价得分=（评标基准价/供应商最后报价）×30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项目经理业绩.docx</w:t>
            </w:r>
          </w:p>
          <w:p>
            <w:pPr>
              <w:pStyle w:val="null3"/>
            </w:pPr>
            <w:r>
              <w:rPr>
                <w:rFonts w:ascii="仿宋_GB2312" w:hAnsi="仿宋_GB2312" w:cs="仿宋_GB2312" w:eastAsia="仿宋_GB2312"/>
              </w:rPr>
              <w:t>项目经理职称证.docx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详见附件：项目经理业绩.docx</w:t>
      </w:r>
    </w:p>
    <w:p>
      <w:pPr>
        <w:pStyle w:val="null3"/>
        <w:ind w:firstLine="960"/>
      </w:pPr>
      <w:r>
        <w:rPr>
          <w:rFonts w:ascii="仿宋_GB2312" w:hAnsi="仿宋_GB2312" w:cs="仿宋_GB2312" w:eastAsia="仿宋_GB2312"/>
        </w:rPr>
        <w:t>详见附件：项目经理职称证.docx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详见附件：【工程】西安职业技术学院施工合同.docx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