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版本号：SXHH-NZCG-2026-0120260515001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2026年南郑区法镇人居环境补短板项目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SXHH-NZCG-2026-01</w:t>
      </w:r>
      <w:r>
        <w:br/>
      </w:r>
      <w:r>
        <w:br/>
      </w:r>
      <w:r>
        <w:br/>
      </w:r>
    </w:p>
    <w:p>
      <w:pPr>
        <w:pStyle w:val="null3"/>
        <w:jc w:val="center"/>
        <w:outlineLvl w:val="2"/>
      </w:pPr>
      <w:r>
        <w:rPr>
          <w:rFonts w:ascii="仿宋_GB2312" w:hAnsi="仿宋_GB2312" w:cs="仿宋_GB2312" w:eastAsia="仿宋_GB2312"/>
          <w:sz w:val="28"/>
          <w:b/>
        </w:rPr>
        <w:t>汉中市南郑区法镇人民政府</w:t>
      </w:r>
    </w:p>
    <w:p>
      <w:pPr>
        <w:pStyle w:val="null3"/>
        <w:jc w:val="center"/>
        <w:outlineLvl w:val="2"/>
      </w:pPr>
      <w:r>
        <w:rPr>
          <w:rFonts w:ascii="仿宋_GB2312" w:hAnsi="仿宋_GB2312" w:cs="仿宋_GB2312" w:eastAsia="仿宋_GB2312"/>
          <w:sz w:val="28"/>
          <w:b/>
        </w:rPr>
        <w:t>陕西昊华工程项目管理有限责任公司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陕西昊华工程项目管理有限责任公司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汉中市南郑区法镇人民政府</w:t>
      </w:r>
      <w:r>
        <w:rPr>
          <w:rFonts w:ascii="仿宋_GB2312" w:hAnsi="仿宋_GB2312" w:cs="仿宋_GB2312" w:eastAsia="仿宋_GB2312"/>
        </w:rPr>
        <w:t>委托，拟对</w:t>
      </w:r>
      <w:r>
        <w:rPr>
          <w:rFonts w:ascii="仿宋_GB2312" w:hAnsi="仿宋_GB2312" w:cs="仿宋_GB2312" w:eastAsia="仿宋_GB2312"/>
        </w:rPr>
        <w:t>2026年南郑区法镇人居环境补短板项目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SXHH-NZCG-2026-01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2026年南郑区法镇人居环境补短板项目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主要建设内容为村内卫生环境补短板提升，整治环境卫生脏乱差1311㎡，购买垃圾桶4个、钩臂垃圾箱10个，实施垃圾收集点治理2处，法镇村内户外4.4公里村内道路边环境整治提升；解决群众出行难及出行安全问题，实施路面铺设2102㎡、破损路面修复100㎡、铺设鹅卵石道牙133.58m、1.2米高混凝土安全防护栏347m；解决便民服务问题，安装农村老年人户外便民服务设施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采购包1（2026年南郑区法镇人居环境补短板项目）：属于专门面向中小企业采购。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为具有独立承担民事责任能力的企业法人、事业法人、其他组织，提供营业执照复印件（事业单位须提供事业单位法人证、组织机构代码证等证明文件；其他组织应提供合法证明文件）；：有独立承担民事责任的能力：供应商为具有独立承担民事责任能力的企业法人、事业法人、其他组织，提供营业执照复印件（事业单位须提供事业单位法人证、组织机构代码证等证明文件；其他组织应提供合法证明文件）【提供加盖公章的复印件】；</w:t>
      </w:r>
    </w:p>
    <w:p>
      <w:pPr>
        <w:pStyle w:val="null3"/>
      </w:pPr>
      <w:r>
        <w:rPr>
          <w:rFonts w:ascii="仿宋_GB2312" w:hAnsi="仿宋_GB2312" w:cs="仿宋_GB2312" w:eastAsia="仿宋_GB2312"/>
        </w:rPr>
        <w:t>2、供应商应授权合法的人员参加本次竞争性磋商活动，其中法定代表人直接参加的，须出具法人身份证，并与营业执照上信息一致；授权代表参加的，须出具法定代表人授权书及被授权人身份证；：供应商应授权合法的人员参加本次竞争性磋商活动，其中法定代表人直接参加的，须出具法人身份证，并与营业执照上信息一致；授权代表参加的，须出具法定代表人授权书及被授权人身份证【提供原件】；</w:t>
      </w:r>
    </w:p>
    <w:p>
      <w:pPr>
        <w:pStyle w:val="null3"/>
      </w:pPr>
      <w:r>
        <w:rPr>
          <w:rFonts w:ascii="仿宋_GB2312" w:hAnsi="仿宋_GB2312" w:cs="仿宋_GB2312" w:eastAsia="仿宋_GB2312"/>
        </w:rPr>
        <w:t>3、具有履行合同所必须的设备和专业技术能力：供应商须具备建设行政主管部门核发的市政公用工程施工总承包三级及以上资质等级，并具有安全生产许可证且在有效期内；：具有履行合同所必须的设备和专业技术能力：供应商须具备建设行政主管部门核发的市政公用工程施工总承包三级及以上资质等级，并具有安全生产许可证且在有效期内【①提供加盖公章的证照复印件；②供应商基本信息及项目负责人的基本信息应在“陕西省住房和城乡建设厅”或“全国建筑市场监管公共服务平台（四库一平台）”可查询，提供完整的网页截图，企业信息确认在有效期内且无不良行为记录，并加盖供应商公章】；</w:t>
      </w:r>
    </w:p>
    <w:p>
      <w:pPr>
        <w:pStyle w:val="null3"/>
      </w:pPr>
      <w:r>
        <w:rPr>
          <w:rFonts w:ascii="仿宋_GB2312" w:hAnsi="仿宋_GB2312" w:cs="仿宋_GB2312" w:eastAsia="仿宋_GB2312"/>
        </w:rPr>
        <w:t>4、拟派项目经理须具备市政公用工程专业注册建造师二级（含二级）以上执业资格和安全生产考核合格B证，在本单位注册且无不良信用、无在建工程；：拟派项目经理须具备市政公用工程专业注册建造师二级（含二级）以上执业资格和安全生产考核合格B证，在本单位注册且无不良信用、无在建工程【①提供项目经理证照复印件（职称证、注册证、安全生产考核合格B证、身份证及单位缴纳社保证明）确认在有效期内并加盖单位公章；②提供项目经理“无不良信用承诺函”原件；③提供项目经理“无在建工程”声明函原件】；</w:t>
      </w:r>
    </w:p>
    <w:p>
      <w:pPr>
        <w:pStyle w:val="null3"/>
      </w:pPr>
      <w:r>
        <w:rPr>
          <w:rFonts w:ascii="仿宋_GB2312" w:hAnsi="仿宋_GB2312" w:cs="仿宋_GB2312" w:eastAsia="仿宋_GB2312"/>
        </w:rPr>
        <w:t>5、本项目不接受联合体磋商；单位负责人为同一人或者存在控股、管理关系的不同单位不得同时参与本项目磋商响应；：本项目不接受联合体磋商；单位负责人为同一人或者存在控股、管理关系的不同单位不得同时参与本项目磋商响应【提供“非联合体声明函”原件】；</w:t>
      </w:r>
    </w:p>
    <w:p>
      <w:pPr>
        <w:pStyle w:val="null3"/>
      </w:pPr>
      <w:r>
        <w:rPr>
          <w:rFonts w:ascii="仿宋_GB2312" w:hAnsi="仿宋_GB2312" w:cs="仿宋_GB2312" w:eastAsia="仿宋_GB2312"/>
        </w:rPr>
        <w:t>6、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注：拟参与本项目磋商响应的供应商应按照汉中市财政局《关于全面推行政府采购供应商基本资格条件承诺制的通知》（汉财办采管〔2024〕20号）文件要求，提供满足相应条件的资格承诺函）；：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注：拟参与本项目磋商响应的供应商应按照汉中市财政局《关于全面推行政府采购供应商基本资格条件承诺制的通知》（汉财办采管〔2024〕20号）文件要求，提供满足相应条件的资格承诺函）【按照汉中市财政局《关于全面推行政府采购投标人基本资格条件承诺制的通知》（汉财办采管〔2024〕20号）文件要求，提供满足相应条件的资格承诺函原件（格式详见附件）】；</w:t>
      </w:r>
    </w:p>
    <w:p>
      <w:pPr>
        <w:pStyle w:val="null3"/>
      </w:pPr>
      <w:r>
        <w:rPr>
          <w:rFonts w:ascii="仿宋_GB2312" w:hAnsi="仿宋_GB2312" w:cs="仿宋_GB2312" w:eastAsia="仿宋_GB2312"/>
        </w:rPr>
        <w:t>7、磋商保证金转账凭证或磋商担保函；：磋商保证金转账凭证或磋商担保函【供应商提供加盖公章的复印件】。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汉中市南郑区法镇人民政府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汉中市南郑区法镇法镇街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732101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汉中市南郑区法镇人民政府经办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13772815075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陕西昊华工程项目管理有限责任公司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汉中市东一环路育才中学创智中心B栋6楼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15029566463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采购包1：1,012,000.00元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开户名称：陕西昊华工程项目管理有限责任公司汉中分公司</w:t>
            </w:r>
          </w:p>
          <w:p>
            <w:pPr>
              <w:pStyle w:val="null3"/>
            </w:pPr>
            <w:r>
              <w:rPr>
                <w:rFonts w:ascii="仿宋_GB2312" w:hAnsi="仿宋_GB2312" w:cs="仿宋_GB2312" w:eastAsia="仿宋_GB2312"/>
              </w:rPr>
              <w:t>开户银行：中国农业银行汉中西大街支行</w:t>
            </w:r>
          </w:p>
          <w:p>
            <w:pPr>
              <w:pStyle w:val="null3"/>
            </w:pPr>
            <w:r>
              <w:rPr>
                <w:rFonts w:ascii="仿宋_GB2312" w:hAnsi="仿宋_GB2312" w:cs="仿宋_GB2312" w:eastAsia="仿宋_GB2312"/>
              </w:rPr>
              <w:t>银行账号：26606401040007195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收取参照国家计委颁布的《招标代理服务收费管理暂行办法》(计价格[2002]1980号)和发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汉中市南郑区法镇人民政府</w:t>
      </w:r>
      <w:r>
        <w:rPr>
          <w:rFonts w:ascii="仿宋_GB2312" w:hAnsi="仿宋_GB2312" w:cs="仿宋_GB2312" w:eastAsia="仿宋_GB2312"/>
        </w:rPr>
        <w:t>和</w:t>
      </w:r>
      <w:r>
        <w:rPr>
          <w:rFonts w:ascii="仿宋_GB2312" w:hAnsi="仿宋_GB2312" w:cs="仿宋_GB2312" w:eastAsia="仿宋_GB2312"/>
        </w:rPr>
        <w:t>陕西昊华工程项目管理有限责任公司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汉中市南郑区法镇人民政府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陕西昊华工程项目管理有限责任公司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汉中市南郑区法镇人民政府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陕西昊华工程项目管理有限责任公司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陕西昊华工程项目管理有限责任公司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陕西昊华工程项目管理有限责任公司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陕西昊华工程项目管理有限责任公司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联系电话：15029566463</w:t>
      </w:r>
    </w:p>
    <w:p>
      <w:pPr>
        <w:pStyle w:val="null3"/>
      </w:pPr>
      <w:r>
        <w:rPr>
          <w:rFonts w:ascii="仿宋_GB2312" w:hAnsi="仿宋_GB2312" w:cs="仿宋_GB2312" w:eastAsia="仿宋_GB2312"/>
        </w:rPr>
        <w:t>地址：汉中市东一环路育才中学创智中心B栋6楼</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1,012,000.00</w:t>
      </w:r>
    </w:p>
    <w:p>
      <w:pPr>
        <w:pStyle w:val="null3"/>
      </w:pPr>
      <w:r>
        <w:rPr>
          <w:rFonts w:ascii="仿宋_GB2312" w:hAnsi="仿宋_GB2312" w:cs="仿宋_GB2312" w:eastAsia="仿宋_GB2312"/>
        </w:rPr>
        <w:t>采购包最高限价（元）: 1,011,998.06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2026年南郑区法镇人居环境补短板项目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1,012,000.00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标的名称：2026年南郑区法镇人居环境补短板项目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一、工程概况</w:t>
            </w:r>
          </w:p>
          <w:p>
            <w:pPr>
              <w:pStyle w:val="null3"/>
              <w:ind w:firstLine="560"/>
              <w:jc w:val="both"/>
            </w:pPr>
            <w:r>
              <w:rPr>
                <w:rFonts w:ascii="仿宋_GB2312" w:hAnsi="仿宋_GB2312" w:cs="仿宋_GB2312" w:eastAsia="仿宋_GB2312"/>
                <w:sz w:val="21"/>
              </w:rPr>
              <w:t>本工程主要建设内容为村内卫生环境补短板提升，整治环境卫生脏乱差</w:t>
            </w:r>
            <w:r>
              <w:rPr>
                <w:rFonts w:ascii="仿宋_GB2312" w:hAnsi="仿宋_GB2312" w:cs="仿宋_GB2312" w:eastAsia="仿宋_GB2312"/>
                <w:sz w:val="21"/>
              </w:rPr>
              <w:t>1311㎡，购买垃圾桶4个、钩臂垃圾箱10个，实施垃圾收集点治理2处，法镇村内户外4.4公里村内道路边环境整治提升；解决群众出行难及出行安全问题，实施路面铺设2102㎡、破损路面修复100㎡、铺设鹅卵石道牙133.58m、1.2米高混凝土安全防护栏347m；解决便民服务问题，安装农村老年人户外便民服务设施等。</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、编制依据</w:t>
            </w:r>
          </w:p>
          <w:p>
            <w:pPr>
              <w:pStyle w:val="null3"/>
              <w:jc w:val="both"/>
            </w:pPr>
            <w:r>
              <w:rPr>
                <w:rFonts w:ascii="仿宋_GB2312" w:hAnsi="仿宋_GB2312" w:cs="仿宋_GB2312" w:eastAsia="仿宋_GB2312"/>
                <w:sz w:val="21"/>
              </w:rPr>
              <w:t xml:space="preserve">  1、</w:t>
            </w:r>
            <w:r>
              <w:rPr>
                <w:rFonts w:ascii="仿宋_GB2312" w:hAnsi="仿宋_GB2312" w:cs="仿宋_GB2312" w:eastAsia="仿宋_GB2312"/>
                <w:sz w:val="21"/>
                <w:color w:val="000000"/>
              </w:rPr>
              <w:t>《陕西省建设工程工程量清单计价标准及计算标准》</w:t>
            </w:r>
            <w:r>
              <w:rPr>
                <w:rFonts w:ascii="仿宋_GB2312" w:hAnsi="仿宋_GB2312" w:cs="仿宋_GB2312" w:eastAsia="仿宋_GB2312"/>
                <w:sz w:val="21"/>
                <w:color w:val="000000"/>
              </w:rPr>
              <w:t>(2025)及其配套文件。</w:t>
            </w:r>
          </w:p>
          <w:p>
            <w:pPr>
              <w:pStyle w:val="null3"/>
              <w:jc w:val="both"/>
            </w:pPr>
            <w:r>
              <w:rPr>
                <w:rFonts w:ascii="仿宋_GB2312" w:hAnsi="仿宋_GB2312" w:cs="仿宋_GB2312" w:eastAsia="仿宋_GB2312"/>
                <w:sz w:val="21"/>
                <w:color w:val="000000"/>
              </w:rPr>
              <w:t xml:space="preserve">  2、《陕西省园林绿化工程消耗量定额》(2025)、《陕西省园林绿化工程基价表》(2025)、《陕西省建设工程施工机械台班费用定额》(2025)、《陕西省建设工程施工仪器仪表台班费用定额》(2025)、《陕西省建设工程费用规则》(2025)。</w:t>
            </w:r>
          </w:p>
          <w:p>
            <w:pPr>
              <w:pStyle w:val="null3"/>
              <w:jc w:val="both"/>
            </w:pPr>
            <w:r>
              <w:rPr>
                <w:rFonts w:ascii="仿宋_GB2312" w:hAnsi="仿宋_GB2312" w:cs="仿宋_GB2312" w:eastAsia="仿宋_GB2312"/>
                <w:sz w:val="21"/>
                <w:color w:val="000000"/>
              </w:rPr>
              <w:t xml:space="preserve">  3、计价软件采用广联达云计价平台GCCP7.0(7.5000.23.3)版本。</w:t>
            </w:r>
          </w:p>
          <w:p>
            <w:pPr>
              <w:pStyle w:val="null3"/>
              <w:jc w:val="both"/>
            </w:pPr>
            <w:r>
              <w:rPr>
                <w:rFonts w:ascii="仿宋_GB2312" w:hAnsi="仿宋_GB2312" w:cs="仿宋_GB2312" w:eastAsia="仿宋_GB2312"/>
                <w:sz w:val="21"/>
                <w:color w:val="000000"/>
              </w:rPr>
              <w:t xml:space="preserve">  4、主要材料价格按汉中市建设工程服务和质量监督中心发布的《汉中建设工程造价信息》2026年第</w:t>
            </w:r>
            <w:r>
              <w:rPr>
                <w:rFonts w:ascii="仿宋_GB2312" w:hAnsi="仿宋_GB2312" w:cs="仿宋_GB2312" w:eastAsia="仿宋_GB2312"/>
                <w:sz w:val="21"/>
                <w:color w:val="000000"/>
              </w:rPr>
              <w:t>③</w:t>
            </w:r>
            <w:r>
              <w:rPr>
                <w:rFonts w:ascii="仿宋_GB2312" w:hAnsi="仿宋_GB2312" w:cs="仿宋_GB2312" w:eastAsia="仿宋_GB2312"/>
                <w:sz w:val="21"/>
                <w:color w:val="000000"/>
              </w:rPr>
              <w:t>期材料价计入。</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工期：</w:t>
            </w:r>
            <w:r>
              <w:rPr>
                <w:rFonts w:ascii="仿宋_GB2312" w:hAnsi="仿宋_GB2312" w:cs="仿宋_GB2312" w:eastAsia="仿宋_GB2312"/>
                <w:sz w:val="21"/>
                <w:color w:val="000000"/>
              </w:rPr>
              <w:t>50日历天</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质量：合格</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本项目设最高限价</w:t>
            </w:r>
            <w:r>
              <w:rPr>
                <w:rFonts w:ascii="仿宋_GB2312" w:hAnsi="仿宋_GB2312" w:cs="仿宋_GB2312" w:eastAsia="仿宋_GB2312"/>
                <w:sz w:val="21"/>
                <w:color w:val="000000"/>
              </w:rPr>
              <w:t>:1011998.06元，其中分部分项工程项目费：806367.58元、措施项目费：42071.01元，供应商的磋商响应投标总价、措施项目费、分部分项工程费中有一项或几项高于相对应的最高限价时，不得参与评标视为未响应竞争性磋商文件要求，其磋商响应文件按无效响应处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供应商需在项目电子化交易系统中按要求提供《汉中市政府采购供应商资格承诺函》完成承诺并进行电子签章。</w:t>
            </w:r>
          </w:p>
        </w:tc>
        <w:tc>
          <w:tcPr>
            <w:tcW w:type="dxa" w:w="1661"/>
          </w:tcPr>
          <w:p>
            <w:pPr>
              <w:pStyle w:val="null3"/>
            </w:pPr>
            <w:r>
              <w:rPr>
                <w:rFonts w:ascii="仿宋_GB2312" w:hAnsi="仿宋_GB2312" w:cs="仿宋_GB2312" w:eastAsia="仿宋_GB2312"/>
              </w:rPr>
              <w:t>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供应商为具有独立承担民事责任能力的企业法人、事业法人、其他组织，提供营业执照复印件（事业单位须提供事业单位法人证、组织机构代码证等证明文件；其他组织应提供合法证明文件）；</w:t>
            </w:r>
          </w:p>
        </w:tc>
        <w:tc>
          <w:tcPr>
            <w:tcW w:type="dxa" w:w="3322"/>
          </w:tcPr>
          <w:p>
            <w:pPr>
              <w:pStyle w:val="null3"/>
            </w:pPr>
            <w:r>
              <w:rPr>
                <w:rFonts w:ascii="仿宋_GB2312" w:hAnsi="仿宋_GB2312" w:cs="仿宋_GB2312" w:eastAsia="仿宋_GB2312"/>
              </w:rPr>
              <w:t>有独立承担民事责任的能力：供应商为具有独立承担民事责任能力的企业法人、事业法人、其他组织，提供营业执照复印件（事业单位须提供事业单位法人证、组织机构代码证等证明文件；其他组织应提供合法证明文件）【提供加盖公章的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供应商应授权合法的人员参加本次竞争性磋商活动，其中法定代表人直接参加的，须出具法人身份证，并与营业执照上信息一致；授权代表参加的，须出具法定代表人授权书及被授权人身份证；</w:t>
            </w:r>
          </w:p>
        </w:tc>
        <w:tc>
          <w:tcPr>
            <w:tcW w:type="dxa" w:w="3322"/>
          </w:tcPr>
          <w:p>
            <w:pPr>
              <w:pStyle w:val="null3"/>
            </w:pPr>
            <w:r>
              <w:rPr>
                <w:rFonts w:ascii="仿宋_GB2312" w:hAnsi="仿宋_GB2312" w:cs="仿宋_GB2312" w:eastAsia="仿宋_GB2312"/>
              </w:rPr>
              <w:t>供应商应授权合法的人员参加本次竞争性磋商活动，其中法定代表人直接参加的，须出具法人身份证，并与营业执照上信息一致；授权代表参加的，须出具法定代表人授权书及被授权人身份证【提供原件】；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具有履行合同所必须的设备和专业技术能力：供应商须具备建设行政主管部门核发的市政公用工程施工总承包三级及以上资质等级，并具有安全生产许可证且在有效期内；</w:t>
            </w:r>
          </w:p>
        </w:tc>
        <w:tc>
          <w:tcPr>
            <w:tcW w:type="dxa" w:w="3322"/>
          </w:tcPr>
          <w:p>
            <w:pPr>
              <w:pStyle w:val="null3"/>
            </w:pPr>
            <w:r>
              <w:rPr>
                <w:rFonts w:ascii="仿宋_GB2312" w:hAnsi="仿宋_GB2312" w:cs="仿宋_GB2312" w:eastAsia="仿宋_GB2312"/>
              </w:rPr>
              <w:t>具有履行合同所必须的设备和专业技术能力：供应商须具备建设行政主管部门核发的市政公用工程施工总承包三级及以上资质等级，并具有安全生产许可证且在有效期内【①提供加盖公章的证照复印件；②供应商基本信息及项目负责人的基本信息应在“陕西省住房和城乡建设厅”或“全国建筑市场监管公共服务平台（四库一平台）”可查询，提供完整的网页截图，企业信息确认在有效期内且无不良行为记录，并加盖供应商公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拟派项目经理须具备市政公用工程专业注册建造师二级（含二级）以上执业资格和安全生产考核合格B证，在本单位注册且无不良信用、无在建工程；</w:t>
            </w:r>
          </w:p>
        </w:tc>
        <w:tc>
          <w:tcPr>
            <w:tcW w:type="dxa" w:w="3322"/>
          </w:tcPr>
          <w:p>
            <w:pPr>
              <w:pStyle w:val="null3"/>
            </w:pPr>
            <w:r>
              <w:rPr>
                <w:rFonts w:ascii="仿宋_GB2312" w:hAnsi="仿宋_GB2312" w:cs="仿宋_GB2312" w:eastAsia="仿宋_GB2312"/>
              </w:rPr>
              <w:t>拟派项目经理须具备市政公用工程专业注册建造师二级（含二级）以上执业资格和安全生产考核合格B证，在本单位注册且无不良信用、无在建工程【①提供项目经理证照复印件（职称证、注册证、安全生产考核合格B证、身份证及单位缴纳社保证明）确认在有效期内并加盖单位公章；②提供项目经理“无不良信用承诺函”原件；③提供项目经理“无在建工程”声明函原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本项目不接受联合体磋商；单位负责人为同一人或者存在控股、管理关系的不同单位不得同时参与本项目磋商响应；</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本项目不接受联合体磋商；单位负责人为同一人或者存在控股、管理关系的不同单位不得同时参与本项目磋商响应【提供“非联合体声明函”原件】；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注：拟参与本项目磋商响应的供应商应按照汉中市财政局《关于全面推行政府采购供应商基本资格条件承诺制的通知》（汉财办采管〔2024〕20号）文件要求，提供满足相应条件的资格承诺函）；</w:t>
            </w:r>
          </w:p>
        </w:tc>
        <w:tc>
          <w:tcPr>
            <w:tcW w:type="dxa" w:w="3322"/>
          </w:tcPr>
          <w:p>
            <w:pPr>
              <w:pStyle w:val="null3"/>
            </w:pPr>
            <w:r>
              <w:rPr>
                <w:rFonts w:ascii="仿宋_GB2312" w:hAnsi="仿宋_GB2312" w:cs="仿宋_GB2312" w:eastAsia="仿宋_GB2312"/>
              </w:rPr>
              <w:t>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注：拟参与本项目磋商响应的供应商应按照汉中市财政局《关于全面推行政府采购供应商基本资格条件承诺制的通知》（汉财办采管〔2024〕20号）文件要求，提供满足相应条件的资格承诺函）【按照汉中市财政局《关于全面推行政府采购投标人基本资格条件承诺制的通知》（汉财办采管〔2024〕20号）文件要求，提供满足相应条件的资格承诺函原件（格式详见附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磋商保证金转账凭证或磋商担保函；</w:t>
            </w:r>
          </w:p>
        </w:tc>
        <w:tc>
          <w:tcPr>
            <w:tcW w:type="dxa" w:w="3322"/>
          </w:tcPr>
          <w:p>
            <w:pPr>
              <w:pStyle w:val="null3"/>
            </w:pPr>
            <w:r>
              <w:rPr>
                <w:rFonts w:ascii="仿宋_GB2312" w:hAnsi="仿宋_GB2312" w:cs="仿宋_GB2312" w:eastAsia="仿宋_GB2312"/>
              </w:rPr>
              <w:t>磋商保证金转账凭证或磋商担保函【供应商提供加盖公章的复印件】。</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响应文件封面 项目管理机构组成表 残疾人福利性单位声明函 报价函 供应商应提交的相关资格证明材料.pdf 标的清单 供应商类似项目业绩一览表 供应商资格承诺函.pdf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一、评审内容：供应商针对本项目编制完善的施工部署,内容包含： ①施工目标；②施工准备 ；③施工平面布置与安排。 二、评审标准 ：1、完整性：方案必须全面,对评审内容中的各项要求有详细描述；、可实施性：切合本项目实际情况，提出步清晰、合理的方案;3、针对性：方案能够紧扣项目实际情况，内容科学合理。 三、赋分标准(满分6分)：(①施工目标：每完全满足一个评审标准得 0.5分，满分 1.5分; ②施工准备：每完全满足一个评审标准得 0.5 分，满分1.5分；③施工平面布置与安排：每完全满足一个评审标准得1分，满分3分；④未提供者不得分。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一、评审内容:供应商针对本项目编制完善的质量保证措施，内容包含:①施工质量的检验制度;②确保质量的技术组织措施;③施工质量控制措施。 二、评审标准:1、完整性:方案必须全面，对评审内容中的各项要求有详细描述;2、可实施性:切合本项目实际情况，提出步清晰、合理的方案;3、针对性:方案能够紧扣项目实际情况，内容科学合理。 三、赋分标准(满分9分):①施工质量检验制度:每完全满足一个评审标准得1分，满分3分;②确保质量的技术组织措施:每完全满足一个评审标准得1分，满分3分;③施工质量控制措施:每完全满足一个评审标准得1分，满分3分;④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一、评审内容:供应商针对本项目编制完善的施工进度计划，内容包含:①施工进度计划横道图; ②进度计划保证措施 ;③工期保证措施。 二、评审标准 :1、完整性:方案必须全面，对评审内容中的各项要求有详细描述;2、可实施性:切合本项目实际情况，提出步清晰、合理的方案;3、针对性:方案能够紧扣项目实际情况，内容科学合理。 三、赋分标准(满分9.0分):①施工进度计划横道图:每完全满足一个评审标准得1分，满分3分;②进度计划保证措施:每完全满足一个评审标准得1分,满分3分;③工期保证措施:每完全满足一个评审标准得1分，满分3分;④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施工进度计划.docx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一、评审内容:供应商针对本项目编制完整的安全施工措施，内容包含:①安全生产管理制度; ②安全施工措施;③安全应急预案;④安全生产教育。 二、评审标准:1、完整性:方案必须全面，对评审内容中的各项要求有详细描述;2、可实施性:切合本项目实际情况，提出步骤清晰、合理的方案;3、针对性:方案能够紧扣项目实际情况，内容科学合理。 三、赋分标准(满分7.5分):①安全生产管理制度:每完全满足一个评审标准得1分，满分3分; ②安全施工措施:每完全满足一个评审标准得0.5分，满分1.5分;③安全应急预案:每完全满足一个评审标准得0.5分，满分1.5分;④安全生产教育:每完全满足一个评审标准得 0.5分，满分 1.5分;⑤未提供者不得分。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安全施工措施.docx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 ①文明施工管理目标及技术措施;②文明施工现场管理:材料管理、防扰民措施。 二、评审标准:1、完整性:方案必须全面，对评审内容中的各项要求有详细描述;2、可实施性:切合本项目实际情况,提出步骤清晰、合理的方案;3、针对性:方案能够紧扣项目实际情况，内容科学合理。 三、赋分标准(满分6分):①文明施工管理目标及技术措施:每完全满足一个评审标准得1分，满分3分;②文明施工现场管理:每完全满足一个评审标准得1分，满分3分:③未提供者不得分。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文明施工措施.docx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一、评审内容:供应商针对本项目编制完善的资源配置计划，内容包含:①劳动力资源配置计划;②施工机械设备投入计划;③主要施工材料供应计划。 二、评审标准:1、完整性:方案必须全面，对评审内容中的各项要求有详细描述;2、可实施性:切合本项目实际情况，提出步骤清晰、合理的方案;3、针对性:方案能够紧扣项目实际情况，内容科学合理。 三、赋分标准(满分 7.5 分):①劳动力资源配置计划:每完全满足一个评审标准得1分，满分3分;②施工机械设备投入计划:每完全满足一个评审标准得1分，满分3分;③主要施工材料供应计划:每完全满足一个评审标准得 0.5分，满分 1.5 分;④未提供者不得分。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资源配置计划.docx</w:t>
            </w:r>
          </w:p>
        </w:tc>
      </w:tr>
      <w:tr>
        <w:tc>
          <w:tcPr>
            <w:tcW w:type="dxa" w:w="831"/>
            <w:vMerge/>
          </w:tcPr>
          <w:p/>
        </w:tc>
        <w:tc>
          <w:tcPr>
            <w:tcW w:type="dxa" w:w="1661"/>
          </w:tcPr>
          <w:p>
            <w:pPr>
              <w:pStyle w:val="null3"/>
            </w:pPr>
            <w:r>
              <w:rPr>
                <w:rFonts w:ascii="仿宋_GB2312" w:hAnsi="仿宋_GB2312" w:cs="仿宋_GB2312" w:eastAsia="仿宋_GB2312"/>
              </w:rPr>
              <w:t>针对突发事件应急保证措施</w:t>
            </w:r>
          </w:p>
        </w:tc>
        <w:tc>
          <w:tcPr>
            <w:tcW w:type="dxa" w:w="2492"/>
          </w:tcPr>
          <w:p>
            <w:pPr>
              <w:pStyle w:val="null3"/>
            </w:pPr>
            <w:r>
              <w:rPr>
                <w:rFonts w:ascii="仿宋_GB2312" w:hAnsi="仿宋_GB2312" w:cs="仿宋_GB2312" w:eastAsia="仿宋_GB2312"/>
              </w:rPr>
              <w:t>一、评审内容：针对项目实施过程中可能出现的恶劣天气、自然灾害、公共活动等突发情况，评审应急方案的针对性、可操作性及响应及时性，保障项目顺利推进。 二、评分标准：0.5-2分：仅提及制定应急方案，未区分突发事件类型，无具体处置措施、无物资清单，内容笼统； 2.1-4分：按突发事件类型（恶劣天气、自然灾害等）制定专项应急方案，明确具体处置措施（如暴雨时暂停施工、启用临时排水设备；洪涝时组织设备转移），明确应急响应流程、应急物资清单及责任人，方案可直接落地执行。缺项处理：未提供应急措施的，得 0 分，视为不满足评审要求。</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针对突发事件应急保证措施.docx</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提供2023年1月至今完成过类似业绩，提供一个得2.5分，最高可得5分；评审依据：提供加盖公章的中标通知书、合同协议书，时间以签订的施工合同签订时间为准，此项未提供不得分。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项目拟派人员安排</w:t>
            </w:r>
          </w:p>
        </w:tc>
        <w:tc>
          <w:tcPr>
            <w:tcW w:type="dxa" w:w="2492"/>
          </w:tcPr>
          <w:p>
            <w:pPr>
              <w:pStyle w:val="null3"/>
            </w:pPr>
            <w:r>
              <w:rPr>
                <w:rFonts w:ascii="仿宋_GB2312" w:hAnsi="仿宋_GB2312" w:cs="仿宋_GB2312" w:eastAsia="仿宋_GB2312"/>
              </w:rPr>
              <w:t>一、评审内容：拟派技术负责人1名及其他人员。其他人员包括但不限于施工员、质量员、材料员、安全员、资料员。 二、评审标准：（1）技术负责人：具备相关专业中级及以上技术职称，需提供职称证书复印件（加盖公章）；（2）其他人员：施工员、质量员、材料员、安全员、资料员5个专业，每个岗位至少配备1名人员，所有人员需具备对应岗位资格证书，并提供资格证书复印件(复印件需清晰可辨，加盖供应商公章)。 三、客观赋分标准：（1）技术负责人：提供相关专业有效职称证书，得1分；未提供、证书无效或专业不符的，得0分；（2）其他人员：施工员、质量员、材料员、安全员、资料员5个专业，每满足1个专业配备要求（提供对应资格证书）得0.9分，满分4.5分；同一人员满足多个专业条件的，仅按1个专业计分，不重复赋分；未配备或人员不合格（未提供对应资格证书复印件）的，该专业不计分；所有岗位均未达标得0分。</w:t>
            </w:r>
          </w:p>
        </w:tc>
        <w:tc>
          <w:tcPr>
            <w:tcW w:type="dxa" w:w="831"/>
          </w:tcPr>
          <w:p>
            <w:pPr>
              <w:pStyle w:val="null3"/>
              <w:jc w:val="right"/>
            </w:pPr>
            <w:r>
              <w:rPr>
                <w:rFonts w:ascii="仿宋_GB2312" w:hAnsi="仿宋_GB2312" w:cs="仿宋_GB2312" w:eastAsia="仿宋_GB2312"/>
              </w:rPr>
              <w:t>5.5000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 供应商针对本项目编制完善的分部分项工程施工方案，内容包含： ①工程重难点及解决措施； ②分部分项工程施工方法；③施工质量通病防治措施。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三、赋分标准（满分6分）： ①工程重难点及解决措施：每完全满足一个评审标准得1分，满分3分； ②分部分项工程施工方法：每完全满足一个评审标准得0.5分，满分1.5 分； ③施工质量通病防治措施：每完全满足一个评审标准得0.5分，满分1.5分；④未提供者不得分。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分部分项工程施工方案.docx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 ①维修措施；②保修责任；③保修承诺。 二、评审标准：1、完整性：内容必须全面，对评审内容中的各项要求有详细描述；2、落实性：合项目具体情况，提出责任明确、要求具体的方案；3、针对性：内容能够紧扣项目实际情况，内容科学合理。 三、赋分标准(满分 4.5 分)：①维修措施：每完全满足一个评审标准得 0.5分，满分 1.5分；②保修责任：每完全满足一个评审标准得0.5分，满分1.5分；③保修承诺：每完全满足一个评审标准得 0.5分，满分 1.5 分；④未提供者不得分。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保修方案.docx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经资格审查、符合性审查合格的磋商文件，其投标报价为有效投标报价。 1、上限为采购预算价，即报价大于上限价视为无效标； 2、以满足本次磋商文件要求的最低报价为评审基准价，其价格为满分； 3、不享有政策优惠条件的投标投标人报价得分=（评审基准价/报价）×30。 4.本项目为专门面向中小企业项目，专门面向中小企业采购的项目，不再执行价格评审优惠的扶持政策。 5.为保证项目质量，投标人报价若低于招标采购预算的 80%，须对报价合理性及成本构成做书面说明（如报价成本分析），如未能提供有效证明，将被视为低于成本报价而报价无效。（投标报价评审只评投标总价）。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详见附件：供应商资格承诺函.pdf</w:t>
      </w:r>
    </w:p>
    <w:p>
      <w:pPr>
        <w:pStyle w:val="null3"/>
        <w:ind w:firstLine="960"/>
      </w:pPr>
      <w:r>
        <w:rPr>
          <w:rFonts w:ascii="仿宋_GB2312" w:hAnsi="仿宋_GB2312" w:cs="仿宋_GB2312" w:eastAsia="仿宋_GB2312"/>
        </w:rPr>
        <w:t>详见附件：安全施工措施.docx</w:t>
      </w:r>
    </w:p>
    <w:p>
      <w:pPr>
        <w:pStyle w:val="null3"/>
        <w:ind w:firstLine="960"/>
      </w:pPr>
      <w:r>
        <w:rPr>
          <w:rFonts w:ascii="仿宋_GB2312" w:hAnsi="仿宋_GB2312" w:cs="仿宋_GB2312" w:eastAsia="仿宋_GB2312"/>
        </w:rPr>
        <w:t>详见附件：保修方案.docx</w:t>
      </w:r>
    </w:p>
    <w:p>
      <w:pPr>
        <w:pStyle w:val="null3"/>
        <w:ind w:firstLine="960"/>
      </w:pPr>
      <w:r>
        <w:rPr>
          <w:rFonts w:ascii="仿宋_GB2312" w:hAnsi="仿宋_GB2312" w:cs="仿宋_GB2312" w:eastAsia="仿宋_GB2312"/>
        </w:rPr>
        <w:t>详见附件：分部分项工程施工方案.docx</w:t>
      </w:r>
    </w:p>
    <w:p>
      <w:pPr>
        <w:pStyle w:val="null3"/>
        <w:ind w:firstLine="960"/>
      </w:pPr>
      <w:r>
        <w:rPr>
          <w:rFonts w:ascii="仿宋_GB2312" w:hAnsi="仿宋_GB2312" w:cs="仿宋_GB2312" w:eastAsia="仿宋_GB2312"/>
        </w:rPr>
        <w:t>详见附件：施工进度计划.docx</w:t>
      </w:r>
    </w:p>
    <w:p>
      <w:pPr>
        <w:pStyle w:val="null3"/>
        <w:ind w:firstLine="960"/>
      </w:pPr>
      <w:r>
        <w:rPr>
          <w:rFonts w:ascii="仿宋_GB2312" w:hAnsi="仿宋_GB2312" w:cs="仿宋_GB2312" w:eastAsia="仿宋_GB2312"/>
        </w:rPr>
        <w:t>详见附件：文明施工措施.docx</w:t>
      </w:r>
    </w:p>
    <w:p>
      <w:pPr>
        <w:pStyle w:val="null3"/>
        <w:ind w:firstLine="960"/>
      </w:pPr>
      <w:r>
        <w:rPr>
          <w:rFonts w:ascii="仿宋_GB2312" w:hAnsi="仿宋_GB2312" w:cs="仿宋_GB2312" w:eastAsia="仿宋_GB2312"/>
        </w:rPr>
        <w:t>详见附件：针对突发事件应急保证措施.docx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详见附件：总体施工方案.docx</w:t>
      </w:r>
    </w:p>
    <w:p>
      <w:pPr>
        <w:pStyle w:val="null3"/>
        <w:ind w:firstLine="960"/>
      </w:pPr>
      <w:r>
        <w:rPr>
          <w:rFonts w:ascii="仿宋_GB2312" w:hAnsi="仿宋_GB2312" w:cs="仿宋_GB2312" w:eastAsia="仿宋_GB2312"/>
        </w:rPr>
        <w:t>详见附件：资源配置计划.docx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 (1).docx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