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版本号：RTBY-2026-00120260611002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佛坪县城市燃气管网改造提升建设项目设计(含施工图)采购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RTBY-2026-001</w:t>
      </w:r>
      <w:r>
        <w:br/>
      </w:r>
      <w:r>
        <w:br/>
      </w:r>
      <w:r>
        <w:br/>
      </w:r>
    </w:p>
    <w:p>
      <w:pPr>
        <w:pStyle w:val="null3"/>
        <w:jc w:val="center"/>
        <w:outlineLvl w:val="2"/>
      </w:pPr>
      <w:r>
        <w:rPr>
          <w:rFonts w:ascii="仿宋_GB2312" w:hAnsi="仿宋_GB2312" w:cs="仿宋_GB2312" w:eastAsia="仿宋_GB2312"/>
          <w:sz w:val="28"/>
          <w:b/>
        </w:rPr>
        <w:t>佛坪县住房和城乡建设管理局</w:t>
      </w:r>
    </w:p>
    <w:p>
      <w:pPr>
        <w:pStyle w:val="null3"/>
        <w:jc w:val="center"/>
        <w:outlineLvl w:val="2"/>
      </w:pPr>
      <w:r>
        <w:rPr>
          <w:rFonts w:ascii="仿宋_GB2312" w:hAnsi="仿宋_GB2312" w:cs="仿宋_GB2312" w:eastAsia="仿宋_GB2312"/>
          <w:sz w:val="28"/>
          <w:b/>
        </w:rPr>
        <w:t>陕西荣拓博远项目管理有限公司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陕西荣拓博远项目管理有限公司</w:t>
      </w:r>
      <w:r>
        <w:rPr>
          <w:rFonts w:ascii="仿宋_GB2312" w:hAnsi="仿宋_GB2312" w:cs="仿宋_GB2312" w:eastAsia="仿宋_GB2312"/>
        </w:rPr>
        <w:t>（以下简称“代理机构”）受</w:t>
      </w:r>
      <w:r>
        <w:rPr>
          <w:rFonts w:ascii="仿宋_GB2312" w:hAnsi="仿宋_GB2312" w:cs="仿宋_GB2312" w:eastAsia="仿宋_GB2312"/>
        </w:rPr>
        <w:t>佛坪县住房和城乡建设管理局</w:t>
      </w:r>
      <w:r>
        <w:rPr>
          <w:rFonts w:ascii="仿宋_GB2312" w:hAnsi="仿宋_GB2312" w:cs="仿宋_GB2312" w:eastAsia="仿宋_GB2312"/>
        </w:rPr>
        <w:t>委托，拟对</w:t>
      </w:r>
      <w:r>
        <w:rPr>
          <w:rFonts w:ascii="仿宋_GB2312" w:hAnsi="仿宋_GB2312" w:cs="仿宋_GB2312" w:eastAsia="仿宋_GB2312"/>
        </w:rPr>
        <w:t>佛坪县城市燃气管网改造提升建设项目设计(含施工图)采购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RTBY-2026-001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佛坪县城市燃气管网改造提升建设项目设计(含施工图)采购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佛坪县县域内改扩建燃气管道32.3公里，其中地埋DN160市政中压PE管道7.5公里DN110市政中压PE管道1.7公里，DN90庭院中压PE管道4.687公里，架空管道DN160市政中压无缝钢管1.7公里，DN50无缝钢管8.625公里DN25无缝钢管8.088公里，加装燃气安全装置1500套，配套建设然气阀门井等设施，编制初步设计（含概算）及施工图设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采购包1（佛坪县城市燃气管网改造提升建设项目设计(含施工图)采购）：属于专门面向中小企业采购。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或单位负责人授权书及被授权人身份证：供应商应授权合法的人员参加投标，其中法定代表人直接参加的，须出具身份证，并与营业执照上信息一致；被授权代表参加的，须出具法定代表人授权书及被授权人身份证；（非法人单位的负责人均参照执行）；</w:t>
      </w:r>
    </w:p>
    <w:p>
      <w:pPr>
        <w:pStyle w:val="null3"/>
      </w:pPr>
      <w:r>
        <w:rPr>
          <w:rFonts w:ascii="仿宋_GB2312" w:hAnsi="仿宋_GB2312" w:cs="仿宋_GB2312" w:eastAsia="仿宋_GB2312"/>
        </w:rPr>
        <w:t>3、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提供“汉中市政府采购供应商资格承诺函”；</w:t>
      </w:r>
    </w:p>
    <w:p>
      <w:pPr>
        <w:pStyle w:val="null3"/>
      </w:pPr>
      <w:r>
        <w:rPr>
          <w:rFonts w:ascii="仿宋_GB2312" w:hAnsi="仿宋_GB2312" w:cs="仿宋_GB2312" w:eastAsia="仿宋_GB2312"/>
        </w:rPr>
        <w:t>4、企业资质：供应商须具有建设行政主管部门核发的【工程设计综合资质甲级】或【市政行业(城镇燃气工程)专业乙级】及以上设计资质，且具备特种设备设计许可证(压力管道GB1)；</w:t>
      </w:r>
    </w:p>
    <w:p>
      <w:pPr>
        <w:pStyle w:val="null3"/>
      </w:pPr>
      <w:r>
        <w:rPr>
          <w:rFonts w:ascii="仿宋_GB2312" w:hAnsi="仿宋_GB2312" w:cs="仿宋_GB2312" w:eastAsia="仿宋_GB2312"/>
        </w:rPr>
        <w:t>5、拟派设计负责人：拟派设计负责人须具有【国家注册公用设备工程师(动力)】执业资格或市政相关专业高级工程师职称;且为设计单位在职人员(提供缴纳近半年社保证明及劳动合同)；</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佛坪县住房和城乡建设管理局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熊猫大道33号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佛坪县住房和城乡建设管理局经办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18992629636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陕西荣拓博远项目管理有限公司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陕西省汉中市汉台区陕西省汉中市汉台区北关街道办事处前进西路2500号西御天澜小区商业6号楼201室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胡晟恺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18165069799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肖慧</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依照成交价，采购代理机构按照国家计委关于印发《招标代理服务收费管理暂行办法》的通知（计价格〔2002〕1980号）和《国家发展和改革委员会办公厅关于招标代理服务收费有关问题的通知》（发改办价格〔2003〕857号）文件的规定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佛坪县住房和城乡建设管理局</w:t>
      </w:r>
      <w:r>
        <w:rPr>
          <w:rFonts w:ascii="仿宋_GB2312" w:hAnsi="仿宋_GB2312" w:cs="仿宋_GB2312" w:eastAsia="仿宋_GB2312"/>
        </w:rPr>
        <w:t>和</w:t>
      </w:r>
      <w:r>
        <w:rPr>
          <w:rFonts w:ascii="仿宋_GB2312" w:hAnsi="仿宋_GB2312" w:cs="仿宋_GB2312" w:eastAsia="仿宋_GB2312"/>
        </w:rPr>
        <w:t>陕西荣拓博远项目管理有限公司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佛坪县住房和城乡建设管理局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陕西荣拓博远项目管理有限公司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佛坪县住房和城乡建设管理局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陕西荣拓博远项目管理有限公司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以招标文件、投标文件及签订合同要求为准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陕西荣拓博远项目管理有限公司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陕西荣拓博远项目管理有限公司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陕西荣拓博远项目管理有限公司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联系人：胡晟恺</w:t>
      </w:r>
    </w:p>
    <w:p>
      <w:pPr>
        <w:pStyle w:val="null3"/>
      </w:pPr>
      <w:r>
        <w:rPr>
          <w:rFonts w:ascii="仿宋_GB2312" w:hAnsi="仿宋_GB2312" w:cs="仿宋_GB2312" w:eastAsia="仿宋_GB2312"/>
        </w:rPr>
        <w:t>联系电话：18165069799</w:t>
      </w:r>
    </w:p>
    <w:p>
      <w:pPr>
        <w:pStyle w:val="null3"/>
      </w:pPr>
      <w:r>
        <w:rPr>
          <w:rFonts w:ascii="仿宋_GB2312" w:hAnsi="仿宋_GB2312" w:cs="仿宋_GB2312" w:eastAsia="仿宋_GB2312"/>
        </w:rPr>
        <w:t>地址：陕西省汉中市汉台区北关街道办事处前进西路2500号西御天澜小区6号楼201室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改扩建燃气管道32.3公里，其中地埋DN160市政中压PE管道7.5公里，DN110市政中压PE管道1.7公里，DN90庭院中压PE管道4.687公里，架空管道DN160市政中压无缝钢管1.7公里，DN50无缝钢8.625公里DN25无缝钢管8.088公里，加装燃气安全装置1500套，配套建设然气阀门井等设施。</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城市燃气管网改造提升建设项目设计(含施工图)采购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标的名称：城市燃气管网改造提升建设项目设计(含施工图)采购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编制内容为改扩建燃气管道32.3公里，其中地埋DN160市政中压PE管道7.5公里，DN110市政中压PE管道1.7公里，DN90庭院中压PE管道4.687公里，架空管道DN160市政中压无缝钢管1.7公里，DN50无缝钢管8.625公里DN25无缝钢管8.088公里，加装燃气安全装置1500套，配套建设然气阀门井等设施。</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设计服务内容为项目初步设计（含概算）及施工图设计。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满足本项目实施要求即可</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满足本项目实施要求即可</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以国家、行业相关规定及甲方要求为准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 ，达到付款条件起15个工作日内，支付合同总金额的40.0%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进度款，初步设计方案（含概算）成果提交，并经审核完成后，达到付款条件起15个工作日内，支付合同总金额的25.0%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进度款，施工图设计提交，经审核完成后并通过施工图审查，达到付款条件起15个工作日内，支付合同总金额的25.0%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进度款，配合工程设计技术交底、工程施工、竣工验收后，达到付款条件起15个工作日内，支付合同总金额的10.0%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按法律和相关政策规定执行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电子投标文件制作过程中，需要法定代表人签字或盖章的地方，请使用“法人CA锁”进行签章或直接签字或盖章；文件需要逐页加盖供应商公章或使用“CA锁”进行逐页盖章。2.中标供应商在中标结果公告发布后需向采购代理机构提供纸质版投标文件一正一副，投标文件为编标工具生成的文件直接打印并加盖公章，递交的纸质版投标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w:t>
            </w:r>
          </w:p>
        </w:tc>
        <w:tc>
          <w:tcPr>
            <w:tcW w:type="dxa" w:w="3322"/>
          </w:tcPr>
          <w:p>
            <w:pPr>
              <w:pStyle w:val="null3"/>
            </w:pPr>
            <w:r>
              <w:rPr>
                <w:rFonts w:ascii="仿宋_GB2312" w:hAnsi="仿宋_GB2312" w:cs="仿宋_GB2312" w:eastAsia="仿宋_GB2312"/>
              </w:rPr>
              <w:t>供应商应授权合法的人员参加投标，其中法定代表人直接参加的，须出具身份证，并与营业执照上信息一致；被授权代表参加的，须出具法定代表人授权书及被授权人身份证；（非法人单位的负责人均参照执行）；</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供应商须具有建设行政主管部门核发的【工程设计综合资质甲级】或【市政行业(城镇燃气工程)专业乙级】及以上设计资质，且具备特种设备设计许可证(压力管道GB1)；</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拟派设计负责人</w:t>
            </w:r>
          </w:p>
        </w:tc>
        <w:tc>
          <w:tcPr>
            <w:tcW w:type="dxa" w:w="3322"/>
          </w:tcPr>
          <w:p>
            <w:pPr>
              <w:pStyle w:val="null3"/>
            </w:pPr>
            <w:r>
              <w:rPr>
                <w:rFonts w:ascii="仿宋_GB2312" w:hAnsi="仿宋_GB2312" w:cs="仿宋_GB2312" w:eastAsia="仿宋_GB2312"/>
              </w:rPr>
              <w:t>拟派设计负责人须具有【国家注册公用设备工程师(动力)】执业资格或市政相关专业高级工程师职称;且为设计单位在职人员(提供缴纳近半年社保证明及劳动合同)；</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合同履约期限</w:t>
            </w:r>
          </w:p>
        </w:tc>
        <w:tc>
          <w:tcPr>
            <w:tcW w:type="dxa" w:w="3322"/>
          </w:tcPr>
          <w:p>
            <w:pPr>
              <w:pStyle w:val="null3"/>
            </w:pPr>
            <w:r>
              <w:rPr>
                <w:rFonts w:ascii="仿宋_GB2312" w:hAnsi="仿宋_GB2312" w:cs="仿宋_GB2312" w:eastAsia="仿宋_GB2312"/>
              </w:rPr>
              <w:t>满足竞争性磋商文件要求</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响应内容符合磋商文件要求</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项目理解及解读</w:t>
            </w:r>
          </w:p>
        </w:tc>
        <w:tc>
          <w:tcPr>
            <w:tcW w:type="dxa" w:w="2492"/>
          </w:tcPr>
          <w:p>
            <w:pPr>
              <w:pStyle w:val="null3"/>
            </w:pPr>
            <w:r>
              <w:rPr>
                <w:rFonts w:ascii="仿宋_GB2312" w:hAnsi="仿宋_GB2312" w:cs="仿宋_GB2312" w:eastAsia="仿宋_GB2312"/>
              </w:rPr>
              <w:t>评审内容 对本项目的理解程度包括:①对项目背景与相关政策解读②工作内容、要求和工作范围等③项目设计工作中的重点进行分析④现状解析及提升建设策略； 评审标准 1、完整性：方案须全面，对评审内容中的各项要求有详细描述； 2、可实施性：切合本项目实际情况，实施步骤清晰、合理； 3、针对性：方案能够紧扣项目实际情况，内容科学合理。 赋分标准（满分12分） ①对项目背景与相关政策解读：每完全满足一个评审标准得1分，满分3分； ②工作内容、要求和工作范围等：每完全满足一个评审标准得1分，满分3分； ③项目设计工作中的重点进行分析：每完全满足一个评审标准得1分，满分3分；④现状解析及提升建设策略：每完全满足一个评审标准得1分，满分3分。（每项针对评审标准存在有不合理处的扣0.5分）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整体设计方案</w:t>
            </w:r>
          </w:p>
        </w:tc>
        <w:tc>
          <w:tcPr>
            <w:tcW w:type="dxa" w:w="2492"/>
          </w:tcPr>
          <w:p>
            <w:pPr>
              <w:pStyle w:val="null3"/>
            </w:pPr>
            <w:r>
              <w:rPr>
                <w:rFonts w:ascii="仿宋_GB2312" w:hAnsi="仿宋_GB2312" w:cs="仿宋_GB2312" w:eastAsia="仿宋_GB2312"/>
              </w:rPr>
              <w:t>评审内容 针对本项目提供的设计服务方案包括：①设计范围和内容、依据②设计总体方案③安全保障措施④设计工作协调措施⑤成果控制保障措施； 评审标准 1、完整性：方案须全面，对评审内容中的各项要求有详细描述； 2、可实施性：切合本项目实际情况，实施步骤清晰、合理； 3、针对性：方案能够紧扣项目实际情况，内容科学合理。 赋分标准（满分30分） ①设计范围和内容、依据：每完全满足一个评审标准得2分，满分6分； ②设计总体方案：每完全满足一个评审标准得2分，满分6分； ③安全保障措施：每完全满足一个评审标准得2分，满分6分； ④设计工作协调措施：每完全满足一个评审标准得2分，满分6分； ⑤成果控制保障措施：每完全满足一个评审标准得2分，满分6分。（每项针对评审标准存在有不合理处的扣0.5分）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评审内容 对本项目提供的质量保障措施内容包括①质量保障承诺措施②设计阶段工期控制； 评审标准 1、完整性：方案须全面，对评审内容中的各项要求有详细描述； 2、可实施性：切合本项目实际情况，实施步骤清晰、合理； 3、针对性：方案能够紧扣项目实际情况，内容科学合理。 赋分标准（满分9分） ①质量保障承诺措施：每完全满足一个评审标准得1.5分，满分4.5分；②设计阶段工期控制：每完全满足一个评审标准得1.5分，满分4.5分。（每项针对评审标准存在有不合理处的扣0.5分）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进度安排及保障措施</w:t>
            </w:r>
          </w:p>
        </w:tc>
        <w:tc>
          <w:tcPr>
            <w:tcW w:type="dxa" w:w="2492"/>
          </w:tcPr>
          <w:p>
            <w:pPr>
              <w:pStyle w:val="null3"/>
            </w:pPr>
            <w:r>
              <w:rPr>
                <w:rFonts w:ascii="仿宋_GB2312" w:hAnsi="仿宋_GB2312" w:cs="仿宋_GB2312" w:eastAsia="仿宋_GB2312"/>
              </w:rPr>
              <w:t>评审内容 对本项目提供的进度安排及保障措施内容，包括①进度计划②进度保障措施； 评审标准 1、完整性：方案须全面，对评审内容中的各项要求有详细描述； 2、可实施性：切合本项目实际情况，实施步骤清晰、合理； 3、针对性：方案能够紧扣项目实际情况，内容科学合理。 赋分标准（满分9分） ①进度计划：每完全满足一个评审标准得1.5分，满分4.5分；②进度保障措施：每完全满足一个评审标准得1.5分，满分4.5分。（每项针对评审标准存在有不合理处的扣0.5分）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针对本项目在服务工作中的常见问题进行梳理，具有的良好的解决方案并及时向采购人提出合理化建议，每提供一条有效且合理的建议得1分，满分3分。不提供不得分。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供应商提供（2022年1月至今)已完成业绩，提供1 个业绩得 2.5 分，最多得5分，未提供不得分(注： 业绩证明材料为合同或中标(成交)通知书)，以上材料提供齐全为有效业绩，无效业绩不得分。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1、拟派项目负责人（1人）：拟派设计负责人须具有【国家注册公用设备工程师(动力)】执业资格或市政相关专业高级工程师职称得4分，本项最高得4分。 2、拟派项目团队成员中（项目负责人除外）具备相关专业中级及以上职称的，提供一人得1.5分；该项最多得6分。 注：技术负责人需提供缴纳近半年社保证明及劳动合同。拟派项目团队成员须提供身份证、职称证书复印件并加盖公章，否则不予认定。</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 对本项目提供的后续服务方案包括：①后续工作配合承诺及措施②后续服务响应时间；③应急预案④保密措施； 评审标准 1、完整性：方案须全面，对评审内容中的各项要求有详细描述； 2、可实施性：切合本项目实际情况，实施步骤清晰、合理； 3、针对性：方案能够紧扣项目实际情况，内容科学合理。 赋分标准（满分12分） ①后续工作配合承诺及措施：每完全满足一个评审标准得1分，满分3分；②后续服务响应时间：每完全满足一个评审标准得1分，满分3分；③应急预案：每完全满足一个评审标准得1分，满分3分；④保密措施：每完全满足一个评审标准得1分，满分3分。（每项针对评审标准存在有不合理处的扣0.5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价格分统一采用低价优先法计算，即满足磋商文件要求的有效最终报价且磋商价格最低的磋商报价为磋商基准价，其价格分为满分。其他供应商的价格分统一按照下列公式计算： 磋商报价得分=（磋商基准价／磋商报价)×10%计算分数时四舍五入取小数点后两位）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详见附件：拟签订采购合同文本（服务）.docx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