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67204">
      <w:pPr>
        <w:shd w:val="clear"/>
        <w:rPr>
          <w:rFonts w:hint="eastAsia" w:ascii="宋体" w:hAnsi="宋体" w:eastAsia="宋体" w:cs="宋体"/>
          <w:color w:val="auto"/>
          <w:highlight w:val="none"/>
        </w:rPr>
      </w:pPr>
    </w:p>
    <w:p w14:paraId="1533C5AC">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lang w:val="en-US" w:eastAsia="zh-CN"/>
        </w:rPr>
        <w:t>2026-2027年浐灞渭河岸线绿化养护服务项目（</w:t>
      </w:r>
      <w:r>
        <w:rPr>
          <w:rFonts w:hint="eastAsia" w:ascii="宋体" w:hAnsi="宋体" w:eastAsia="宋体" w:cs="宋体"/>
          <w:b/>
          <w:bCs/>
          <w:color w:val="auto"/>
          <w:sz w:val="56"/>
          <w:szCs w:val="56"/>
          <w:highlight w:val="none"/>
          <w:lang w:val="en-US" w:eastAsia="zh-CN"/>
        </w:rPr>
        <w:t>合同包</w:t>
      </w:r>
      <w:r>
        <w:rPr>
          <w:rFonts w:hint="eastAsia" w:ascii="宋体" w:hAnsi="宋体" w:eastAsia="宋体" w:cs="宋体"/>
          <w:b/>
          <w:bCs/>
          <w:color w:val="auto"/>
          <w:sz w:val="56"/>
          <w:szCs w:val="56"/>
          <w:highlight w:val="none"/>
          <w:u w:val="single"/>
          <w:lang w:val="en-US" w:eastAsia="zh-CN"/>
        </w:rPr>
        <w:t xml:space="preserve"> 1 </w:t>
      </w:r>
      <w:r>
        <w:rPr>
          <w:rFonts w:hint="eastAsia" w:ascii="宋体" w:hAnsi="宋体" w:eastAsia="宋体" w:cs="宋体"/>
          <w:b/>
          <w:bCs/>
          <w:color w:val="auto"/>
          <w:sz w:val="52"/>
          <w:szCs w:val="52"/>
          <w:highlight w:val="none"/>
          <w:lang w:val="en-US" w:eastAsia="zh-CN"/>
        </w:rPr>
        <w:t>）</w:t>
      </w:r>
    </w:p>
    <w:p w14:paraId="3923AF50">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35DCCD4E">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4B1087FF">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163BA353">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003DCB77">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5A68F44E">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3AE4EF66">
      <w:pPr>
        <w:keepNext w:val="0"/>
        <w:keepLines w:val="0"/>
        <w:pageBreakBefore w:val="0"/>
        <w:widowControl w:val="0"/>
        <w:shd w:val="clear"/>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合同</w:t>
      </w:r>
      <w:r>
        <w:rPr>
          <w:rFonts w:hint="eastAsia" w:ascii="宋体" w:hAnsi="宋体" w:eastAsia="宋体" w:cs="宋体"/>
          <w:b/>
          <w:bCs/>
          <w:color w:val="auto"/>
          <w:sz w:val="36"/>
          <w:szCs w:val="36"/>
          <w:highlight w:val="none"/>
          <w:lang w:eastAsia="zh-CN"/>
        </w:rPr>
        <w:t>参考格式</w:t>
      </w:r>
    </w:p>
    <w:p w14:paraId="7ECAEEBF">
      <w:pPr>
        <w:pStyle w:val="3"/>
        <w:shd w:val="clear"/>
        <w:spacing w:line="360" w:lineRule="auto"/>
        <w:ind w:firstLine="420" w:firstLineChars="200"/>
        <w:rPr>
          <w:rFonts w:hint="eastAsia" w:ascii="宋体" w:hAnsi="宋体" w:eastAsia="宋体" w:cs="宋体"/>
          <w:color w:val="auto"/>
          <w:szCs w:val="24"/>
          <w:highlight w:val="none"/>
        </w:rPr>
      </w:pPr>
    </w:p>
    <w:p w14:paraId="69988410">
      <w:pPr>
        <w:pStyle w:val="3"/>
        <w:shd w:val="clear"/>
        <w:spacing w:line="360" w:lineRule="auto"/>
        <w:ind w:firstLine="420" w:firstLineChars="200"/>
        <w:rPr>
          <w:rFonts w:hint="eastAsia" w:ascii="宋体" w:hAnsi="宋体" w:eastAsia="宋体" w:cs="宋体"/>
          <w:color w:val="auto"/>
          <w:szCs w:val="24"/>
          <w:highlight w:val="none"/>
        </w:rPr>
      </w:pPr>
    </w:p>
    <w:p w14:paraId="5356692D">
      <w:pPr>
        <w:pStyle w:val="3"/>
        <w:shd w:val="clear"/>
        <w:spacing w:line="360" w:lineRule="auto"/>
        <w:rPr>
          <w:rFonts w:hint="eastAsia" w:ascii="宋体" w:hAnsi="宋体" w:eastAsia="宋体" w:cs="宋体"/>
          <w:color w:val="auto"/>
          <w:szCs w:val="24"/>
          <w:highlight w:val="none"/>
        </w:rPr>
      </w:pPr>
    </w:p>
    <w:p w14:paraId="354F69B0">
      <w:pPr>
        <w:shd w:val="clear"/>
        <w:rPr>
          <w:rFonts w:hint="eastAsia" w:ascii="宋体" w:hAnsi="宋体" w:eastAsia="宋体" w:cs="宋体"/>
          <w:color w:val="auto"/>
          <w:highlight w:val="none"/>
        </w:rPr>
      </w:pPr>
    </w:p>
    <w:p w14:paraId="4C5B53C9">
      <w:pPr>
        <w:pStyle w:val="3"/>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合同编号：____________________</w:t>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p>
    <w:p w14:paraId="517098C3">
      <w:pPr>
        <w:pStyle w:val="3"/>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甲方：____________________(采购人名称)</w:t>
      </w:r>
    </w:p>
    <w:p w14:paraId="4BDFDE37">
      <w:pPr>
        <w:pStyle w:val="3"/>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乙方：____________________(供应商名称)</w:t>
      </w:r>
    </w:p>
    <w:p w14:paraId="7565D604">
      <w:pPr>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签订地点：</w:t>
      </w:r>
      <w:r>
        <w:rPr>
          <w:rFonts w:hint="eastAsia" w:ascii="宋体" w:hAnsi="宋体" w:eastAsia="宋体" w:cs="宋体"/>
          <w:color w:val="auto"/>
          <w:szCs w:val="24"/>
          <w:highlight w:val="none"/>
          <w:lang w:val="en-US" w:eastAsia="zh-CN"/>
        </w:rPr>
        <w:t>西安浐灞国际港</w:t>
      </w:r>
    </w:p>
    <w:p w14:paraId="41902C85">
      <w:pPr>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签订日期：</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日</w:t>
      </w:r>
    </w:p>
    <w:p w14:paraId="0FF70E72">
      <w:pPr>
        <w:keepNext w:val="0"/>
        <w:keepLines w:val="0"/>
        <w:pageBreakBefore w:val="0"/>
        <w:shd w:val="clear"/>
        <w:kinsoku/>
        <w:wordWrap/>
        <w:overflowPunct/>
        <w:topLinePunct w:val="0"/>
        <w:autoSpaceDE/>
        <w:autoSpaceDN/>
        <w:bidi w:val="0"/>
        <w:adjustRightInd/>
        <w:spacing w:line="480" w:lineRule="auto"/>
        <w:jc w:val="center"/>
        <w:rPr>
          <w:rFonts w:hint="eastAsia" w:ascii="宋体" w:hAnsi="宋体" w:eastAsia="宋体" w:cs="宋体"/>
          <w:b/>
          <w:bCs/>
          <w:color w:val="auto"/>
          <w:sz w:val="28"/>
          <w:szCs w:val="28"/>
          <w:highlight w:val="none"/>
        </w:rPr>
      </w:pPr>
      <w:r>
        <w:rPr>
          <w:rFonts w:hint="eastAsia" w:ascii="宋体" w:hAnsi="宋体" w:eastAsia="宋体" w:cs="宋体"/>
          <w:color w:val="auto"/>
          <w:szCs w:val="24"/>
          <w:highlight w:val="none"/>
        </w:rPr>
        <w:br w:type="page"/>
      </w:r>
      <w:r>
        <w:rPr>
          <w:rFonts w:hint="eastAsia" w:ascii="宋体" w:hAnsi="宋体" w:eastAsia="宋体" w:cs="宋体"/>
          <w:b/>
          <w:bCs/>
          <w:color w:val="auto"/>
          <w:sz w:val="28"/>
          <w:szCs w:val="28"/>
          <w:highlight w:val="none"/>
        </w:rPr>
        <w:t>合同草案条款</w:t>
      </w:r>
    </w:p>
    <w:p w14:paraId="6550316D">
      <w:pPr>
        <w:keepNext w:val="0"/>
        <w:keepLines w:val="0"/>
        <w:pageBreakBefore w:val="0"/>
        <w:shd w:val="clear"/>
        <w:kinsoku/>
        <w:wordWrap/>
        <w:overflowPunct/>
        <w:topLinePunct w:val="0"/>
        <w:autoSpaceDE/>
        <w:autoSpaceDN/>
        <w:bidi w:val="0"/>
        <w:adjustRightInd/>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一、总    则</w:t>
      </w:r>
    </w:p>
    <w:p w14:paraId="67F39E6D">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甲方（采购人）：       </w:t>
      </w:r>
    </w:p>
    <w:p w14:paraId="171CCE5D">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住所地：</w:t>
      </w:r>
    </w:p>
    <w:p w14:paraId="36654C75">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乙方（供应商）：</w:t>
      </w:r>
      <w:r>
        <w:rPr>
          <w:rFonts w:hint="eastAsia" w:ascii="宋体" w:hAnsi="宋体" w:eastAsia="宋体" w:cs="宋体"/>
          <w:color w:val="auto"/>
          <w:sz w:val="21"/>
          <w:szCs w:val="21"/>
          <w:highlight w:val="none"/>
        </w:rPr>
        <w:t xml:space="preserve">       </w:t>
      </w:r>
    </w:p>
    <w:p w14:paraId="06E2FA31">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住所地：</w:t>
      </w:r>
    </w:p>
    <w:p w14:paraId="4C8C90E8">
      <w:pPr>
        <w:keepNext w:val="0"/>
        <w:keepLines w:val="0"/>
        <w:pageBreakBefore w:val="0"/>
        <w:shd w:val="clear"/>
        <w:kinsoku/>
        <w:wordWrap/>
        <w:overflowPunct/>
        <w:topLinePunct w:val="0"/>
        <w:bidi w:val="0"/>
        <w:adjustRightInd w:val="0"/>
        <w:snapToGrid w:val="0"/>
        <w:spacing w:line="360" w:lineRule="auto"/>
        <w:ind w:firstLine="48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为确保西安浐灞国际港绿化养护工作整洁有序，不断改善人居环境，提升外在形象，依照《中华人民共和国民法典》及其他有关法律，行政法规，遵循平等、自愿、公平和诚实信用的原则，双方就本项目范围与相关服务事项协商一致，订立本合同。</w:t>
      </w:r>
    </w:p>
    <w:p w14:paraId="11CBD6EB">
      <w:pPr>
        <w:keepNext w:val="0"/>
        <w:keepLines w:val="0"/>
        <w:pageBreakBefore w:val="0"/>
        <w:widowControl/>
        <w:shd w:val="clear"/>
        <w:kinsoku/>
        <w:wordWrap/>
        <w:overflowPunct/>
        <w:topLinePunct w:val="0"/>
        <w:autoSpaceDE w:val="0"/>
        <w:autoSpaceDN w:val="0"/>
        <w:bidi w:val="0"/>
        <w:adjustRightInd w:val="0"/>
        <w:snapToGrid w:val="0"/>
        <w:spacing w:line="360" w:lineRule="auto"/>
        <w:ind w:firstLine="422" w:firstLineChars="200"/>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bCs/>
          <w:color w:val="auto"/>
          <w:kern w:val="0"/>
          <w:sz w:val="21"/>
          <w:szCs w:val="21"/>
          <w:highlight w:val="none"/>
          <w:lang w:val="en-US" w:eastAsia="zh-CN" w:bidi="ar"/>
        </w:rPr>
        <w:t xml:space="preserve">第一条 项目概况 </w:t>
      </w:r>
    </w:p>
    <w:p w14:paraId="7A5E13E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u w:val="single"/>
          <w:lang w:val="en-US"/>
        </w:rPr>
      </w:pPr>
      <w:r>
        <w:rPr>
          <w:rFonts w:hint="eastAsia" w:ascii="宋体" w:hAnsi="宋体" w:eastAsia="宋体" w:cs="宋体"/>
          <w:color w:val="auto"/>
          <w:kern w:val="0"/>
          <w:sz w:val="21"/>
          <w:szCs w:val="21"/>
          <w:highlight w:val="none"/>
          <w:lang w:val="en-US" w:eastAsia="zh-CN" w:bidi="ar"/>
        </w:rPr>
        <w:t>1.项目名称：</w:t>
      </w:r>
      <w:r>
        <w:rPr>
          <w:rFonts w:hint="eastAsia" w:ascii="宋体" w:hAnsi="宋体" w:eastAsia="宋体" w:cs="宋体"/>
          <w:color w:val="auto"/>
          <w:kern w:val="0"/>
          <w:sz w:val="21"/>
          <w:szCs w:val="21"/>
          <w:highlight w:val="none"/>
          <w:u w:val="single"/>
          <w:lang w:val="en-US" w:eastAsia="zh-CN" w:bidi="ar"/>
        </w:rPr>
        <w:t xml:space="preserve">2026-2027年浐灞渭河岸线绿化养护服务项目（合同包1）  </w:t>
      </w:r>
    </w:p>
    <w:p w14:paraId="7766F82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2.服务期：自合同签订之日起一年。自2026年 月  日起至2027年 月 日止。</w:t>
      </w:r>
    </w:p>
    <w:p w14:paraId="24396D9F">
      <w:pPr>
        <w:keepNext w:val="0"/>
        <w:keepLines w:val="0"/>
        <w:pageBreakBefore w:val="0"/>
        <w:widowControl/>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3.</w:t>
      </w:r>
      <w:r>
        <w:rPr>
          <w:rFonts w:hint="eastAsia" w:ascii="宋体" w:hAnsi="宋体" w:eastAsia="宋体" w:cs="宋体"/>
          <w:color w:val="auto"/>
          <w:sz w:val="21"/>
          <w:szCs w:val="21"/>
          <w:highlight w:val="none"/>
        </w:rPr>
        <w:t>绿</w:t>
      </w:r>
      <w:r>
        <w:rPr>
          <w:rFonts w:hint="eastAsia" w:ascii="宋体" w:hAnsi="宋体" w:eastAsia="宋体" w:cs="宋体"/>
          <w:color w:val="auto"/>
          <w:sz w:val="21"/>
          <w:szCs w:val="21"/>
          <w:highlight w:val="none"/>
          <w:lang w:val="en-US" w:eastAsia="zh-CN"/>
        </w:rPr>
        <w:t>地</w:t>
      </w:r>
      <w:r>
        <w:rPr>
          <w:rFonts w:hint="eastAsia" w:ascii="宋体" w:hAnsi="宋体" w:eastAsia="宋体" w:cs="宋体"/>
          <w:color w:val="auto"/>
          <w:sz w:val="21"/>
          <w:szCs w:val="21"/>
          <w:highlight w:val="none"/>
        </w:rPr>
        <w:t>养护管理范围</w:t>
      </w:r>
      <w:r>
        <w:rPr>
          <w:rFonts w:hint="eastAsia" w:ascii="宋体" w:hAnsi="宋体" w:eastAsia="宋体" w:cs="宋体"/>
          <w:color w:val="auto"/>
          <w:sz w:val="21"/>
          <w:szCs w:val="21"/>
          <w:highlight w:val="none"/>
          <w:lang w:val="en-US" w:eastAsia="zh-CN"/>
        </w:rPr>
        <w:t>及内容：2026-2027年浐灞渭河岸线绿化养护服务，主要包括：灞河右岸（北三环至秦汉大道）、灞河右岸（秦汉大道至灞河入渭口）、灞河滩区绿化、渭河南岸绿带、渭河河堤路（灞河入渭口至鹿苑大道段）等区域约</w:t>
      </w:r>
      <w:r>
        <w:rPr>
          <w:rFonts w:hint="eastAsia" w:ascii="宋体" w:hAnsi="宋体" w:eastAsia="宋体" w:cs="宋体"/>
          <w:b w:val="0"/>
          <w:bCs w:val="0"/>
          <w:color w:val="auto"/>
          <w:sz w:val="21"/>
          <w:szCs w:val="21"/>
          <w:highlight w:val="none"/>
        </w:rPr>
        <w:t>208</w:t>
      </w:r>
      <w:r>
        <w:rPr>
          <w:rFonts w:hint="eastAsia" w:ascii="宋体" w:hAnsi="宋体" w:eastAsia="宋体" w:cs="宋体"/>
          <w:b w:val="0"/>
          <w:bCs w:val="0"/>
          <w:color w:val="auto"/>
          <w:sz w:val="21"/>
          <w:szCs w:val="21"/>
          <w:highlight w:val="none"/>
          <w:lang w:val="en-US" w:eastAsia="zh-CN"/>
        </w:rPr>
        <w:t>4000</w:t>
      </w:r>
      <w:r>
        <w:rPr>
          <w:rFonts w:hint="eastAsia" w:ascii="宋体" w:hAnsi="宋体" w:eastAsia="宋体" w:cs="宋体"/>
          <w:color w:val="auto"/>
          <w:sz w:val="21"/>
          <w:szCs w:val="21"/>
          <w:highlight w:val="none"/>
          <w:lang w:val="en-US" w:eastAsia="zh-CN"/>
        </w:rPr>
        <w:t>㎡绿地管理、养护工作。（详见附件一）。实施内容包括：（1）绿地浇水、除草、修剪、施肥、病虫害防治等日常养护工作；（2）绿地、园路、铺装广场的清扫保洁及养护范围内果皮箱、护栏、标牌等设施擦洗保洁工作；（3）绿地内果皮箱、护栏、标牌、健身器材、儿童游乐、桥梁等设施的巡检及维修、维护管理；（4）管理养护范围内的安全秩序巡查及应急抢险工作；（5）养护管理范围内其它相关工作。</w:t>
      </w:r>
    </w:p>
    <w:p w14:paraId="135DD0F6">
      <w:pPr>
        <w:keepNext w:val="0"/>
        <w:keepLines w:val="0"/>
        <w:pageBreakBefore w:val="0"/>
        <w:widowControl/>
        <w:shd w:val="clear"/>
        <w:kinsoku/>
        <w:wordWrap/>
        <w:overflowPunct/>
        <w:topLinePunct w:val="0"/>
        <w:autoSpaceDE w:val="0"/>
        <w:autoSpaceDN w:val="0"/>
        <w:bidi w:val="0"/>
        <w:adjustRightInd w:val="0"/>
        <w:snapToGrid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 xml:space="preserve">第二条 </w:t>
      </w:r>
      <w:r>
        <w:rPr>
          <w:rFonts w:hint="eastAsia" w:ascii="宋体" w:hAnsi="宋体" w:eastAsia="宋体" w:cs="宋体"/>
          <w:b/>
          <w:color w:val="auto"/>
          <w:sz w:val="21"/>
          <w:szCs w:val="21"/>
          <w:highlight w:val="none"/>
        </w:rPr>
        <w:t>合同组成</w:t>
      </w:r>
    </w:p>
    <w:p w14:paraId="7F065C1A">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CN"/>
        </w:rPr>
        <w:t>下述文件是构成本合同不可分割的部分</w:t>
      </w:r>
      <w:r>
        <w:rPr>
          <w:rFonts w:hint="eastAsia" w:ascii="宋体" w:hAnsi="宋体" w:eastAsia="宋体" w:cs="宋体"/>
          <w:color w:val="auto"/>
          <w:sz w:val="21"/>
          <w:szCs w:val="21"/>
          <w:highlight w:val="none"/>
        </w:rPr>
        <w:t>:</w:t>
      </w:r>
    </w:p>
    <w:p w14:paraId="609343FD">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CN"/>
        </w:rPr>
        <w:t>本合同条款及其所有附件。</w:t>
      </w:r>
    </w:p>
    <w:p w14:paraId="01688377">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CN"/>
        </w:rPr>
        <w:t>甲方的</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及澄清文件。</w:t>
      </w:r>
    </w:p>
    <w:p w14:paraId="1AAC1305">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CN"/>
        </w:rPr>
        <w:t>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w:t>
      </w:r>
    </w:p>
    <w:p w14:paraId="7CBDD919">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lang w:val="zh-CN"/>
        </w:rPr>
        <w:t>通知书。</w:t>
      </w:r>
    </w:p>
    <w:p w14:paraId="46C15A8F">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zh-CN"/>
        </w:rPr>
        <w:t>法定代表人授权书。</w:t>
      </w:r>
    </w:p>
    <w:p w14:paraId="48DA3B50">
      <w:pPr>
        <w:keepNext w:val="0"/>
        <w:keepLines w:val="0"/>
        <w:pageBreakBefore w:val="0"/>
        <w:shd w:val="clear"/>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（6）双方与合同有关的往来信函、传真经双方法定代表人或其授权代表签字并加盖单位公章确认后视为本合同的组成部分。</w:t>
      </w:r>
    </w:p>
    <w:p w14:paraId="61581B8D">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（7）经双方法定代表人或其授权代表签字并加盖单位公章确认的补充协议。</w:t>
      </w:r>
    </w:p>
    <w:p w14:paraId="5DF30D37">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CN"/>
        </w:rPr>
        <w:t>如果乙方的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文件及质疑解答文件内容违背或低于甲方</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要求或任何可能导致影响当次采购目的的情形，均应当被视为乙方自动放弃</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文件及质疑解答文件中相应部分而同意以</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相应内容为准。如果乙方的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文件及质疑解答文件内容高于甲方</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要求，则以乙方的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文件及质疑解答文件内容为准。如果合同条款与合同附件有矛盾之处，以合同条款内容为准。</w:t>
      </w:r>
      <w:r>
        <w:rPr>
          <w:rFonts w:hint="eastAsia" w:ascii="宋体" w:hAnsi="宋体" w:eastAsia="宋体" w:cs="宋体"/>
          <w:color w:val="auto"/>
          <w:sz w:val="21"/>
          <w:szCs w:val="21"/>
          <w:highlight w:val="none"/>
        </w:rPr>
        <w:t>如果合同附件之间有矛盾之处，以有利于甲方的附件内容为准。</w:t>
      </w:r>
    </w:p>
    <w:p w14:paraId="14D8E0DE">
      <w:pPr>
        <w:keepNext w:val="0"/>
        <w:keepLines w:val="0"/>
        <w:pageBreakBefore w:val="0"/>
        <w:shd w:val="clear"/>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1FA8CF4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第三条 质量内容及质量标准</w:t>
      </w:r>
    </w:p>
    <w:p w14:paraId="40302C9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绿化养护质量应达到国家及行业标准，并满足国家、省、市绿化养护相关文件标准及《西安浐灞国际港园林绿化养护管理标准》（附件二）、《西安浐灞国际港绿地管护工作考评办法》（附件五）</w:t>
      </w:r>
    </w:p>
    <w:p w14:paraId="08145AFA">
      <w:pPr>
        <w:keepNext w:val="0"/>
        <w:keepLines w:val="0"/>
        <w:pageBreakBefore w:val="0"/>
        <w:widowControl/>
        <w:suppressLineNumbers w:val="0"/>
        <w:shd w:val="clear"/>
        <w:kinsoku/>
        <w:wordWrap/>
        <w:overflowPunct/>
        <w:topLinePunct w:val="0"/>
        <w:bidi w:val="0"/>
        <w:adjustRightInd w:val="0"/>
        <w:snapToGrid w:val="0"/>
        <w:spacing w:line="360" w:lineRule="auto"/>
        <w:ind w:firstLine="422"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第四条 合同价款</w:t>
      </w:r>
    </w:p>
    <w:p w14:paraId="47F58195">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1.本合同暂定总价：小写(￥)：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元；大写（人民币）：</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元，包括养护费用总价款暂定为：小写(￥)：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元；大写（人民币）：</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元，预留金：</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w:t>
      </w:r>
    </w:p>
    <w:p w14:paraId="29D4AA7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全费用单价：</w:t>
      </w:r>
      <w:r>
        <w:rPr>
          <w:rFonts w:hint="eastAsia" w:ascii="宋体" w:hAnsi="宋体" w:eastAsia="宋体" w:cs="宋体"/>
          <w:bCs w:val="0"/>
          <w:color w:val="auto"/>
          <w:kern w:val="0"/>
          <w:sz w:val="21"/>
          <w:szCs w:val="21"/>
          <w:highlight w:val="none"/>
          <w:lang w:val="en-US" w:eastAsia="zh-CN" w:bidi="ar-SA"/>
        </w:rPr>
        <w:t>一级：</w:t>
      </w:r>
      <w:r>
        <w:rPr>
          <w:rFonts w:hint="eastAsia" w:ascii="宋体" w:hAnsi="宋体" w:eastAsia="宋体" w:cs="宋体"/>
          <w:bCs w:val="0"/>
          <w:color w:val="auto"/>
          <w:kern w:val="0"/>
          <w:sz w:val="21"/>
          <w:szCs w:val="21"/>
          <w:highlight w:val="none"/>
          <w:u w:val="single"/>
          <w:lang w:val="en-US" w:eastAsia="zh-CN" w:bidi="ar-SA"/>
        </w:rPr>
        <w:t xml:space="preserve">     </w:t>
      </w:r>
      <w:r>
        <w:rPr>
          <w:rFonts w:hint="eastAsia" w:ascii="宋体" w:hAnsi="宋体" w:eastAsia="宋体" w:cs="宋体"/>
          <w:bCs w:val="0"/>
          <w:color w:val="auto"/>
          <w:kern w:val="0"/>
          <w:sz w:val="21"/>
          <w:szCs w:val="21"/>
          <w:highlight w:val="none"/>
          <w:lang w:val="en-US" w:eastAsia="zh-CN" w:bidi="ar-SA"/>
        </w:rPr>
        <w:t>元/㎡</w:t>
      </w:r>
      <w:r>
        <w:rPr>
          <w:rFonts w:hint="eastAsia" w:ascii="宋体" w:hAnsi="宋体" w:eastAsia="宋体" w:cs="宋体"/>
          <w:b w:val="0"/>
          <w:bCs w:val="0"/>
          <w:color w:val="auto"/>
          <w:kern w:val="0"/>
          <w:sz w:val="24"/>
          <w:szCs w:val="24"/>
          <w:highlight w:val="none"/>
          <w:u w:val="none"/>
          <w:lang w:val="en-US" w:eastAsia="zh-CN" w:bidi="ar"/>
        </w:rPr>
        <w:t>/年</w:t>
      </w:r>
      <w:r>
        <w:rPr>
          <w:rFonts w:hint="eastAsia" w:ascii="宋体" w:hAnsi="宋体" w:eastAsia="宋体" w:cs="宋体"/>
          <w:bCs w:val="0"/>
          <w:color w:val="auto"/>
          <w:kern w:val="0"/>
          <w:sz w:val="21"/>
          <w:szCs w:val="21"/>
          <w:highlight w:val="none"/>
          <w:lang w:val="en-US" w:eastAsia="zh-CN" w:bidi="ar-SA"/>
        </w:rPr>
        <w:t>；二级：</w:t>
      </w:r>
      <w:r>
        <w:rPr>
          <w:rFonts w:hint="eastAsia" w:ascii="宋体" w:hAnsi="宋体" w:eastAsia="宋体" w:cs="宋体"/>
          <w:bCs w:val="0"/>
          <w:color w:val="auto"/>
          <w:kern w:val="0"/>
          <w:sz w:val="21"/>
          <w:szCs w:val="21"/>
          <w:highlight w:val="none"/>
          <w:u w:val="single"/>
          <w:lang w:val="en-US" w:eastAsia="zh-CN" w:bidi="ar-SA"/>
        </w:rPr>
        <w:t xml:space="preserve">     </w:t>
      </w:r>
      <w:r>
        <w:rPr>
          <w:rFonts w:hint="eastAsia" w:ascii="宋体" w:hAnsi="宋体" w:eastAsia="宋体" w:cs="宋体"/>
          <w:bCs w:val="0"/>
          <w:color w:val="auto"/>
          <w:kern w:val="0"/>
          <w:sz w:val="21"/>
          <w:szCs w:val="21"/>
          <w:highlight w:val="none"/>
          <w:lang w:val="en-US" w:eastAsia="zh-CN" w:bidi="ar-SA"/>
        </w:rPr>
        <w:t>元/㎡</w:t>
      </w:r>
      <w:r>
        <w:rPr>
          <w:rFonts w:hint="eastAsia" w:ascii="宋体" w:hAnsi="宋体" w:eastAsia="宋体" w:cs="宋体"/>
          <w:b w:val="0"/>
          <w:bCs w:val="0"/>
          <w:color w:val="auto"/>
          <w:kern w:val="0"/>
          <w:sz w:val="24"/>
          <w:szCs w:val="24"/>
          <w:highlight w:val="none"/>
          <w:u w:val="none"/>
          <w:lang w:val="en-US" w:eastAsia="zh-CN" w:bidi="ar"/>
        </w:rPr>
        <w:t>/年</w:t>
      </w:r>
      <w:r>
        <w:rPr>
          <w:rFonts w:hint="eastAsia" w:ascii="宋体" w:hAnsi="宋体" w:eastAsia="宋体" w:cs="宋体"/>
          <w:bCs w:val="0"/>
          <w:color w:val="auto"/>
          <w:kern w:val="0"/>
          <w:sz w:val="21"/>
          <w:szCs w:val="21"/>
          <w:highlight w:val="none"/>
          <w:lang w:val="en-US" w:eastAsia="zh-CN" w:bidi="ar-SA"/>
        </w:rPr>
        <w:t>；林带：</w:t>
      </w:r>
      <w:r>
        <w:rPr>
          <w:rFonts w:hint="eastAsia" w:ascii="宋体" w:hAnsi="宋体" w:eastAsia="宋体" w:cs="宋体"/>
          <w:bCs w:val="0"/>
          <w:color w:val="auto"/>
          <w:kern w:val="0"/>
          <w:sz w:val="21"/>
          <w:szCs w:val="21"/>
          <w:highlight w:val="none"/>
          <w:u w:val="single"/>
          <w:lang w:val="en-US" w:eastAsia="zh-CN" w:bidi="ar-SA"/>
        </w:rPr>
        <w:t xml:space="preserve">     </w:t>
      </w:r>
      <w:r>
        <w:rPr>
          <w:rFonts w:hint="eastAsia" w:ascii="宋体" w:hAnsi="宋体" w:eastAsia="宋体" w:cs="宋体"/>
          <w:bCs w:val="0"/>
          <w:color w:val="auto"/>
          <w:kern w:val="0"/>
          <w:sz w:val="21"/>
          <w:szCs w:val="21"/>
          <w:highlight w:val="none"/>
          <w:lang w:val="en-US" w:eastAsia="zh-CN" w:bidi="ar-SA"/>
        </w:rPr>
        <w:t>元/㎡</w:t>
      </w:r>
      <w:r>
        <w:rPr>
          <w:rFonts w:hint="eastAsia" w:ascii="宋体" w:hAnsi="宋体" w:eastAsia="宋体" w:cs="宋体"/>
          <w:b w:val="0"/>
          <w:bCs w:val="0"/>
          <w:color w:val="auto"/>
          <w:kern w:val="0"/>
          <w:sz w:val="24"/>
          <w:szCs w:val="24"/>
          <w:highlight w:val="none"/>
          <w:u w:val="none"/>
          <w:lang w:val="en-US" w:eastAsia="zh-CN" w:bidi="ar"/>
        </w:rPr>
        <w:t>/年</w:t>
      </w:r>
      <w:r>
        <w:rPr>
          <w:rFonts w:hint="eastAsia" w:ascii="宋体" w:hAnsi="宋体" w:eastAsia="宋体" w:cs="宋体"/>
          <w:b w:val="0"/>
          <w:bCs w:val="0"/>
          <w:color w:val="auto"/>
          <w:kern w:val="0"/>
          <w:sz w:val="21"/>
          <w:szCs w:val="21"/>
          <w:highlight w:val="none"/>
          <w:u w:val="none"/>
          <w:lang w:val="en-US" w:eastAsia="zh-CN" w:bidi="ar"/>
        </w:rPr>
        <w:t>。</w:t>
      </w:r>
    </w:p>
    <w:p w14:paraId="301F865A">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2.合同形式：</w:t>
      </w:r>
      <w:r>
        <w:rPr>
          <w:rFonts w:hint="eastAsia" w:ascii="宋体" w:hAnsi="宋体" w:eastAsia="宋体" w:cs="宋体"/>
          <w:color w:val="auto"/>
          <w:sz w:val="21"/>
          <w:szCs w:val="21"/>
          <w:highlight w:val="none"/>
          <w:u w:val="none"/>
          <w:lang w:val="en-US" w:eastAsia="zh-CN"/>
        </w:rPr>
        <w:t xml:space="preserve">固定单价合同 </w:t>
      </w:r>
    </w:p>
    <w:p w14:paraId="20B86E10">
      <w:pPr>
        <w:keepNext w:val="0"/>
        <w:keepLines w:val="0"/>
        <w:pageBreakBefore w:val="0"/>
        <w:widowControl/>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单价为本次服务要求内容且验收合格的所有费用,报价包括招标范围内绿地养护费用：绿地、园路、铺装广场、果皮箱、护栏、标牌等设施保洁及垃圾清运费用、绿地巡查及日常管理费用、人工、材料、机械、管理费、招标代理服务费、利润、规费、税金及市场浮动风险等所需的全部费用。任何错报、漏报由供应商自行负责，结算时不再做任何调整，</w:t>
      </w:r>
      <w:r>
        <w:rPr>
          <w:rFonts w:hint="eastAsia" w:ascii="宋体" w:hAnsi="宋体" w:eastAsia="宋体" w:cs="宋体"/>
          <w:color w:val="auto"/>
          <w:kern w:val="0"/>
          <w:sz w:val="21"/>
          <w:szCs w:val="21"/>
          <w:highlight w:val="none"/>
          <w:lang w:val="en-US" w:eastAsia="zh-CN" w:bidi="ar"/>
        </w:rPr>
        <w:t>具体单价明细详见附件一。</w:t>
      </w:r>
    </w:p>
    <w:p w14:paraId="10D6088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3.本合同总价包括合同执行期间新增养护面积产生费用及其他费用。</w:t>
      </w:r>
    </w:p>
    <w:p w14:paraId="1E1534C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（1）新增面积：以甲方下发的进场通知单为准。新增费用：以进场通知单确定的时间、等级、标准，参照投标文件确定的价格，核定新增面积费用。</w:t>
      </w:r>
    </w:p>
    <w:p w14:paraId="1B5A6F8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2）其他费用：包括公园广场水电费、设施维修费、补栽苗木主材等,以甲方下发的派工单、通知单等其他文件为准，若有涉及相关工程类事项，单价采用固定全费用单价模式，费用按差价模式计算，按《陕西省建设工程工程量清单计价规则》（2009版）、《陕西省建筑工程、安装工程、装饰工程、市政工程、园林绿化工程消耗量定额》（2004版）及陕西省2009年价目表，人工、机械、管理费、利润、规费、税金等按当期最新计价文件规定执行，钢材、商品砼、砂浆、砂、石子、石灰、水泥、砌块采用投标当期《陕西工程造价信息》进行计算，其余材料及设备采用市场询价，双方共同确认。</w:t>
      </w:r>
    </w:p>
    <w:p w14:paraId="0A90DF6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第五条 付款方式及付款依据</w:t>
      </w:r>
    </w:p>
    <w:p w14:paraId="7FD43ACA">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1.结算方式:</w:t>
      </w:r>
    </w:p>
    <w:p w14:paraId="1239A67D">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1)预付款支付条款:无</w:t>
      </w:r>
    </w:p>
    <w:p w14:paraId="4C6030AA">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2)剩余款项支付条款:</w:t>
      </w:r>
    </w:p>
    <w:p w14:paraId="1BD93205">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每季度末，乙方向甲方申报本季度养护费用，包含既有面积养护、新增面积养护，甲方核定完成后，支付本次核定费用的90%。</w:t>
      </w:r>
    </w:p>
    <w:p w14:paraId="45AF0843">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每半年乙方申报一次使用预留金的新增工作内容的费用，按照甲方出具的结算报告的金额100%支付。</w:t>
      </w:r>
    </w:p>
    <w:p w14:paraId="7789E43D">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以上季度、半年计算方法为:自合同生效之日起，计算。如:2026年8月11日至2026年11月10日为一个季度。</w:t>
      </w:r>
    </w:p>
    <w:p w14:paraId="30904266">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合同期结束，甲乙双方对所有完成内容进行结算，并支付剩余费用。</w:t>
      </w:r>
    </w:p>
    <w:p w14:paraId="44186D4A">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2.付款依据:</w:t>
      </w:r>
    </w:p>
    <w:p w14:paraId="3F7F6FED">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default" w:ascii="宋体" w:hAnsi="宋体" w:eastAsia="宋体" w:cs="宋体"/>
          <w:i w:val="0"/>
          <w:iCs w:val="0"/>
          <w:caps w:val="0"/>
          <w:color w:val="auto"/>
          <w:spacing w:val="0"/>
          <w:kern w:val="0"/>
          <w:sz w:val="21"/>
          <w:szCs w:val="21"/>
          <w:highlight w:val="none"/>
          <w:u w:val="none"/>
          <w:lang w:val="en-US" w:eastAsia="zh-CN" w:bidi="ar-SA"/>
        </w:rPr>
        <w:t>①</w:t>
      </w:r>
      <w:r>
        <w:rPr>
          <w:rFonts w:hint="eastAsia" w:ascii="宋体" w:hAnsi="宋体" w:eastAsia="宋体" w:cs="宋体"/>
          <w:i w:val="0"/>
          <w:iCs w:val="0"/>
          <w:caps w:val="0"/>
          <w:color w:val="auto"/>
          <w:spacing w:val="0"/>
          <w:kern w:val="0"/>
          <w:sz w:val="21"/>
          <w:szCs w:val="21"/>
          <w:highlight w:val="none"/>
          <w:u w:val="none"/>
          <w:lang w:val="en-US" w:eastAsia="zh-CN" w:bidi="ar-SA"/>
        </w:rPr>
        <w:t>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5D27B754">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②甲方通过银行转账方式支付相应款项，乙方若变更收款账户的，应在甲方付款前至少提前15天以书面形式通知甲方，否则相关法律后果均由乙方自行承担。</w:t>
      </w:r>
    </w:p>
    <w:p w14:paraId="4FAC32A7">
      <w:pPr>
        <w:keepNext w:val="0"/>
        <w:keepLines w:val="0"/>
        <w:pageBreakBefore w:val="0"/>
        <w:widowControl/>
        <w:suppressLineNumbers w:val="0"/>
        <w:shd w:val="clear"/>
        <w:kinsoku/>
        <w:wordWrap/>
        <w:overflowPunct/>
        <w:topLinePunct w:val="0"/>
        <w:bidi w:val="0"/>
        <w:adjustRightInd w:val="0"/>
        <w:snapToGrid w:val="0"/>
        <w:spacing w:line="360" w:lineRule="auto"/>
        <w:ind w:firstLine="422" w:firstLineChars="200"/>
        <w:jc w:val="left"/>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第六条 其他约定</w:t>
      </w:r>
    </w:p>
    <w:p w14:paraId="31D61F7F">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合同期限届满后，双方进行结算审计，结算审计过程中，乙方须无条件配合，基本审计费由甲方承担，审计成果费由乙方承担，具体费用以造价咨询合同为准。</w:t>
      </w:r>
    </w:p>
    <w:p w14:paraId="7FD3D95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第七条 合同双方的权利与义务 </w:t>
      </w:r>
    </w:p>
    <w:p w14:paraId="2944B24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（一）甲方权利与义务</w:t>
      </w:r>
    </w:p>
    <w:p w14:paraId="2940B55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1.甲方有义务明确乙方工作责任范围。</w:t>
      </w:r>
    </w:p>
    <w:p w14:paraId="250A35F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2.甲方按照《西安浐灞国际港园林绿化养护管理标准》对乙方绿地养护工作进行考核，乙方应按照甲方制定的标准开展相关工作。</w:t>
      </w:r>
    </w:p>
    <w:p w14:paraId="0EB4BD5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3.甲方有权要求乙方制定相关管理计划、管理办法及管理制度等，切实做好本项目养护管理工作。</w:t>
      </w:r>
    </w:p>
    <w:p w14:paraId="35B65B9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4.甲方可随时对乙方绿化养护管理工作进行抽查，发现问题的，有权限期要求乙方整改。</w:t>
      </w:r>
    </w:p>
    <w:p w14:paraId="0A2D970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5.为使本合同顺利履行，在职责范围内协调解决乙方绿化养护工作所需的水、电等配套设施。</w:t>
      </w:r>
    </w:p>
    <w:p w14:paraId="3B3D070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6.负责指定专人对乙方工作进行监督和检查，及时组织验收。</w:t>
      </w:r>
    </w:p>
    <w:p w14:paraId="6FA9DB7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7.在合同后期履行过程中，因养护标准、人数配置等发生变化的，甲方应据实增加相关费用，双方协商一致后，另行签订补充协议予以确定。 </w:t>
      </w:r>
    </w:p>
    <w:p w14:paraId="721A339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8.甲方有权对乙方提交的补栽、维修清单进行审核确认。</w:t>
      </w:r>
    </w:p>
    <w:p w14:paraId="5ADBE474">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9.对于本合同约定范围外的工作内容，甲方应提前书面告知乙方，同时组织相关单位对现场进行移交，确定工作区域及标准，交接管护日期以甲方书面通知日期为准。</w:t>
      </w:r>
    </w:p>
    <w:p w14:paraId="1C48380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10.甲方按照合同约定及时向乙方付款。</w:t>
      </w:r>
    </w:p>
    <w:p w14:paraId="31619D2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（二）乙方权利与义务</w:t>
      </w:r>
    </w:p>
    <w:p w14:paraId="09B8385B">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1.乙方应严格按照《西安浐灞国际港园林绿化养护管理标准》，开展相关工作。</w:t>
      </w:r>
    </w:p>
    <w:p w14:paraId="7A784C6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2.乙方应加强日常管理，编制工作方案，制定工作计划，加强日常巡检对存在问题及时整改，对重点区域实行专人负责制。</w:t>
      </w:r>
    </w:p>
    <w:p w14:paraId="22FF5B5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3.乙方应按照甲方的要求配合完成上级部门检查考核等工作。</w:t>
      </w:r>
    </w:p>
    <w:p w14:paraId="26AB1F7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4.如遇市、区重大活动和节日庆典，乙方应无条件按照甲方要求，完成绿化养护保障相关工作。</w:t>
      </w:r>
    </w:p>
    <w:p w14:paraId="6522CFF4">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乙方应确保合同约定范围内绿地的养护工作的正常进行，确保按时完成养护绿地范围内各类苗木的修剪、清掏、补栽、浇灌、施肥、病虫害防治等工作。及时清理死苗，在绿化季内进行补植，补种同类苗木，并加强养护管理措施，保证补植成活率。</w:t>
      </w:r>
    </w:p>
    <w:p w14:paraId="6742DB8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6.乙方应做好绿地内座椅、园林绿化景观小品、广场硬铺装等公用设施的管护工作，确保干净整洁、无破损。如需更换维修的，需书面报送甲方同意后，再进行维修更换。</w:t>
      </w:r>
    </w:p>
    <w:p w14:paraId="2D920DFB">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7.乙方应按照市、区安全生产管理要求，履行安全生产主体责任，确保全年无重大安全事故。</w:t>
      </w:r>
    </w:p>
    <w:p w14:paraId="2AAD8AA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8.乙方应提供补栽、维修计划，待甲方确认后及时实施。</w:t>
      </w:r>
    </w:p>
    <w:p w14:paraId="1835F84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第八条 验收考核及处罚</w:t>
      </w:r>
    </w:p>
    <w:p w14:paraId="71445FF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1.甲方根据本合同第三条约定的质量标准进行验收、考核，验收、考核存在问题的，有权要求乙方限期整改。</w:t>
      </w:r>
    </w:p>
    <w:p w14:paraId="05DD3F34">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本合同期限内，甲方根据国家、省、市、区绿地养护相关文件、标准，按照《西安浐灞国际港绿地管护工作考评办法》（详见附件五）每月对乙方（按照《西安浐灞国际港绿化养护管理手册》管理要求划分养护单位）工作实施考核、验收，并对检查结果进行通报，相关考核扣款从当季进度款支付中扣除。</w:t>
      </w:r>
    </w:p>
    <w:p w14:paraId="681A2A9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乙方项目经理或管理人员在工作中出现推诿扯皮，态度消极，各项工作落实不及时不到位等不符合甲方要求的行为，甲方有权通知乙方更换项目经理及相关管理人员，乙方收到更换人员通知后10天内无条件完成更换，未按期更换的按照2万元/月/人的标准进行扣款，费用直接从当季进度款支付中扣除。</w:t>
      </w:r>
    </w:p>
    <w:p w14:paraId="37C0B70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乙方项目经理要求人证合一，按时上岗，出现脱岗、顶岗的发现一次，单次处罚1万元，项目经理若有事外出须出示书面请假于甲方批准方可外出，对私自外出或离岗而未完成请假手续的个人每次1万元经济处罚。</w:t>
      </w:r>
    </w:p>
    <w:p w14:paraId="7541BB2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乙方项目经理及主要管理人员电话须保持24小时畅通，对电话无故失联的对失联人进行约谈警告，因失联造成应急、抢险等工作延误被相关部门督办的每次处罚2万元经济处罚并承担全部责任，处罚罚款在季度养护费用中扣除.同时启动更换项目经理流程。</w:t>
      </w:r>
    </w:p>
    <w:p w14:paraId="626AC2A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6.乙方必须配备持证专职安全管理人员。严禁兼职挂靠，缺证缺人、对因缺证缺人造成的隐患投诉和安全事故发生处每次1至5万元的经济处罚，罚款在当季度进度中款扣除。</w:t>
      </w:r>
    </w:p>
    <w:p w14:paraId="32D8BE54">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7.在绿化养护月度考核验收中，第一次出现排名后三且考评为差（月度考评成绩70分以下）的养护单元，对乙方单位公司领导及项目经理进行约谈，对养护单元管理负责人及主要管理人员进行提醒警告。</w:t>
      </w:r>
    </w:p>
    <w:p w14:paraId="4919B11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8.在绿化养护月度考核验收中，累计两次出现排名后三且考评为差（月度考评成绩70分以下）的养护单元，甲方可要求乙方更换养护单元管理负责人及主要管理人员。</w:t>
      </w:r>
    </w:p>
    <w:p w14:paraId="70B8070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9.在绿化养护月度考核验收中，累计三次排名后三且考评为差（月度考评成绩70分以下）的养护单元，甲方有权单方解除该养护单元养护关系，委托其它单位负责该单元养护工作。</w:t>
      </w:r>
    </w:p>
    <w:p w14:paraId="0F6B98A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kern w:val="0"/>
          <w:sz w:val="21"/>
          <w:szCs w:val="21"/>
          <w:highlight w:val="none"/>
          <w:lang w:val="en-US" w:eastAsia="zh-CN" w:bidi="ar"/>
        </w:rPr>
        <w:t>第九条 违约责任</w:t>
      </w:r>
    </w:p>
    <w:p w14:paraId="7B09976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1.乙方未按合同约定达到绿化养护工作目标，或养护管理不到位，养护质量不合格，未达到相应的工作考核要求的，甲方按照合同第十条进行考核及处罚。</w:t>
      </w:r>
    </w:p>
    <w:p w14:paraId="2CD3204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第十条 合同解除条款 </w:t>
      </w:r>
    </w:p>
    <w:p w14:paraId="410BEB8C">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1.本合同期限内，乙方有下列行为之一的，甲方有权单方解除本合同：</w:t>
      </w:r>
    </w:p>
    <w:p w14:paraId="212EC61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（1）因乙方原因造成社会不良影响的；</w:t>
      </w:r>
    </w:p>
    <w:p w14:paraId="4494CE8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（2）因乙方原因造成社会不稳定因素的；</w:t>
      </w:r>
    </w:p>
    <w:p w14:paraId="21E5664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（3）乙方在重大活动或接待工作中不听甲方指挥安排的。</w:t>
      </w:r>
    </w:p>
    <w:p w14:paraId="42887CC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（4）乙方未按甲方要求或《西安浐灞国际港园林绿化养护管理标准》服务，经甲方提出后逾期整改或拒绝整改的；</w:t>
      </w:r>
    </w:p>
    <w:p w14:paraId="61481496">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color w:val="auto"/>
          <w:highlight w:val="none"/>
          <w:lang w:val="en-US" w:eastAsia="zh-CN"/>
        </w:rPr>
      </w:pPr>
      <w:r>
        <w:rPr>
          <w:rFonts w:hint="eastAsia" w:ascii="宋体" w:hAnsi="宋体" w:eastAsia="宋体" w:cs="宋体"/>
          <w:color w:val="auto"/>
          <w:kern w:val="0"/>
          <w:sz w:val="21"/>
          <w:szCs w:val="21"/>
          <w:highlight w:val="none"/>
          <w:lang w:val="en-US" w:eastAsia="zh-CN" w:bidi="ar"/>
        </w:rPr>
        <w:t>（5）未经甲方书面同意擅自分包或转包的；</w:t>
      </w:r>
    </w:p>
    <w:p w14:paraId="69243E5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乙方具有上述行为之一的，应当在收到甲方《单方解除合同通知书》后，本合同自动解除。甲方应按照合同约定根据乙方实际工作情况据实结算并支付相应费用。</w:t>
      </w:r>
    </w:p>
    <w:p w14:paraId="1802516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合同期限内，任何一方的违约行为导致本合同解除，给守约方造成经济损失的，违约方应按照约定绿化养护管理费用总额的10%向守约方支付违约金，并赔偿由此造成的经济损失，赔偿范围包括但不限于诉讼费、鉴定费、执行费、律师服务费，以及守约方维权过程中所产生的交通食宿费等合理的经济损失。</w:t>
      </w:r>
    </w:p>
    <w:p w14:paraId="6CDEE80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3.因一方违约或不可抗力导致本合同不能继续履行，另一方有权解除合同，并应在上述事项发生后三十天内书面通知对方，本合同在解除通知送达对方的同时自行解除。</w:t>
      </w:r>
    </w:p>
    <w:p w14:paraId="0A2032A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第十一条 争议解决条款</w:t>
      </w:r>
    </w:p>
    <w:p w14:paraId="188547F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本合同履行过程中发生争议的，双方应友好协商解决，协商不成的，任何一方均有权向合同履行地（西安市灞桥区）有管辖权的人民法院起诉。</w:t>
      </w:r>
    </w:p>
    <w:p w14:paraId="29B6812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第十二条 监督和管理 </w:t>
      </w:r>
    </w:p>
    <w:p w14:paraId="4ACEA09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1.政府采购合同履行中，甲方需追加与合同标的相同服务的，在不改变合同其他条款的前提下，可以与乙方协商签订补充合同，但所有补充合同的采购金额不得超过原合同采购金额的百分之十。 </w:t>
      </w:r>
    </w:p>
    <w:p w14:paraId="17D99A3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2.甲乙双方均应自觉配合有关监督管理部门对合同履行情况的监督检查，如实反映情况，提供有关资料；否则，将对有关单位、当事人按照有关规定予以处罚。</w:t>
      </w:r>
    </w:p>
    <w:p w14:paraId="651CD44B">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第十三条 不可抗力 </w:t>
      </w:r>
    </w:p>
    <w:p w14:paraId="6883FE0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w:t>
      </w:r>
    </w:p>
    <w:p w14:paraId="022371D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 xml:space="preserve">第十四条 合同订立 </w:t>
      </w:r>
    </w:p>
    <w:p w14:paraId="5AC18BC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1.订立时间：</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年</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月</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日。 </w:t>
      </w:r>
    </w:p>
    <w:p w14:paraId="620E117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2.订立地点：</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w:t>
      </w:r>
    </w:p>
    <w:p w14:paraId="04F742E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3.本合同自双方签字、盖章之日起生效，合同文本一式</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份，甲乙双方各执</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份，具同等法律效力。</w:t>
      </w:r>
    </w:p>
    <w:p w14:paraId="2566199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4.本合同附件是本合同的组成部分，与本合同具有同等法律效力，包括：</w:t>
      </w:r>
    </w:p>
    <w:p w14:paraId="085AD5A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附件一：XX 年度绿化养护工作内容及费用明细</w:t>
      </w:r>
    </w:p>
    <w:p w14:paraId="63CA63E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附件二：西安浐灞国际港园林绿化养护管理标准</w:t>
      </w:r>
    </w:p>
    <w:p w14:paraId="5DA3BE7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附件三：本项目的人员配置情况表</w:t>
      </w:r>
    </w:p>
    <w:p w14:paraId="026BE30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附件四：投入机械设备情况表</w:t>
      </w:r>
    </w:p>
    <w:p w14:paraId="3C193F2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附件五：西安浐灞国际港绿地管护工作考评办法</w:t>
      </w:r>
    </w:p>
    <w:p w14:paraId="213DBDD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附件六：西安浐灞国际港绿化养护管理手册</w:t>
      </w:r>
    </w:p>
    <w:p w14:paraId="7458D0D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（以下无正文）</w:t>
      </w:r>
    </w:p>
    <w:p w14:paraId="6A6FBA1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p>
    <w:p w14:paraId="25024BA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p>
    <w:tbl>
      <w:tblPr>
        <w:tblStyle w:val="5"/>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45D6F227">
        <w:tblPrEx>
          <w:tblCellMar>
            <w:top w:w="0" w:type="dxa"/>
            <w:left w:w="108" w:type="dxa"/>
            <w:bottom w:w="0" w:type="dxa"/>
            <w:right w:w="108" w:type="dxa"/>
          </w:tblCellMar>
        </w:tblPrEx>
        <w:trPr>
          <w:trHeight w:val="454" w:hRule="atLeast"/>
        </w:trPr>
        <w:tc>
          <w:tcPr>
            <w:tcW w:w="4201" w:type="dxa"/>
            <w:vAlign w:val="center"/>
          </w:tcPr>
          <w:p w14:paraId="10BC20E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w:t>
            </w:r>
          </w:p>
        </w:tc>
        <w:tc>
          <w:tcPr>
            <w:tcW w:w="4202" w:type="dxa"/>
            <w:vAlign w:val="center"/>
          </w:tcPr>
          <w:p w14:paraId="1DA0D2A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  方</w:t>
            </w:r>
          </w:p>
        </w:tc>
      </w:tr>
      <w:tr w14:paraId="54F1C946">
        <w:tblPrEx>
          <w:tblCellMar>
            <w:top w:w="0" w:type="dxa"/>
            <w:left w:w="108" w:type="dxa"/>
            <w:bottom w:w="0" w:type="dxa"/>
            <w:right w:w="108" w:type="dxa"/>
          </w:tblCellMar>
        </w:tblPrEx>
        <w:trPr>
          <w:trHeight w:val="454" w:hRule="atLeast"/>
        </w:trPr>
        <w:tc>
          <w:tcPr>
            <w:tcW w:w="4201" w:type="dxa"/>
            <w:vAlign w:val="center"/>
          </w:tcPr>
          <w:p w14:paraId="129754A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c>
          <w:tcPr>
            <w:tcW w:w="4202" w:type="dxa"/>
            <w:vAlign w:val="center"/>
          </w:tcPr>
          <w:p w14:paraId="334267A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r>
      <w:tr w14:paraId="5B44A2A4">
        <w:tblPrEx>
          <w:tblCellMar>
            <w:top w:w="0" w:type="dxa"/>
            <w:left w:w="108" w:type="dxa"/>
            <w:bottom w:w="0" w:type="dxa"/>
            <w:right w:w="108" w:type="dxa"/>
          </w:tblCellMar>
        </w:tblPrEx>
        <w:trPr>
          <w:trHeight w:val="454" w:hRule="atLeast"/>
        </w:trPr>
        <w:tc>
          <w:tcPr>
            <w:tcW w:w="4201" w:type="dxa"/>
            <w:vAlign w:val="center"/>
          </w:tcPr>
          <w:p w14:paraId="3A73BBA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p>
        </w:tc>
        <w:tc>
          <w:tcPr>
            <w:tcW w:w="4202" w:type="dxa"/>
            <w:vAlign w:val="center"/>
          </w:tcPr>
          <w:p w14:paraId="7A74FD4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tc>
      </w:tr>
      <w:tr w14:paraId="54C254BA">
        <w:tblPrEx>
          <w:tblCellMar>
            <w:top w:w="0" w:type="dxa"/>
            <w:left w:w="108" w:type="dxa"/>
            <w:bottom w:w="0" w:type="dxa"/>
            <w:right w:w="108" w:type="dxa"/>
          </w:tblCellMar>
        </w:tblPrEx>
        <w:trPr>
          <w:trHeight w:val="454" w:hRule="atLeast"/>
        </w:trPr>
        <w:tc>
          <w:tcPr>
            <w:tcW w:w="4201" w:type="dxa"/>
            <w:vAlign w:val="center"/>
          </w:tcPr>
          <w:p w14:paraId="0294A4F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c>
          <w:tcPr>
            <w:tcW w:w="4202" w:type="dxa"/>
            <w:vAlign w:val="center"/>
          </w:tcPr>
          <w:p w14:paraId="5C86597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r>
      <w:tr w14:paraId="7F379CC1">
        <w:tblPrEx>
          <w:tblCellMar>
            <w:top w:w="0" w:type="dxa"/>
            <w:left w:w="108" w:type="dxa"/>
            <w:bottom w:w="0" w:type="dxa"/>
            <w:right w:w="108" w:type="dxa"/>
          </w:tblCellMar>
        </w:tblPrEx>
        <w:trPr>
          <w:trHeight w:val="454" w:hRule="atLeast"/>
        </w:trPr>
        <w:tc>
          <w:tcPr>
            <w:tcW w:w="4201" w:type="dxa"/>
            <w:vAlign w:val="center"/>
          </w:tcPr>
          <w:p w14:paraId="142A51B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w:t>
            </w:r>
          </w:p>
        </w:tc>
        <w:tc>
          <w:tcPr>
            <w:tcW w:w="4202" w:type="dxa"/>
            <w:vAlign w:val="center"/>
          </w:tcPr>
          <w:p w14:paraId="11808EC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tc>
      </w:tr>
      <w:tr w14:paraId="35C83F55">
        <w:tblPrEx>
          <w:tblCellMar>
            <w:top w:w="0" w:type="dxa"/>
            <w:left w:w="108" w:type="dxa"/>
            <w:bottom w:w="0" w:type="dxa"/>
            <w:right w:w="108" w:type="dxa"/>
          </w:tblCellMar>
        </w:tblPrEx>
        <w:trPr>
          <w:trHeight w:val="454" w:hRule="atLeast"/>
        </w:trPr>
        <w:tc>
          <w:tcPr>
            <w:tcW w:w="4201" w:type="dxa"/>
            <w:vAlign w:val="center"/>
          </w:tcPr>
          <w:p w14:paraId="140B8EC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tc>
        <w:tc>
          <w:tcPr>
            <w:tcW w:w="4202" w:type="dxa"/>
            <w:vAlign w:val="center"/>
          </w:tcPr>
          <w:p w14:paraId="4ADD34D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tc>
      </w:tr>
      <w:tr w14:paraId="007EDDDB">
        <w:tblPrEx>
          <w:tblCellMar>
            <w:top w:w="0" w:type="dxa"/>
            <w:left w:w="108" w:type="dxa"/>
            <w:bottom w:w="0" w:type="dxa"/>
            <w:right w:w="108" w:type="dxa"/>
          </w:tblCellMar>
        </w:tblPrEx>
        <w:trPr>
          <w:trHeight w:val="454" w:hRule="atLeast"/>
        </w:trPr>
        <w:tc>
          <w:tcPr>
            <w:tcW w:w="4201" w:type="dxa"/>
            <w:vAlign w:val="center"/>
          </w:tcPr>
          <w:p w14:paraId="3C6A954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4202" w:type="dxa"/>
            <w:vAlign w:val="center"/>
          </w:tcPr>
          <w:p w14:paraId="1E77C81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r>
      <w:tr w14:paraId="37560F54">
        <w:tblPrEx>
          <w:tblCellMar>
            <w:top w:w="0" w:type="dxa"/>
            <w:left w:w="108" w:type="dxa"/>
            <w:bottom w:w="0" w:type="dxa"/>
            <w:right w:w="108" w:type="dxa"/>
          </w:tblCellMar>
        </w:tblPrEx>
        <w:trPr>
          <w:trHeight w:val="454" w:hRule="atLeast"/>
        </w:trPr>
        <w:tc>
          <w:tcPr>
            <w:tcW w:w="4201" w:type="dxa"/>
            <w:vAlign w:val="center"/>
          </w:tcPr>
          <w:p w14:paraId="2E27BF8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c>
          <w:tcPr>
            <w:tcW w:w="4202" w:type="dxa"/>
            <w:vAlign w:val="center"/>
          </w:tcPr>
          <w:p w14:paraId="43AD3CE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r>
      <w:tr w14:paraId="3C957A46">
        <w:tblPrEx>
          <w:tblCellMar>
            <w:top w:w="0" w:type="dxa"/>
            <w:left w:w="108" w:type="dxa"/>
            <w:bottom w:w="0" w:type="dxa"/>
            <w:right w:w="108" w:type="dxa"/>
          </w:tblCellMar>
        </w:tblPrEx>
        <w:trPr>
          <w:trHeight w:val="454" w:hRule="atLeast"/>
        </w:trPr>
        <w:tc>
          <w:tcPr>
            <w:tcW w:w="4201" w:type="dxa"/>
            <w:vAlign w:val="center"/>
          </w:tcPr>
          <w:p w14:paraId="1D1D949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4202" w:type="dxa"/>
            <w:vAlign w:val="center"/>
          </w:tcPr>
          <w:p w14:paraId="4F35D3B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08D3BD40">
        <w:tblPrEx>
          <w:tblCellMar>
            <w:top w:w="0" w:type="dxa"/>
            <w:left w:w="108" w:type="dxa"/>
            <w:bottom w:w="0" w:type="dxa"/>
            <w:right w:w="108" w:type="dxa"/>
          </w:tblCellMar>
        </w:tblPrEx>
        <w:trPr>
          <w:trHeight w:val="454" w:hRule="atLeast"/>
        </w:trPr>
        <w:tc>
          <w:tcPr>
            <w:tcW w:w="4201" w:type="dxa"/>
            <w:vAlign w:val="center"/>
          </w:tcPr>
          <w:p w14:paraId="146E68A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c>
          <w:tcPr>
            <w:tcW w:w="4202" w:type="dxa"/>
            <w:vAlign w:val="center"/>
          </w:tcPr>
          <w:p w14:paraId="0739414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r>
    </w:tbl>
    <w:p w14:paraId="569D4131">
      <w:pPr>
        <w:pStyle w:val="2"/>
        <w:shd w:val="clear"/>
        <w:spacing w:line="360" w:lineRule="auto"/>
        <w:rPr>
          <w:rFonts w:hint="eastAsia" w:ascii="宋体" w:hAnsi="宋体" w:eastAsia="宋体" w:cs="宋体"/>
          <w:color w:val="auto"/>
          <w:sz w:val="21"/>
          <w:szCs w:val="21"/>
          <w:highlight w:val="none"/>
        </w:rPr>
      </w:pPr>
    </w:p>
    <w:p w14:paraId="480D0357">
      <w:pPr>
        <w:shd w:val="clear"/>
        <w:spacing w:line="360" w:lineRule="auto"/>
        <w:rPr>
          <w:rFonts w:hint="eastAsia" w:ascii="宋体" w:hAnsi="宋体" w:eastAsia="宋体" w:cs="宋体"/>
          <w:color w:val="auto"/>
          <w:sz w:val="21"/>
          <w:szCs w:val="21"/>
          <w:highlight w:val="none"/>
        </w:rPr>
      </w:pPr>
    </w:p>
    <w:p w14:paraId="2ED154E3">
      <w:pPr>
        <w:shd w:val="clear"/>
        <w:spacing w:line="360" w:lineRule="auto"/>
        <w:rPr>
          <w:rFonts w:hint="eastAsia" w:ascii="宋体" w:hAnsi="宋体" w:eastAsia="宋体" w:cs="宋体"/>
          <w:color w:val="auto"/>
          <w:sz w:val="21"/>
          <w:szCs w:val="21"/>
          <w:highlight w:val="none"/>
        </w:rPr>
      </w:pPr>
    </w:p>
    <w:p w14:paraId="173B7CA5">
      <w:pPr>
        <w:shd w:val="clear"/>
        <w:spacing w:line="360" w:lineRule="auto"/>
        <w:rPr>
          <w:rFonts w:hint="eastAsia" w:ascii="宋体" w:hAnsi="宋体" w:eastAsia="宋体" w:cs="宋体"/>
          <w:color w:val="auto"/>
          <w:sz w:val="21"/>
          <w:szCs w:val="21"/>
          <w:highlight w:val="none"/>
        </w:rPr>
      </w:pPr>
    </w:p>
    <w:p w14:paraId="395F1B37">
      <w:pPr>
        <w:keepNext w:val="0"/>
        <w:keepLines w:val="0"/>
        <w:pageBreakBefore w:val="0"/>
        <w:widowControl w:val="0"/>
        <w:shd w:val="clear"/>
        <w:kinsoku/>
        <w:wordWrap/>
        <w:overflowPunct/>
        <w:topLinePunct w:val="0"/>
        <w:autoSpaceDE/>
        <w:autoSpaceDN/>
        <w:bidi w:val="0"/>
        <w:adjustRightInd/>
        <w:snapToGrid/>
        <w:spacing w:line="312" w:lineRule="auto"/>
        <w:textAlignment w:val="auto"/>
        <w:rPr>
          <w:rFonts w:hint="eastAsia" w:ascii="宋体" w:hAnsi="宋体" w:eastAsia="宋体" w:cs="宋体"/>
          <w:b/>
          <w:bCs/>
          <w:color w:val="auto"/>
          <w:sz w:val="21"/>
          <w:szCs w:val="21"/>
          <w:highlight w:val="none"/>
        </w:rPr>
      </w:pPr>
    </w:p>
    <w:p w14:paraId="4E33FED1">
      <w:pPr>
        <w:keepNext w:val="0"/>
        <w:keepLines w:val="0"/>
        <w:pageBreakBefore w:val="0"/>
        <w:widowControl w:val="0"/>
        <w:shd w:val="clear"/>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color w:val="auto"/>
          <w:sz w:val="21"/>
          <w:szCs w:val="21"/>
          <w:highlight w:val="none"/>
        </w:rPr>
      </w:pPr>
    </w:p>
    <w:p w14:paraId="08520CA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B9E1E14">
      <w:pPr>
        <w:widowControl/>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附件一：XX 年度绿化养护工作内容及费用明细</w:t>
      </w:r>
    </w:p>
    <w:tbl>
      <w:tblPr>
        <w:tblStyle w:val="5"/>
        <w:tblW w:w="499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6"/>
        <w:gridCol w:w="2316"/>
        <w:gridCol w:w="1295"/>
        <w:gridCol w:w="1725"/>
        <w:gridCol w:w="1655"/>
        <w:gridCol w:w="1402"/>
        <w:gridCol w:w="642"/>
      </w:tblGrid>
      <w:tr w14:paraId="0FFA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4F097">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序号</w:t>
            </w:r>
          </w:p>
        </w:tc>
        <w:tc>
          <w:tcPr>
            <w:tcW w:w="11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4C698">
            <w:pPr>
              <w:keepNext w:val="0"/>
              <w:keepLines w:val="0"/>
              <w:widowControl/>
              <w:suppressLineNumbers w:val="0"/>
              <w:shd w:val="clear"/>
              <w:ind w:left="0" w:leftChars="0" w:right="0" w:rightChars="0" w:firstLine="0" w:firstLineChars="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养护服务名称</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0C18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面积</w:t>
            </w:r>
          </w:p>
          <w:p w14:paraId="3FC9B7DB">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7BBF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全费用单价限价</w:t>
            </w:r>
          </w:p>
          <w:p w14:paraId="2C53C08F">
            <w:pPr>
              <w:keepNext w:val="0"/>
              <w:keepLines w:val="0"/>
              <w:widowControl/>
              <w:suppressLineNumbers w:val="0"/>
              <w:shd w:val="clear"/>
              <w:ind w:left="0" w:leftChars="0" w:right="0" w:rightChars="0" w:firstLine="0" w:firstLineChars="0"/>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（元/㎡/年）</w:t>
            </w:r>
          </w:p>
        </w:tc>
        <w:tc>
          <w:tcPr>
            <w:tcW w:w="8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A33E2">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单项费用</w:t>
            </w:r>
          </w:p>
          <w:p w14:paraId="0706EA59">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（元/季度）</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36619">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单项费用</w:t>
            </w:r>
          </w:p>
          <w:p w14:paraId="2658FC3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（元/年）</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5F43E">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备注</w:t>
            </w:r>
          </w:p>
        </w:tc>
      </w:tr>
      <w:tr w14:paraId="4C9C7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ACCAE">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1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FE5F0">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绿地养护服务</w:t>
            </w:r>
          </w:p>
          <w:p w14:paraId="5BE1C3A8">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（一级绿地）</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6A49A">
            <w:pPr>
              <w:keepNext w:val="0"/>
              <w:keepLines w:val="0"/>
              <w:pageBreakBefore w:val="0"/>
              <w:widowControl/>
              <w:suppressLineNumbers w:val="0"/>
              <w:shd w:val="clear"/>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479000</w:t>
            </w:r>
          </w:p>
        </w:tc>
        <w:tc>
          <w:tcPr>
            <w:tcW w:w="8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9007E">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3DE87">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82A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E70C1">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r w14:paraId="654E3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8159B">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11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07A99">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绿地养护服务</w:t>
            </w:r>
          </w:p>
          <w:p w14:paraId="56423252">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（二级绿地）</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65CB9">
            <w:pPr>
              <w:keepNext w:val="0"/>
              <w:keepLines w:val="0"/>
              <w:pageBreakBefore w:val="0"/>
              <w:widowControl/>
              <w:suppressLineNumbers w:val="0"/>
              <w:shd w:val="clear"/>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1548000</w:t>
            </w:r>
          </w:p>
        </w:tc>
        <w:tc>
          <w:tcPr>
            <w:tcW w:w="8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1288C">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D0288">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31CDA">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F151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r w14:paraId="61138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427D1">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1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F118A">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防护林带</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9C84C">
            <w:pPr>
              <w:keepNext w:val="0"/>
              <w:keepLines w:val="0"/>
              <w:pageBreakBefore w:val="0"/>
              <w:widowControl/>
              <w:suppressLineNumbers w:val="0"/>
              <w:shd w:val="clear"/>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57000</w:t>
            </w:r>
          </w:p>
        </w:tc>
        <w:tc>
          <w:tcPr>
            <w:tcW w:w="8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3212">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8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8B2A4">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3B701">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7D6A2">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r w14:paraId="6161B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0C94C">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1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2399">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预留金</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D7114">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1项</w:t>
            </w:r>
          </w:p>
        </w:tc>
        <w:tc>
          <w:tcPr>
            <w:tcW w:w="278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10A7">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lang w:val="en-US"/>
              </w:rPr>
            </w:pPr>
            <w:r>
              <w:rPr>
                <w:rFonts w:hint="eastAsia" w:ascii="宋体" w:hAnsi="宋体" w:eastAsia="宋体" w:cs="宋体"/>
                <w:b w:val="0"/>
                <w:bCs w:val="0"/>
                <w:color w:val="auto"/>
                <w:sz w:val="21"/>
                <w:szCs w:val="21"/>
                <w:highlight w:val="none"/>
                <w:lang w:val="en-US" w:eastAsia="zh-CN"/>
              </w:rPr>
              <w:t>1691000.00</w:t>
            </w:r>
            <w:r>
              <w:rPr>
                <w:rFonts w:hint="eastAsia" w:ascii="宋体" w:hAnsi="宋体" w:eastAsia="宋体" w:cs="宋体"/>
                <w:i w:val="0"/>
                <w:iCs w:val="0"/>
                <w:color w:val="auto"/>
                <w:kern w:val="0"/>
                <w:sz w:val="21"/>
                <w:szCs w:val="21"/>
                <w:highlight w:val="none"/>
                <w:u w:val="none"/>
                <w:lang w:val="en-US" w:eastAsia="zh-CN" w:bidi="ar"/>
              </w:rPr>
              <w:t>元/年</w:t>
            </w:r>
          </w:p>
        </w:tc>
      </w:tr>
      <w:tr w14:paraId="596EE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54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83EB5">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养护费用合计（元）</w:t>
            </w:r>
          </w:p>
        </w:tc>
        <w:tc>
          <w:tcPr>
            <w:tcW w:w="3455"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AFD33">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r w14:paraId="02092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54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FD576">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合同价款（总计）（元）</w:t>
            </w:r>
          </w:p>
        </w:tc>
        <w:tc>
          <w:tcPr>
            <w:tcW w:w="3455"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55AF3">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bl>
    <w:p w14:paraId="7104DA97">
      <w:pPr>
        <w:shd w:val="clea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FC4F43D">
      <w:pPr>
        <w:pStyle w:val="2"/>
        <w:shd w:val="clear"/>
        <w:rPr>
          <w:rFonts w:hint="eastAsia" w:ascii="宋体" w:hAnsi="宋体" w:eastAsia="宋体" w:cs="宋体"/>
          <w:color w:val="auto"/>
          <w:sz w:val="24"/>
          <w:szCs w:val="24"/>
          <w:highlight w:val="none"/>
        </w:rPr>
      </w:pPr>
    </w:p>
    <w:p w14:paraId="364834D0">
      <w:pPr>
        <w:widowControl/>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附件二：西安浐灞国际港园林绿化养护管理标准</w:t>
      </w:r>
    </w:p>
    <w:p w14:paraId="6BD0E94F">
      <w:pPr>
        <w:shd w:val="clear"/>
        <w:spacing w:before="240"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西安浐灞国际港园林绿化养护管理标准</w:t>
      </w:r>
    </w:p>
    <w:p w14:paraId="0638A8D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条为巩固绿化建设成果，提高绿化养护质量，维护绿化养护市场的正常秩序，根据《国家园林城市标准》、《西安市城市绿化管理条例》和有关文件，结合绿化建设管理的实际情况，制订西安浐灞国际港绿化养护管理标准。</w:t>
      </w:r>
    </w:p>
    <w:p w14:paraId="5F7AB98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第二条 绿化养护管理标准中相关术语和定义：</w:t>
      </w:r>
    </w:p>
    <w:p w14:paraId="6584E57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1、乔木</w:t>
      </w:r>
    </w:p>
    <w:p w14:paraId="425DB8A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主干明显而直立，树体高大的木本植物。</w:t>
      </w:r>
    </w:p>
    <w:p w14:paraId="23D9D71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2、灌木</w:t>
      </w:r>
    </w:p>
    <w:p w14:paraId="394D327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树体矮小,无明显主干或枝干丛生的木本植物。</w:t>
      </w:r>
    </w:p>
    <w:p w14:paraId="6EF7C8C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3、藤本植物</w:t>
      </w:r>
    </w:p>
    <w:p w14:paraId="6C06CAF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依靠缠绕或攀附他物而向上生长的木本或草本植物。</w:t>
      </w:r>
    </w:p>
    <w:p w14:paraId="3C903BA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4、草坪</w:t>
      </w:r>
    </w:p>
    <w:p w14:paraId="25A96BE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草本植物经人工种植或改造后形成的具有观赏效果，并能供人适度活动。</w:t>
      </w:r>
    </w:p>
    <w:p w14:paraId="5CA1591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5、行道树</w:t>
      </w:r>
    </w:p>
    <w:p w14:paraId="3B54EE7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沿道路或公路旁种植的乔木。</w:t>
      </w:r>
    </w:p>
    <w:p w14:paraId="6233FC7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6、地被植物</w:t>
      </w:r>
    </w:p>
    <w:p w14:paraId="2CA2A19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株丛密集、低矮，用于覆盖地面的植物。</w:t>
      </w:r>
    </w:p>
    <w:p w14:paraId="251F182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7、绿篱</w:t>
      </w:r>
    </w:p>
    <w:p w14:paraId="56E0DA6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成行密植，作造型修剪而形成的植物墙。</w:t>
      </w:r>
    </w:p>
    <w:p w14:paraId="2EF3CEC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8、古树名木</w:t>
      </w:r>
    </w:p>
    <w:p w14:paraId="5E501A7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古树泛指树龄在百年以上的树木；名木泛指珍贵、稀有或具有历史、科学、文化价值以及有重要纪念意义的树木，也指历史和现代名人种植的树木，或具有历史事件、传说及神话故事的树木。</w:t>
      </w:r>
    </w:p>
    <w:p w14:paraId="0AF8980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9、修剪</w:t>
      </w:r>
    </w:p>
    <w:p w14:paraId="4C5EBC3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对苗木枝干和根系进行疏剪或短截。</w:t>
      </w:r>
    </w:p>
    <w:p w14:paraId="12BAA62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10、灌溉</w:t>
      </w:r>
    </w:p>
    <w:p w14:paraId="0F12663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为调节土壤温度和土壤水分，满足植物对水分的需要而采取的人工引水浇灌的措施。</w:t>
      </w:r>
    </w:p>
    <w:p w14:paraId="1B9FA6C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11、施肥</w:t>
      </w:r>
    </w:p>
    <w:p w14:paraId="3CE6A91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在植物生长和发育过程中，为补充所需的各种营养元素而施用肥料的措施。</w:t>
      </w:r>
    </w:p>
    <w:p w14:paraId="0D44CED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12、除草</w:t>
      </w:r>
    </w:p>
    <w:p w14:paraId="47EE331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植物生长期间人工或采用除草剂去除目的植物以外杂草的措施。</w:t>
      </w:r>
    </w:p>
    <w:p w14:paraId="2B845C5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13、病虫害防治</w:t>
      </w:r>
    </w:p>
    <w:p w14:paraId="7F2742C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对各种植物病害、虫害进行预防和治疗。</w:t>
      </w:r>
    </w:p>
    <w:p w14:paraId="335C769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14、园林植物养护管理</w:t>
      </w:r>
    </w:p>
    <w:p w14:paraId="36E6212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对园林植物采取灌溉、排涝、修剪、防治病虫、防寒、支撑、除草、中耕、施肥等技术措施。</w:t>
      </w:r>
    </w:p>
    <w:p w14:paraId="5B2F9F0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15、黄土不裸露</w:t>
      </w:r>
    </w:p>
    <w:p w14:paraId="26C6630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利用草坪等地被植物或树皮等其它材料，对绿地内和树冠下的裸露土地进行覆盖，以期达到绿化、美化、抑尘和保墒的目的。</w:t>
      </w:r>
    </w:p>
    <w:p w14:paraId="7A37340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第三条 园区内各类绿地、树木、花卉、草坪养护管理中应遵循以下原则:</w:t>
      </w:r>
    </w:p>
    <w:p w14:paraId="0A7092A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1、符合植物的生长习性。</w:t>
      </w:r>
    </w:p>
    <w:p w14:paraId="035EEE1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2、符合不同类型绿地的功能和景观要求。</w:t>
      </w:r>
    </w:p>
    <w:p w14:paraId="3E42CF0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3、符合生态环境保护要求。</w:t>
      </w:r>
    </w:p>
    <w:p w14:paraId="5FFA80A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第四条 乔木及行道树管理标准：</w:t>
      </w:r>
    </w:p>
    <w:p w14:paraId="4505030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1、树形及观赏特性要求</w:t>
      </w:r>
    </w:p>
    <w:p w14:paraId="4654F15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（1）生长健壮，树冠丰满，主侧枝分布均匀、数量适宜，整型树木造型美观。</w:t>
      </w:r>
    </w:p>
    <w:p w14:paraId="3A95609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（2）树叶生长茂盛，一般条件下无黄叶、焦叶、卷叶。</w:t>
      </w:r>
    </w:p>
    <w:p w14:paraId="04F423D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（3）树干不得有钻蛀性害虫危害，叶上无虫粪、虫网、病斑及被啃食叶片每株低于5%。生长季节无枯黄叶株，落叶在 10%以下。</w:t>
      </w:r>
    </w:p>
    <w:p w14:paraId="5835941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（4）枝干健壮，无明显枯枝死杈。枝条粗壮，无明显的人为损坏。</w:t>
      </w:r>
    </w:p>
    <w:p w14:paraId="55796DE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（5）树木保存率99%以上；及时补栽成活率95%以上。</w:t>
      </w:r>
    </w:p>
    <w:p w14:paraId="344782C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（6）行道树无缺株；新补植树同原有树种、规格、定干高度一致，有支撑措施；行道树及林荫广场树池保持覆盖植物生长良好和硬质覆盖材料完整；树池内无垃圾及杂草。</w:t>
      </w:r>
    </w:p>
    <w:p w14:paraId="1B4E367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64E66A0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（1）大型景观乔木应每两年进行一次开挖深施肥工作，小型乔木应每年一次，肥料选取以有机肥为宜。施肥量应适宜，并且严格按照植物生长特性及需求制定施肥计划。</w:t>
      </w:r>
    </w:p>
    <w:p w14:paraId="08EC81B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（2）根据季节和生长情况适时灌溉排水，保持适当水分。不耐寒植物冬季必须浇灌防冻水，观花乔木加强春季浇水，促进植物开花长叶。对于喜水及浅根系植物、新栽植乔木，每年灌溉次数不得少于10次。</w:t>
      </w:r>
    </w:p>
    <w:p w14:paraId="68FD27E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3、修剪及日常管理</w:t>
      </w:r>
    </w:p>
    <w:p w14:paraId="602EA37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（1）修剪</w:t>
      </w:r>
    </w:p>
    <w:p w14:paraId="0C2AE34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全年修剪至少1次，主要以除枯枝、病虫枝、徒长枝；剪口平整，大型切口必须涂抹防腐药剂；根据植物种类习性制定修剪方法，严禁违规操作。</w:t>
      </w:r>
    </w:p>
    <w:p w14:paraId="680EF34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（2）支柱、扶正</w:t>
      </w:r>
    </w:p>
    <w:p w14:paraId="04B05AA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倾斜度超过10度的树木，须进行扶正，落叶树在休眠期进行，常绿树在萌芽前进行。扶正前应先疏剪部分枝桠或进行短截，确保扶正树木的成活。新栽大树和扶正后的树木应进行支柱。支柱材料在同一路段或区域内应当统一，支柱方式要规范、整齐。支柱着力点应超过树高的1/2以上，支柱材料在着力点与树干接触处应铺垫软质材料，以免损伤树皮。每年雨季前要对支柱进行一次全面检查，对松动的支柱要及时加固， 对嵌入树皮的捆扎物要及时解除。</w:t>
      </w:r>
    </w:p>
    <w:p w14:paraId="5A24888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第五条 灌木和花卉管理标准:</w:t>
      </w:r>
    </w:p>
    <w:p w14:paraId="16A46BF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1、观赏特性要求</w:t>
      </w:r>
    </w:p>
    <w:p w14:paraId="19FDF88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（1）灌木</w:t>
      </w:r>
    </w:p>
    <w:p w14:paraId="4D21734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长势良好，枝多叶茂，下部不光秃，无枯枝残叶，植株整齐一致。</w:t>
      </w:r>
    </w:p>
    <w:p w14:paraId="0E622A8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（2）绿地花卉</w:t>
      </w:r>
    </w:p>
    <w:p w14:paraId="7DD8737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时开花，花多色艳。花坛轮廓清晰，无残缺，灌木丛中无垃圾、无病枝枯枝和落叶堆积。花谢后及时将残花残枝剪去，常年开花植物要有目的地培养花枝，延长花期。灌木和花坛整形效果要与周围环境协调，增强园林美化效果。</w:t>
      </w:r>
    </w:p>
    <w:p w14:paraId="667B837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（3）绿篱、色块</w:t>
      </w:r>
    </w:p>
    <w:p w14:paraId="73D1769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植株生长健壮，枝叶繁茂；修剪及时，整齐一致，轮廓清晰，线条流畅，层次分明，无死株断垄现象。</w:t>
      </w:r>
    </w:p>
    <w:p w14:paraId="465254F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（4）露地花卉（街景花卉布置）</w:t>
      </w:r>
    </w:p>
    <w:p w14:paraId="5E0BE7B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生长健壮，整齐一致，无病虫害，无残花败叶。适时开花，适时更换，保证景观效果。</w:t>
      </w:r>
    </w:p>
    <w:p w14:paraId="3B13020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47F0B7D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（1）灌溉</w:t>
      </w:r>
    </w:p>
    <w:p w14:paraId="748B740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要根据植物的生长及开花特性进行合理灌溉。在雨水缺少的季节，适时灌溉。</w:t>
      </w:r>
    </w:p>
    <w:p w14:paraId="5F55D4B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（2）施肥</w:t>
      </w:r>
    </w:p>
    <w:p w14:paraId="494E6B6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一般在每年春、秋季结合除草松土重点施肥 2-3 次。促进花芽分化，花芽分化后要适当追施磷、钾肥，使花多色艳花期长。肥料不能裸露，可采用埋施或水施等不同方法。埋施可先挖穴或开沟，施肥后要回填土、踏实、淋足水，不能裸露。</w:t>
      </w:r>
    </w:p>
    <w:p w14:paraId="564D81C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3、修剪及除杂</w:t>
      </w:r>
    </w:p>
    <w:p w14:paraId="1FDB09A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（1）除杂、松土</w:t>
      </w:r>
    </w:p>
    <w:p w14:paraId="0FA611A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灌木丛周边无杂草，松土深度不小于10厘米，并低于周围表土5厘米。除杂松土时要保护根系，不能伤根及造成根系裸露，更不能造成黄土裸露。</w:t>
      </w:r>
    </w:p>
    <w:p w14:paraId="062D355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（2）修剪</w:t>
      </w:r>
    </w:p>
    <w:p w14:paraId="3A8B2C5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灌木和花卉的修剪做到既造型美观又能适时开花，年修剪次数不得少于8次。花灌木和草本花卉在花芽分化前进行修剪，应避免把花芽剪掉；对于大型灌木应根据生长情况组织冬秋季修剪。</w:t>
      </w:r>
    </w:p>
    <w:p w14:paraId="15DD818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绿篱、色块不得出现失修现象，枝条冒顶高度不得高于10cm；灌木球应按照造型要求进行修剪，不得出现失修及冒顶现象其他植物根据不同生态习性及景观要求，及时去除不符合造型的枝条。</w:t>
      </w:r>
    </w:p>
    <w:p w14:paraId="001F535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（3）补植、更换</w:t>
      </w:r>
    </w:p>
    <w:p w14:paraId="21A6269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出现死苗，要在清理当天及时补植。补植回原来的种类并力求规格与原来植株接近，以保证优良的景观效果。补植按照种植规范进行，施足基肥并加强浇水等保养措施， 保证成活率达98％以上。对已呈老化或明显与周围环境不协调的灌木和花卉应及时进行更换，更换品种要事先征得绿化主管部门的批准。</w:t>
      </w:r>
    </w:p>
    <w:p w14:paraId="48281DA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第六条 草坪及地被植物管理标准：</w:t>
      </w:r>
    </w:p>
    <w:p w14:paraId="0D81245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1、观赏特性要求</w:t>
      </w:r>
    </w:p>
    <w:p w14:paraId="7A99104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势旺盛，叶片健壮，叶色浓绿，无枯黄叶。修剪及时，高度适宜，无病虫害。覆盖率不低于99%，无明显杂草。草坪绿色期：冷季型草不少于280天，暖季型草不少于260天。坪地平整，无坑洼积水，无秃斑，无板结现象。</w:t>
      </w:r>
    </w:p>
    <w:p w14:paraId="3239400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2、水肥及日常管理</w:t>
      </w:r>
    </w:p>
    <w:p w14:paraId="567A6C4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（1）灌溉</w:t>
      </w:r>
    </w:p>
    <w:p w14:paraId="0F5EF75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根据草坪植物的生长需要加强淋水和施肥，保证水肥充足，施用肥料的方法和用量要科学，防止过量或不均匀引起肥伤。在雨水缺少的季节，适时灌溉。景观草坪春秋季应在每周进行一次浇灌，夏季应在两天进行一次浇灌。保证土壤表层5～7cm范围内土壤墒情良好。在春季应对景观草坪浇灌返青水；冬季必须对景观草坪浇灌防冻水。</w:t>
      </w:r>
    </w:p>
    <w:p w14:paraId="0868EB3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（2）施肥</w:t>
      </w:r>
    </w:p>
    <w:p w14:paraId="2FC3C49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在植物休眠期及返青期间应增加淋水施肥，适当进行根外追肥，使草坪保持优良的长势。</w:t>
      </w:r>
    </w:p>
    <w:p w14:paraId="6EB512BD">
      <w:pPr>
        <w:widowControl/>
        <w:numPr>
          <w:ilvl w:val="0"/>
          <w:numId w:val="1"/>
        </w:numPr>
        <w:shd w:val="clear"/>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除草、松土</w:t>
      </w:r>
    </w:p>
    <w:p w14:paraId="1B173BC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及时清除杂草，方法合理彻底。草坪纯度标准为每平方米不超过10株非目的草种。由于植物生长、受践踏、土壤板结等需要松土的，要采用打孔疏松、切割等措施，利于草坪生长，景观草坪每年不少于2 次。</w:t>
      </w:r>
    </w:p>
    <w:p w14:paraId="5E81EAC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（4）补植</w:t>
      </w:r>
    </w:p>
    <w:p w14:paraId="55F034D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对破坏或其它原因引起死亡的草坪植物应及时补植，使草坪保持完整，无裸露地。补植要补与原草坪相同的草种，适当密植，补植后加强保养，保证一个月内覆盖率达98％以上。</w:t>
      </w:r>
    </w:p>
    <w:p w14:paraId="0E259ED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3、植物修剪</w:t>
      </w:r>
    </w:p>
    <w:p w14:paraId="4ACE04B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观花地被植物，须在开花后适当压低，或者结合种子采收，适当修剪；草坪要考虑季节特点和草种的生长发育特性，使草的高度一致，边缘整齐，枯黄叶片要及时清理。草地与路(花)基、色块的分界宽度不超过8厘米；分车绿化带的草坪植物不得超出路基外缘；对于已经老化部分经予以更换。</w:t>
      </w:r>
    </w:p>
    <w:p w14:paraId="72BFE92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第七条 藤本、攀缘植物管理标准：</w:t>
      </w:r>
    </w:p>
    <w:p w14:paraId="3574AF3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w:t>
      </w:r>
    </w:p>
    <w:p w14:paraId="65C5F95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植株生长健壮，适时采取相应的牵引、设置网架等技术措施；视攀缘植物生长习性，覆盖率不低于90%；观花的攀缘植物适时开花，花繁色艳。</w:t>
      </w:r>
    </w:p>
    <w:p w14:paraId="10C7772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2、整形修剪</w:t>
      </w:r>
    </w:p>
    <w:p w14:paraId="4A0F309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植物生理特性进行牵引和翻蔓；严格按照自然生长规律对植物进行修剪整形；及时去除老化植株；藤本植物的修剪应以促进分枝为主，并剪除徒长枝和下垂枝；多年生的藤本植物应定期翻蔓，清除枯枝，疏删老弱藤蔓；每年常规修剪1次，每隔2-3年应理藤1次，理顺分布方向，使叶蔓分布均匀、厚度相等，并应依不同类型及生长状况及时牵引。</w:t>
      </w:r>
    </w:p>
    <w:p w14:paraId="116C6F5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3、水肥管理</w:t>
      </w:r>
    </w:p>
    <w:p w14:paraId="325CB75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（1）灌溉</w:t>
      </w:r>
    </w:p>
    <w:p w14:paraId="3B4C848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要根据植物的生长及开花特性进行合理灌溉。在雨水缺少的季节，适时灌溉。</w:t>
      </w:r>
    </w:p>
    <w:p w14:paraId="64B7968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（2）施肥</w:t>
      </w:r>
    </w:p>
    <w:p w14:paraId="386148E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春、秋季结合除草松土重点施肥2-3次。促进花芽分化，花芽分化后要适当追施磷、钾肥，使花多色艳花期长。肥料不能裸露，可采用埋施或水施等不同方法。埋施可先挖穴或开沟，施肥后要回填土、踏实、淋足水，不能裸露。</w:t>
      </w:r>
    </w:p>
    <w:p w14:paraId="3CE84AD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第八条 水生植物管理标准：</w:t>
      </w:r>
    </w:p>
    <w:p w14:paraId="3CC030F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w:t>
      </w:r>
    </w:p>
    <w:p w14:paraId="3A3223C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株生长正常，无大量缺失，植物造型优美，无病虫植物，对死亡植株清理及时，无倒伏现象。水面上水生植物的覆盖度应小于水域面积的30％，漂浮植物或浮水植物应进行围合，固定其位置和范围。因繁殖而密度过大时，应剔除部分老弱植株。</w:t>
      </w:r>
    </w:p>
    <w:p w14:paraId="7D1AFBE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3A18069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于冬季对栽植区进行有机肥料增施，严禁随意使用化肥。沿岸或挺水植物，每年至少应施肥1次。施肥应以腐熟的有机肥为主，应用可分解的纸袋装肥或用泥做成团施入泥中定期对水域进行换水，防止水质变差影响景观效果。在水生植物群落营造前期和幼苗期，应加强人工维护，去除该群落中生长的其他品种的水生植物和杂草。</w:t>
      </w:r>
    </w:p>
    <w:p w14:paraId="1500DD4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3、日常管理</w:t>
      </w:r>
    </w:p>
    <w:p w14:paraId="71B693B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水生植物应随着立叶或浮叶的生长调节水位。为避免蚊虫孳生或水质恶化，当用水发生混浊时，即必须换水，夏季则须增加换水次数。</w:t>
      </w:r>
    </w:p>
    <w:p w14:paraId="4BCEF89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第九条 竹类管理标准：</w:t>
      </w:r>
    </w:p>
    <w:p w14:paraId="6C8A364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1、景观特性</w:t>
      </w:r>
    </w:p>
    <w:p w14:paraId="0796431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生长正常，竹干疏密有间，无病虫害。</w:t>
      </w:r>
    </w:p>
    <w:p w14:paraId="41B36D1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33511D1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竹类浇水要抓住关键季节，春季出笋前要浇足催笋水，5、6月要浇拔节水，夏季雨水充沛可不浇或少浇，秋季浇孕笋水，冬季过于干旱的可适当喷水。施肥以有机肥为主，时间以11-12月为宜。</w:t>
      </w:r>
    </w:p>
    <w:p w14:paraId="5B7BBA5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3、日常管理及其他</w:t>
      </w:r>
    </w:p>
    <w:p w14:paraId="733841B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竹林要每年培土，厚度以5厘米为宜，时间利用冬季。及时做好病虫害的防治工作，加强抚育管理，合理砍伐，使林内通风透光，及早砍除病竹烧毁。</w:t>
      </w:r>
    </w:p>
    <w:p w14:paraId="0A28904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第十条 植物保护及其它工作：</w:t>
      </w:r>
    </w:p>
    <w:p w14:paraId="24755FF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1、工作原则</w:t>
      </w:r>
    </w:p>
    <w:p w14:paraId="56DD329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日常精心养护，增强植物抗病虫害能力。要及时做好病虫害的防治工作，坚持预防为主，防治结合的植保方针。早发现早处理，采取综合防治、化学防治、物理人工防治和生物防治等方法防止病虫害蔓延和影响植物生长。尽量采用生物防治的办法，以减少对环境的污染。用化学方法防治时，喷药一般要在晚上进行；药物品种、药剂用量及对环境的影响，要符合环保的要求和标准。同时严格按照工作流程进行， 严禁无防护措施进行化学防治操作。</w:t>
      </w:r>
    </w:p>
    <w:p w14:paraId="57990C5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2、作业要求</w:t>
      </w:r>
    </w:p>
    <w:p w14:paraId="4D6632A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（1）植物枝、干、叶均无明显病虫害危害痕迹。</w:t>
      </w:r>
    </w:p>
    <w:p w14:paraId="6F6EB0A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（2）根据测报制定长期及短期防治方案。及时、准确、彻底防治病虫害发生。</w:t>
      </w:r>
    </w:p>
    <w:p w14:paraId="304EECC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（3）全年病虫发生率控制在5％以下；不得出现病虫害大规模爆发现象。</w:t>
      </w:r>
    </w:p>
    <w:p w14:paraId="4A6C823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（4）严禁出现因管理不善而造成的生理性病害（例如：缺水或受涝造成的植物枯死；缺肥或施肥不当造成的生理性黄叶、落叶、小叶等；农药药害造成的枯叶、黄叶、落叶）。</w:t>
      </w:r>
    </w:p>
    <w:p w14:paraId="5A15032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（5）对于不耐寒植物必须进行必要的防护措施。</w:t>
      </w:r>
    </w:p>
    <w:p w14:paraId="2E837F3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（6）禁止使用高毒农药，药剂配比必须符合规范。喷药时应该设立警示标志，道路绿地警示标志设立密度应在50米-100米范围为宜。</w:t>
      </w:r>
    </w:p>
    <w:p w14:paraId="174D1AA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（7）冬季对于植物上积雪应立即清除；对于倒伏树木应加以支撑。</w:t>
      </w:r>
    </w:p>
    <w:p w14:paraId="7A7D515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（8）日常养护人员必须身着工装，并且严格按安全生产规范进行操作。日常养护操作过程中，应按照安全操作要求配备警示及安全防护设备。</w:t>
      </w:r>
    </w:p>
    <w:p w14:paraId="3BADFEE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（9）园内各单位应有科学合理的养护计划，并于每周的周五；每月的28号；每年12月5号前；向主管单位报送详细的养护工作计划及总结。</w:t>
      </w:r>
    </w:p>
    <w:p w14:paraId="15F8BE2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（10）出现因为外力造成的植物损伤、倒伏等现象，管护单位应及时发现， 及时处理，不得拖延。</w:t>
      </w:r>
    </w:p>
    <w:p w14:paraId="2F3E7C9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第十一条 绿地设施维护要求：</w:t>
      </w:r>
    </w:p>
    <w:p w14:paraId="0D3AA73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绿地设施包括喷灌、照明、音响系统和园路、护栏、坐凳、喷泉、雕塑、移动花钵等景观设施。</w:t>
      </w:r>
    </w:p>
    <w:p w14:paraId="3624500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1、喷灌设施</w:t>
      </w:r>
    </w:p>
    <w:p w14:paraId="10EE56B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保护绿化供水设施，保持喷洒正常、开关灵活、管道无漏水。</w:t>
      </w:r>
    </w:p>
    <w:p w14:paraId="477DBFF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2、园林照明、音响设施</w:t>
      </w:r>
    </w:p>
    <w:p w14:paraId="7F3E366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绿地上的灯光、音响，要经常进行检修，发现线路破损、灯泡烧毁、灯罩破损、音箱损坏的要及时进行修复、更换，保持设备正常运作。</w:t>
      </w:r>
    </w:p>
    <w:p w14:paraId="54D72C1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3、水池喷泉</w:t>
      </w:r>
    </w:p>
    <w:p w14:paraId="345AEF0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保持水面及水池内外清洁，水质良好，水量适度，喷泉运作正常。池壁美观，不漏水，设施完好无损；要求及时清除杂物，定时清洗水池。</w:t>
      </w:r>
    </w:p>
    <w:p w14:paraId="7361CED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4、护栏</w:t>
      </w:r>
    </w:p>
    <w:p w14:paraId="3F4F400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护栏要保持整洁完整,定期清理，不能有倾斜的现象，被</w:t>
      </w:r>
      <w:r>
        <w:rPr>
          <w:rFonts w:hint="eastAsia" w:ascii="宋体" w:hAnsi="宋体" w:eastAsia="宋体" w:cs="宋体"/>
          <w:color w:val="auto"/>
          <w:sz w:val="21"/>
          <w:szCs w:val="21"/>
          <w:highlight w:val="none"/>
          <w:lang w:val="en-US" w:eastAsia="zh-CN"/>
        </w:rPr>
        <w:t>损坏</w:t>
      </w:r>
      <w:r>
        <w:rPr>
          <w:rFonts w:hint="eastAsia" w:ascii="宋体" w:hAnsi="宋体" w:eastAsia="宋体" w:cs="宋体"/>
          <w:color w:val="auto"/>
          <w:sz w:val="21"/>
          <w:szCs w:val="21"/>
          <w:highlight w:val="none"/>
        </w:rPr>
        <w:t>的要及时修补。遇到节日庆典和大型活动应派专人定时定点进行清洗和维护.</w:t>
      </w:r>
    </w:p>
    <w:p w14:paraId="7887AE8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5、园路</w:t>
      </w:r>
    </w:p>
    <w:p w14:paraId="4069C94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绿地内园路要保持清洁、美观，完好无损。要及时清除路面垃圾杂物，修补破损并保持完好。</w:t>
      </w:r>
    </w:p>
    <w:p w14:paraId="7D29EBC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6、园林雕塑</w:t>
      </w:r>
    </w:p>
    <w:p w14:paraId="0D12983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园林雕塑要保持整洁、美观，完好无损，对其上的乱涂、乱画、乱张贴要及时清理干净，以增强园林美化效果。</w:t>
      </w:r>
    </w:p>
    <w:p w14:paraId="0953120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7、移动花钵</w:t>
      </w:r>
    </w:p>
    <w:p w14:paraId="0CEA298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花钵内的植物生长旺盛，株形优美，叶片、叶色正常，无病虫害，开花植物要及时清理残花和残枝。花钵表面整洁无垃圾和杂物，钵体无乱划、乱画等现象。</w:t>
      </w:r>
    </w:p>
    <w:p w14:paraId="4BD510F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第十二条 绿地保护工作要求：</w:t>
      </w:r>
    </w:p>
    <w:p w14:paraId="0596187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依法严格执行绿化管理条例，加强人员巡查，规划线内绿地不被侵占，绿地完整。保护绿地内的花草树木不受损害，对任何侵占和破坏行为要加以制止并及时报告绿化管理部门。</w:t>
      </w:r>
    </w:p>
    <w:p w14:paraId="1D99D1D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十三、西安浐灞国际港绿化养护工作打分标准：</w:t>
      </w:r>
    </w:p>
    <w:p w14:paraId="2C507A2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西安浐灞国际港绿地养护管理工作月度考核标准表》进行打分，绿化养护管理考核由考核评分小组按月以100分为满分进行计扣，对全部考核组成员评分按照加权平均后计算最终平均分值。得分95以上属于合理扣分范围，不扣除当月绿化养护费用；95-90分之间，每1分扣除当月绿化养护费用金额100元；90-85分之间，每1分扣除当月绿化养护费用金额200元；85-75分之间，每1分扣除当月绿化养护费用金额300元；低于75分以下将按违约考虑，按所签订绿化养护合同总金额的10%予以扣除并处以警告。各绿化养护单位得分情况每月定期以通知形式公布，每季度进行汇总评比。</w:t>
      </w:r>
    </w:p>
    <w:p w14:paraId="1C0434BA">
      <w:pPr>
        <w:widowControl/>
        <w:shd w:val="clea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附件三：本项目的人员配置情况表</w:t>
      </w:r>
    </w:p>
    <w:tbl>
      <w:tblPr>
        <w:tblStyle w:val="5"/>
        <w:tblW w:w="9285" w:type="dxa"/>
        <w:tblInd w:w="65" w:type="dxa"/>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913"/>
        <w:gridCol w:w="1086"/>
        <w:gridCol w:w="748"/>
        <w:gridCol w:w="750"/>
        <w:gridCol w:w="748"/>
        <w:gridCol w:w="750"/>
        <w:gridCol w:w="1488"/>
        <w:gridCol w:w="1671"/>
        <w:gridCol w:w="1131"/>
      </w:tblGrid>
      <w:tr w14:paraId="1FCB4CE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913" w:type="dxa"/>
            <w:noWrap w:val="0"/>
            <w:vAlign w:val="center"/>
          </w:tcPr>
          <w:p w14:paraId="642A9BC7">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086" w:type="dxa"/>
            <w:noWrap w:val="0"/>
            <w:vAlign w:val="center"/>
          </w:tcPr>
          <w:p w14:paraId="33F491BF">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姓名</w:t>
            </w:r>
          </w:p>
        </w:tc>
        <w:tc>
          <w:tcPr>
            <w:tcW w:w="748" w:type="dxa"/>
            <w:noWrap w:val="0"/>
            <w:vAlign w:val="center"/>
          </w:tcPr>
          <w:p w14:paraId="71ADA083">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年龄</w:t>
            </w:r>
          </w:p>
        </w:tc>
        <w:tc>
          <w:tcPr>
            <w:tcW w:w="750" w:type="dxa"/>
            <w:noWrap w:val="0"/>
            <w:vAlign w:val="center"/>
          </w:tcPr>
          <w:p w14:paraId="46811C47">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性别</w:t>
            </w:r>
          </w:p>
        </w:tc>
        <w:tc>
          <w:tcPr>
            <w:tcW w:w="748" w:type="dxa"/>
            <w:noWrap w:val="0"/>
            <w:vAlign w:val="center"/>
          </w:tcPr>
          <w:p w14:paraId="19E12EAF">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学历</w:t>
            </w:r>
          </w:p>
        </w:tc>
        <w:tc>
          <w:tcPr>
            <w:tcW w:w="750" w:type="dxa"/>
            <w:noWrap w:val="0"/>
            <w:vAlign w:val="center"/>
          </w:tcPr>
          <w:p w14:paraId="6F676079">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专业</w:t>
            </w:r>
          </w:p>
        </w:tc>
        <w:tc>
          <w:tcPr>
            <w:tcW w:w="1488" w:type="dxa"/>
            <w:noWrap w:val="0"/>
            <w:vAlign w:val="center"/>
          </w:tcPr>
          <w:p w14:paraId="7ED4E277">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职称 /职务</w:t>
            </w:r>
          </w:p>
        </w:tc>
        <w:tc>
          <w:tcPr>
            <w:tcW w:w="1671" w:type="dxa"/>
            <w:noWrap w:val="0"/>
            <w:vAlign w:val="center"/>
          </w:tcPr>
          <w:p w14:paraId="193CD1B6">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拟承担职务</w:t>
            </w:r>
          </w:p>
        </w:tc>
        <w:tc>
          <w:tcPr>
            <w:tcW w:w="1131" w:type="dxa"/>
            <w:noWrap w:val="0"/>
            <w:vAlign w:val="center"/>
          </w:tcPr>
          <w:p w14:paraId="4A57185E">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5DB032E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5D0EFDC8">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1D194D8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07802A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16FC77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6C9D100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FB6BA6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653DE0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1B8403F2">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175C2993">
            <w:pPr>
              <w:shd w:val="clear"/>
              <w:spacing w:line="360" w:lineRule="auto"/>
              <w:jc w:val="center"/>
              <w:outlineLvl w:val="9"/>
              <w:rPr>
                <w:rFonts w:hint="eastAsia" w:ascii="宋体" w:hAnsi="宋体" w:eastAsia="宋体" w:cs="宋体"/>
                <w:color w:val="auto"/>
                <w:sz w:val="24"/>
                <w:szCs w:val="24"/>
                <w:highlight w:val="none"/>
              </w:rPr>
            </w:pPr>
          </w:p>
        </w:tc>
      </w:tr>
      <w:tr w14:paraId="5499616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913" w:type="dxa"/>
            <w:noWrap w:val="0"/>
            <w:vAlign w:val="center"/>
          </w:tcPr>
          <w:p w14:paraId="07809EEB">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42E95EC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68EF615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23FC3C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3784AB5">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13B7AE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422A6DC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75BD8310">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0411E2D5">
            <w:pPr>
              <w:shd w:val="clear"/>
              <w:spacing w:line="360" w:lineRule="auto"/>
              <w:jc w:val="center"/>
              <w:outlineLvl w:val="9"/>
              <w:rPr>
                <w:rFonts w:hint="eastAsia" w:ascii="宋体" w:hAnsi="宋体" w:eastAsia="宋体" w:cs="宋体"/>
                <w:color w:val="auto"/>
                <w:sz w:val="24"/>
                <w:szCs w:val="24"/>
                <w:highlight w:val="none"/>
              </w:rPr>
            </w:pPr>
          </w:p>
        </w:tc>
      </w:tr>
      <w:tr w14:paraId="52F4E7B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913" w:type="dxa"/>
            <w:noWrap w:val="0"/>
            <w:vAlign w:val="center"/>
          </w:tcPr>
          <w:p w14:paraId="4B43AB3B">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7F8D10B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141D592">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00408F45">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78935A0">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517A415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7D3973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286BAA29">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0672D5BA">
            <w:pPr>
              <w:shd w:val="clear"/>
              <w:spacing w:line="360" w:lineRule="auto"/>
              <w:jc w:val="center"/>
              <w:outlineLvl w:val="9"/>
              <w:rPr>
                <w:rFonts w:hint="eastAsia" w:ascii="宋体" w:hAnsi="宋体" w:eastAsia="宋体" w:cs="宋体"/>
                <w:color w:val="auto"/>
                <w:sz w:val="24"/>
                <w:szCs w:val="24"/>
                <w:highlight w:val="none"/>
              </w:rPr>
            </w:pPr>
          </w:p>
        </w:tc>
      </w:tr>
      <w:tr w14:paraId="4CCD8D4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14C3AC50">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2420761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CC814D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3476198E">
            <w:pPr>
              <w:shd w:val="clear"/>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8D7639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1DB813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78DE617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4B43E72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667FE28F">
            <w:pPr>
              <w:shd w:val="clear"/>
              <w:spacing w:line="360" w:lineRule="auto"/>
              <w:jc w:val="center"/>
              <w:outlineLvl w:val="9"/>
              <w:rPr>
                <w:rFonts w:hint="eastAsia" w:ascii="宋体" w:hAnsi="宋体" w:eastAsia="宋体" w:cs="宋体"/>
                <w:color w:val="auto"/>
                <w:sz w:val="24"/>
                <w:szCs w:val="24"/>
                <w:highlight w:val="none"/>
              </w:rPr>
            </w:pPr>
          </w:p>
        </w:tc>
      </w:tr>
      <w:tr w14:paraId="2A64CA9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33F75FA6">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1454EED3">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6D868A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2D04EA68">
            <w:pPr>
              <w:shd w:val="clear"/>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6A255C0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3DEBC4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36F6A872">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28207A2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1395B5CE">
            <w:pPr>
              <w:shd w:val="clear"/>
              <w:spacing w:line="360" w:lineRule="auto"/>
              <w:jc w:val="center"/>
              <w:outlineLvl w:val="9"/>
              <w:rPr>
                <w:rFonts w:hint="eastAsia" w:ascii="宋体" w:hAnsi="宋体" w:eastAsia="宋体" w:cs="宋体"/>
                <w:color w:val="auto"/>
                <w:sz w:val="24"/>
                <w:szCs w:val="24"/>
                <w:highlight w:val="none"/>
              </w:rPr>
            </w:pPr>
          </w:p>
        </w:tc>
      </w:tr>
      <w:tr w14:paraId="0656982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4DF51FE5">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08B7CA52">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0D660E3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78D72B9">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09E6AFE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5BC8434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655162F0">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2E7098F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61743345">
            <w:pPr>
              <w:shd w:val="clear"/>
              <w:spacing w:line="360" w:lineRule="auto"/>
              <w:jc w:val="center"/>
              <w:outlineLvl w:val="9"/>
              <w:rPr>
                <w:rFonts w:hint="eastAsia" w:ascii="宋体" w:hAnsi="宋体" w:eastAsia="宋体" w:cs="宋体"/>
                <w:color w:val="auto"/>
                <w:sz w:val="24"/>
                <w:szCs w:val="24"/>
                <w:highlight w:val="none"/>
              </w:rPr>
            </w:pPr>
          </w:p>
        </w:tc>
      </w:tr>
      <w:tr w14:paraId="0C88C8B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3FFC43EF">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3A20A3E3">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498363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6EE8B15">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0342320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0EAE4C21">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2483C5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645D10B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45A89C79">
            <w:pPr>
              <w:shd w:val="clear"/>
              <w:spacing w:line="360" w:lineRule="auto"/>
              <w:jc w:val="center"/>
              <w:outlineLvl w:val="9"/>
              <w:rPr>
                <w:rFonts w:hint="eastAsia" w:ascii="宋体" w:hAnsi="宋体" w:eastAsia="宋体" w:cs="宋体"/>
                <w:color w:val="auto"/>
                <w:sz w:val="24"/>
                <w:szCs w:val="24"/>
                <w:highlight w:val="none"/>
              </w:rPr>
            </w:pPr>
          </w:p>
        </w:tc>
      </w:tr>
      <w:tr w14:paraId="446E231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3627A60D">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61F66DB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1E2AC06">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E295A62">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3CEDE95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755A4D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3F1243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278083E3">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24525C3E">
            <w:pPr>
              <w:shd w:val="clear"/>
              <w:spacing w:line="360" w:lineRule="auto"/>
              <w:jc w:val="center"/>
              <w:outlineLvl w:val="9"/>
              <w:rPr>
                <w:rFonts w:hint="eastAsia" w:ascii="宋体" w:hAnsi="宋体" w:eastAsia="宋体" w:cs="宋体"/>
                <w:color w:val="auto"/>
                <w:sz w:val="24"/>
                <w:szCs w:val="24"/>
                <w:highlight w:val="none"/>
              </w:rPr>
            </w:pPr>
          </w:p>
        </w:tc>
      </w:tr>
      <w:tr w14:paraId="62A57FA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53757AE9">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2D09666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2B2BF772">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8D9CC66">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37F4F45">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56BF46E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4F3DA6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4F8558D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66EC68C8">
            <w:pPr>
              <w:shd w:val="clear"/>
              <w:spacing w:line="360" w:lineRule="auto"/>
              <w:jc w:val="center"/>
              <w:outlineLvl w:val="9"/>
              <w:rPr>
                <w:rFonts w:hint="eastAsia" w:ascii="宋体" w:hAnsi="宋体" w:eastAsia="宋体" w:cs="宋体"/>
                <w:color w:val="auto"/>
                <w:sz w:val="24"/>
                <w:szCs w:val="24"/>
                <w:highlight w:val="none"/>
              </w:rPr>
            </w:pPr>
          </w:p>
        </w:tc>
      </w:tr>
    </w:tbl>
    <w:p w14:paraId="68EE26A6">
      <w:pPr>
        <w:widowControl/>
        <w:shd w:val="clea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附件四：投入机械设备情况表</w:t>
      </w:r>
    </w:p>
    <w:tbl>
      <w:tblPr>
        <w:tblStyle w:val="5"/>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890"/>
        <w:gridCol w:w="1242"/>
        <w:gridCol w:w="827"/>
        <w:gridCol w:w="1792"/>
        <w:gridCol w:w="1104"/>
        <w:gridCol w:w="1649"/>
      </w:tblGrid>
      <w:tr w14:paraId="6FDE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0A3ED519">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1.拟投入本项目的洒水车（清洗车）；</w:t>
            </w:r>
          </w:p>
        </w:tc>
      </w:tr>
      <w:tr w14:paraId="15C5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33392D3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5AC2CD86">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28C20136">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269B0629">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5FA21B09">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5788B1A8">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19181E34">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0C5A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1BE877D5">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34367183">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065C64D7">
            <w:pPr>
              <w:shd w:val="clear"/>
              <w:spacing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6FD9C528">
            <w:pPr>
              <w:shd w:val="clear"/>
              <w:spacing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41F73A24">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27FD8BED">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0517E061">
            <w:pPr>
              <w:shd w:val="clear"/>
              <w:spacing w:line="360" w:lineRule="auto"/>
              <w:outlineLvl w:val="9"/>
              <w:rPr>
                <w:rFonts w:hint="eastAsia" w:ascii="宋体" w:hAnsi="宋体" w:eastAsia="宋体" w:cs="宋体"/>
                <w:color w:val="auto"/>
                <w:sz w:val="21"/>
                <w:szCs w:val="21"/>
                <w:highlight w:val="none"/>
              </w:rPr>
            </w:pPr>
          </w:p>
        </w:tc>
      </w:tr>
      <w:tr w14:paraId="5C152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79948A62">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61C602A6">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3118A293">
            <w:pPr>
              <w:shd w:val="clear"/>
              <w:spacing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24536D1E">
            <w:pPr>
              <w:shd w:val="clear"/>
              <w:spacing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44F16C9B">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5AB7764E">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7F0F430A">
            <w:pPr>
              <w:shd w:val="clear"/>
              <w:spacing w:line="360" w:lineRule="auto"/>
              <w:outlineLvl w:val="9"/>
              <w:rPr>
                <w:rFonts w:hint="eastAsia" w:ascii="宋体" w:hAnsi="宋体" w:eastAsia="宋体" w:cs="宋体"/>
                <w:color w:val="auto"/>
                <w:sz w:val="21"/>
                <w:szCs w:val="21"/>
                <w:highlight w:val="none"/>
              </w:rPr>
            </w:pPr>
          </w:p>
        </w:tc>
      </w:tr>
      <w:tr w14:paraId="5154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450B7710">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2.拟投入本项目的病虫害打药机具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绿篱机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油锯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树枝粉碎机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割草机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高枝剪/高枝锯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落叶吹风机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割灌机</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shd w:val="clear" w:color="auto" w:fill="FFFFFF"/>
              </w:rPr>
              <w:t>；</w:t>
            </w:r>
          </w:p>
        </w:tc>
      </w:tr>
      <w:tr w14:paraId="7A1C1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7534BD07">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3C2ADCC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5C311A95">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642538FF">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23F8C3F8">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3D7D02C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0E5BCA07">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62E5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7F30F63D">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5C3D4204">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7F9C5B84">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4EFB2441">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0D14A26A">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0728DEC8">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3D172973">
            <w:pPr>
              <w:shd w:val="clear"/>
              <w:spacing w:line="360" w:lineRule="auto"/>
              <w:jc w:val="center"/>
              <w:outlineLvl w:val="9"/>
              <w:rPr>
                <w:rFonts w:hint="eastAsia" w:ascii="宋体" w:hAnsi="宋体" w:eastAsia="宋体" w:cs="宋体"/>
                <w:color w:val="auto"/>
                <w:sz w:val="21"/>
                <w:szCs w:val="21"/>
                <w:highlight w:val="none"/>
              </w:rPr>
            </w:pPr>
          </w:p>
        </w:tc>
      </w:tr>
      <w:tr w14:paraId="0827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4E9CE1C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111AA10E">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500C04CB">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482A0136">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17E69318">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515414AF">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77EEB4A9">
            <w:pPr>
              <w:shd w:val="clear"/>
              <w:spacing w:line="360" w:lineRule="auto"/>
              <w:jc w:val="center"/>
              <w:outlineLvl w:val="9"/>
              <w:rPr>
                <w:rFonts w:hint="eastAsia" w:ascii="宋体" w:hAnsi="宋体" w:eastAsia="宋体" w:cs="宋体"/>
                <w:color w:val="auto"/>
                <w:sz w:val="21"/>
                <w:szCs w:val="21"/>
                <w:highlight w:val="none"/>
              </w:rPr>
            </w:pPr>
          </w:p>
        </w:tc>
      </w:tr>
      <w:tr w14:paraId="7EA5E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3A6DC23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890" w:type="dxa"/>
            <w:noWrap w:val="0"/>
            <w:vAlign w:val="center"/>
          </w:tcPr>
          <w:p w14:paraId="2F98C343">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4B3D6538">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2B06C667">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1BF369D3">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4DE7102F">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08FD19BE">
            <w:pPr>
              <w:shd w:val="clear"/>
              <w:spacing w:line="360" w:lineRule="auto"/>
              <w:jc w:val="center"/>
              <w:outlineLvl w:val="9"/>
              <w:rPr>
                <w:rFonts w:hint="eastAsia" w:ascii="宋体" w:hAnsi="宋体" w:eastAsia="宋体" w:cs="宋体"/>
                <w:color w:val="auto"/>
                <w:sz w:val="21"/>
                <w:szCs w:val="21"/>
                <w:highlight w:val="none"/>
              </w:rPr>
            </w:pPr>
          </w:p>
        </w:tc>
      </w:tr>
      <w:tr w14:paraId="35D3F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0DE89452">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890" w:type="dxa"/>
            <w:noWrap w:val="0"/>
            <w:vAlign w:val="center"/>
          </w:tcPr>
          <w:p w14:paraId="0C8D6460">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6EA0DA5F">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6F7C9491">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26FADA4D">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2558074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6E7A49E6">
            <w:pPr>
              <w:shd w:val="clear"/>
              <w:spacing w:line="360" w:lineRule="auto"/>
              <w:jc w:val="center"/>
              <w:outlineLvl w:val="9"/>
              <w:rPr>
                <w:rFonts w:hint="eastAsia" w:ascii="宋体" w:hAnsi="宋体" w:eastAsia="宋体" w:cs="宋体"/>
                <w:color w:val="auto"/>
                <w:sz w:val="21"/>
                <w:szCs w:val="21"/>
                <w:highlight w:val="none"/>
              </w:rPr>
            </w:pPr>
          </w:p>
        </w:tc>
      </w:tr>
      <w:tr w14:paraId="60B8C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2B8F656D">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890" w:type="dxa"/>
            <w:noWrap w:val="0"/>
            <w:vAlign w:val="center"/>
          </w:tcPr>
          <w:p w14:paraId="18D4A6C5">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1C64B19A">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1D40321E">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7A62D9FB">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0945412A">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17394E8D">
            <w:pPr>
              <w:shd w:val="clear"/>
              <w:spacing w:line="360" w:lineRule="auto"/>
              <w:jc w:val="center"/>
              <w:outlineLvl w:val="9"/>
              <w:rPr>
                <w:rFonts w:hint="eastAsia" w:ascii="宋体" w:hAnsi="宋体" w:eastAsia="宋体" w:cs="宋体"/>
                <w:color w:val="auto"/>
                <w:sz w:val="21"/>
                <w:szCs w:val="21"/>
                <w:highlight w:val="none"/>
              </w:rPr>
            </w:pPr>
          </w:p>
        </w:tc>
      </w:tr>
      <w:tr w14:paraId="2B2A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2FD46CC3">
            <w:pPr>
              <w:shd w:val="clear"/>
              <w:spacing w:line="360" w:lineRule="auto"/>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1890" w:type="dxa"/>
            <w:noWrap w:val="0"/>
            <w:vAlign w:val="center"/>
          </w:tcPr>
          <w:p w14:paraId="50B5758C">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2A2812A3">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2764B30A">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51313798">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29F369FC">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230F0F72">
            <w:pPr>
              <w:shd w:val="clear"/>
              <w:spacing w:line="360" w:lineRule="auto"/>
              <w:jc w:val="center"/>
              <w:outlineLvl w:val="9"/>
              <w:rPr>
                <w:rFonts w:hint="eastAsia" w:ascii="宋体" w:hAnsi="宋体" w:eastAsia="宋体" w:cs="宋体"/>
                <w:color w:val="auto"/>
                <w:sz w:val="21"/>
                <w:szCs w:val="21"/>
                <w:highlight w:val="none"/>
              </w:rPr>
            </w:pPr>
          </w:p>
        </w:tc>
      </w:tr>
      <w:tr w14:paraId="348CA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24F888BC">
            <w:pPr>
              <w:shd w:val="clear"/>
              <w:spacing w:line="360" w:lineRule="auto"/>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1890" w:type="dxa"/>
            <w:noWrap w:val="0"/>
            <w:vAlign w:val="center"/>
          </w:tcPr>
          <w:p w14:paraId="6AFD64DA">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6114EF3F">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50DDDD17">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760BF1E5">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600E892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27909A9E">
            <w:pPr>
              <w:shd w:val="clear"/>
              <w:spacing w:line="360" w:lineRule="auto"/>
              <w:jc w:val="center"/>
              <w:outlineLvl w:val="9"/>
              <w:rPr>
                <w:rFonts w:hint="eastAsia" w:ascii="宋体" w:hAnsi="宋体" w:eastAsia="宋体" w:cs="宋体"/>
                <w:color w:val="auto"/>
                <w:sz w:val="21"/>
                <w:szCs w:val="21"/>
                <w:highlight w:val="none"/>
              </w:rPr>
            </w:pPr>
          </w:p>
        </w:tc>
      </w:tr>
      <w:tr w14:paraId="7A6C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5BE3B475">
            <w:pPr>
              <w:shd w:val="clear"/>
              <w:spacing w:line="360" w:lineRule="auto"/>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1890" w:type="dxa"/>
            <w:noWrap w:val="0"/>
            <w:vAlign w:val="center"/>
          </w:tcPr>
          <w:p w14:paraId="5AF02C3A">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3FA425E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0EE7032E">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48487C39">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54F130CA">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254A0349">
            <w:pPr>
              <w:shd w:val="clear"/>
              <w:spacing w:line="360" w:lineRule="auto"/>
              <w:jc w:val="center"/>
              <w:outlineLvl w:val="9"/>
              <w:rPr>
                <w:rFonts w:hint="eastAsia" w:ascii="宋体" w:hAnsi="宋体" w:eastAsia="宋体" w:cs="宋体"/>
                <w:color w:val="auto"/>
                <w:sz w:val="21"/>
                <w:szCs w:val="21"/>
                <w:highlight w:val="none"/>
              </w:rPr>
            </w:pPr>
          </w:p>
        </w:tc>
      </w:tr>
      <w:tr w14:paraId="400F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1726E5F4">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shd w:val="clear" w:color="auto" w:fill="FFFFFF"/>
              </w:rPr>
              <w:t>拟投入本项目的</w:t>
            </w:r>
            <w:r>
              <w:rPr>
                <w:rFonts w:hint="eastAsia" w:ascii="宋体" w:hAnsi="宋体" w:eastAsia="宋体" w:cs="宋体"/>
                <w:color w:val="auto"/>
                <w:sz w:val="21"/>
                <w:szCs w:val="21"/>
                <w:highlight w:val="none"/>
                <w:shd w:val="clear" w:color="auto" w:fill="FFFFFF"/>
                <w:lang w:val="en-US" w:eastAsia="zh-CN"/>
              </w:rPr>
              <w:t>垃圾清运车、新能源巡查车</w:t>
            </w:r>
            <w:r>
              <w:rPr>
                <w:rFonts w:hint="eastAsia" w:ascii="宋体" w:hAnsi="宋体" w:eastAsia="宋体" w:cs="宋体"/>
                <w:color w:val="auto"/>
                <w:sz w:val="21"/>
                <w:szCs w:val="21"/>
                <w:highlight w:val="none"/>
                <w:shd w:val="clear" w:color="auto" w:fill="FFFFFF"/>
              </w:rPr>
              <w:t>；</w:t>
            </w:r>
          </w:p>
        </w:tc>
      </w:tr>
      <w:tr w14:paraId="391D0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7818D68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0AB42CBF">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0071815E">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7A0EAE95">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4047811F">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34E49C3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74249373">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4245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25A6E1B3">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2750E430">
            <w:pPr>
              <w:shd w:val="clear"/>
              <w:spacing w:line="360" w:lineRule="auto"/>
              <w:outlineLvl w:val="9"/>
              <w:rPr>
                <w:rFonts w:hint="eastAsia" w:ascii="宋体" w:hAnsi="宋体" w:eastAsia="宋体" w:cs="宋体"/>
                <w:color w:val="auto"/>
                <w:sz w:val="21"/>
                <w:szCs w:val="21"/>
                <w:highlight w:val="none"/>
              </w:rPr>
            </w:pPr>
          </w:p>
        </w:tc>
        <w:tc>
          <w:tcPr>
            <w:tcW w:w="1242" w:type="dxa"/>
            <w:noWrap w:val="0"/>
            <w:vAlign w:val="center"/>
          </w:tcPr>
          <w:p w14:paraId="0EF04D9B">
            <w:pPr>
              <w:shd w:val="clear"/>
              <w:spacing w:line="360" w:lineRule="auto"/>
              <w:outlineLvl w:val="9"/>
              <w:rPr>
                <w:rFonts w:hint="eastAsia" w:ascii="宋体" w:hAnsi="宋体" w:eastAsia="宋体" w:cs="宋体"/>
                <w:color w:val="auto"/>
                <w:sz w:val="21"/>
                <w:szCs w:val="21"/>
                <w:highlight w:val="none"/>
              </w:rPr>
            </w:pPr>
          </w:p>
        </w:tc>
        <w:tc>
          <w:tcPr>
            <w:tcW w:w="827" w:type="dxa"/>
            <w:noWrap w:val="0"/>
            <w:vAlign w:val="center"/>
          </w:tcPr>
          <w:p w14:paraId="2351AE26">
            <w:pPr>
              <w:shd w:val="clear"/>
              <w:spacing w:line="360" w:lineRule="auto"/>
              <w:outlineLvl w:val="9"/>
              <w:rPr>
                <w:rFonts w:hint="eastAsia" w:ascii="宋体" w:hAnsi="宋体" w:eastAsia="宋体" w:cs="宋体"/>
                <w:color w:val="auto"/>
                <w:sz w:val="21"/>
                <w:szCs w:val="21"/>
                <w:highlight w:val="none"/>
              </w:rPr>
            </w:pPr>
          </w:p>
        </w:tc>
        <w:tc>
          <w:tcPr>
            <w:tcW w:w="1792" w:type="dxa"/>
            <w:noWrap w:val="0"/>
            <w:vAlign w:val="center"/>
          </w:tcPr>
          <w:p w14:paraId="2716A913">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082C31F6">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43312C99">
            <w:pPr>
              <w:shd w:val="clear"/>
              <w:spacing w:line="360" w:lineRule="auto"/>
              <w:outlineLvl w:val="9"/>
              <w:rPr>
                <w:rFonts w:hint="eastAsia" w:ascii="宋体" w:hAnsi="宋体" w:eastAsia="宋体" w:cs="宋体"/>
                <w:color w:val="auto"/>
                <w:sz w:val="21"/>
                <w:szCs w:val="21"/>
                <w:highlight w:val="none"/>
              </w:rPr>
            </w:pPr>
          </w:p>
        </w:tc>
      </w:tr>
      <w:tr w14:paraId="4371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620D2DFC">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781233D2">
            <w:pPr>
              <w:shd w:val="clear"/>
              <w:spacing w:line="360" w:lineRule="auto"/>
              <w:outlineLvl w:val="9"/>
              <w:rPr>
                <w:rFonts w:hint="eastAsia" w:ascii="宋体" w:hAnsi="宋体" w:eastAsia="宋体" w:cs="宋体"/>
                <w:color w:val="auto"/>
                <w:sz w:val="21"/>
                <w:szCs w:val="21"/>
                <w:highlight w:val="none"/>
              </w:rPr>
            </w:pPr>
          </w:p>
        </w:tc>
        <w:tc>
          <w:tcPr>
            <w:tcW w:w="1242" w:type="dxa"/>
            <w:noWrap w:val="0"/>
            <w:vAlign w:val="center"/>
          </w:tcPr>
          <w:p w14:paraId="51E4A2BD">
            <w:pPr>
              <w:shd w:val="clear"/>
              <w:spacing w:line="360" w:lineRule="auto"/>
              <w:outlineLvl w:val="9"/>
              <w:rPr>
                <w:rFonts w:hint="eastAsia" w:ascii="宋体" w:hAnsi="宋体" w:eastAsia="宋体" w:cs="宋体"/>
                <w:color w:val="auto"/>
                <w:sz w:val="21"/>
                <w:szCs w:val="21"/>
                <w:highlight w:val="none"/>
              </w:rPr>
            </w:pPr>
          </w:p>
        </w:tc>
        <w:tc>
          <w:tcPr>
            <w:tcW w:w="827" w:type="dxa"/>
            <w:noWrap w:val="0"/>
            <w:vAlign w:val="center"/>
          </w:tcPr>
          <w:p w14:paraId="567AE20A">
            <w:pPr>
              <w:shd w:val="clear"/>
              <w:spacing w:line="360" w:lineRule="auto"/>
              <w:outlineLvl w:val="9"/>
              <w:rPr>
                <w:rFonts w:hint="eastAsia" w:ascii="宋体" w:hAnsi="宋体" w:eastAsia="宋体" w:cs="宋体"/>
                <w:color w:val="auto"/>
                <w:sz w:val="21"/>
                <w:szCs w:val="21"/>
                <w:highlight w:val="none"/>
              </w:rPr>
            </w:pPr>
          </w:p>
        </w:tc>
        <w:tc>
          <w:tcPr>
            <w:tcW w:w="1792" w:type="dxa"/>
            <w:noWrap w:val="0"/>
            <w:vAlign w:val="center"/>
          </w:tcPr>
          <w:p w14:paraId="1A0C8300">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608D9250">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77720F7D">
            <w:pPr>
              <w:shd w:val="clear"/>
              <w:spacing w:line="360" w:lineRule="auto"/>
              <w:outlineLvl w:val="9"/>
              <w:rPr>
                <w:rFonts w:hint="eastAsia" w:ascii="宋体" w:hAnsi="宋体" w:eastAsia="宋体" w:cs="宋体"/>
                <w:color w:val="auto"/>
                <w:sz w:val="21"/>
                <w:szCs w:val="21"/>
                <w:highlight w:val="none"/>
              </w:rPr>
            </w:pPr>
          </w:p>
        </w:tc>
      </w:tr>
      <w:tr w14:paraId="447C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73B8CBC3">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4.拟投入的与养护有关的其余设备、器材、工具如(发电机、随车吊、乔木修剪车、打药车)等；</w:t>
            </w:r>
          </w:p>
        </w:tc>
      </w:tr>
      <w:tr w14:paraId="7BF50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288C78E4">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5CA88C0B">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1A57200E">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170F268B">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5DCF707F">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4C2622FA">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1DB23ACC">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54ED2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25F21D99">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639655F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7B3E4E84">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29024D75">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7D11E342">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113FD158">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47C7415B">
            <w:pPr>
              <w:shd w:val="clear"/>
              <w:spacing w:line="360" w:lineRule="auto"/>
              <w:jc w:val="center"/>
              <w:outlineLvl w:val="9"/>
              <w:rPr>
                <w:rFonts w:hint="eastAsia" w:ascii="宋体" w:hAnsi="宋体" w:eastAsia="宋体" w:cs="宋体"/>
                <w:color w:val="auto"/>
                <w:sz w:val="21"/>
                <w:szCs w:val="21"/>
                <w:highlight w:val="none"/>
              </w:rPr>
            </w:pPr>
          </w:p>
        </w:tc>
      </w:tr>
      <w:tr w14:paraId="08067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5697957F">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4E408B92">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0E6AF10F">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2F333055">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0EAAAEAA">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12048DE3">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1E62731D">
            <w:pPr>
              <w:shd w:val="clear"/>
              <w:spacing w:line="360" w:lineRule="auto"/>
              <w:jc w:val="center"/>
              <w:outlineLvl w:val="9"/>
              <w:rPr>
                <w:rFonts w:hint="eastAsia" w:ascii="宋体" w:hAnsi="宋体" w:eastAsia="宋体" w:cs="宋体"/>
                <w:color w:val="auto"/>
                <w:sz w:val="21"/>
                <w:szCs w:val="21"/>
                <w:highlight w:val="none"/>
              </w:rPr>
            </w:pPr>
          </w:p>
        </w:tc>
      </w:tr>
      <w:tr w14:paraId="5049F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09B5B3CA">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890" w:type="dxa"/>
            <w:noWrap w:val="0"/>
            <w:vAlign w:val="center"/>
          </w:tcPr>
          <w:p w14:paraId="5F4061C5">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48E5ED6E">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6A53839C">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3E3CE900">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4ACC7DAD">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55132B89">
            <w:pPr>
              <w:shd w:val="clear"/>
              <w:spacing w:line="360" w:lineRule="auto"/>
              <w:jc w:val="center"/>
              <w:outlineLvl w:val="9"/>
              <w:rPr>
                <w:rFonts w:hint="eastAsia" w:ascii="宋体" w:hAnsi="宋体" w:eastAsia="宋体" w:cs="宋体"/>
                <w:color w:val="auto"/>
                <w:sz w:val="21"/>
                <w:szCs w:val="21"/>
                <w:highlight w:val="none"/>
              </w:rPr>
            </w:pPr>
          </w:p>
        </w:tc>
      </w:tr>
      <w:tr w14:paraId="6910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35704003">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890" w:type="dxa"/>
            <w:noWrap w:val="0"/>
            <w:vAlign w:val="center"/>
          </w:tcPr>
          <w:p w14:paraId="426D6F2C">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67A006C0">
            <w:pPr>
              <w:shd w:val="clear"/>
              <w:spacing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22650BB7">
            <w:pPr>
              <w:shd w:val="clear"/>
              <w:spacing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421ED48B">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016779F9">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5089787C">
            <w:pPr>
              <w:shd w:val="clear"/>
              <w:spacing w:line="360" w:lineRule="auto"/>
              <w:jc w:val="center"/>
              <w:outlineLvl w:val="9"/>
              <w:rPr>
                <w:rFonts w:hint="eastAsia" w:ascii="宋体" w:hAnsi="宋体" w:eastAsia="宋体" w:cs="宋体"/>
                <w:color w:val="auto"/>
                <w:sz w:val="21"/>
                <w:szCs w:val="21"/>
                <w:highlight w:val="none"/>
              </w:rPr>
            </w:pPr>
          </w:p>
        </w:tc>
      </w:tr>
    </w:tbl>
    <w:p w14:paraId="07998B65">
      <w:pPr>
        <w:widowControl/>
        <w:shd w:val="clea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附件五：西安浐灞国际港绿地管护工作考评办法</w:t>
      </w:r>
    </w:p>
    <w:p w14:paraId="6CBC3FD3">
      <w:pPr>
        <w:shd w:val="clear"/>
        <w:spacing w:before="240"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西安浐灞国际港绿地管护工作考评办法</w:t>
      </w:r>
    </w:p>
    <w:p w14:paraId="5F18C2C3">
      <w:pPr>
        <w:shd w:val="clear"/>
        <w:spacing w:line="360" w:lineRule="auto"/>
        <w:ind w:firstLine="420" w:firstLineChars="200"/>
        <w:outlineLvl w:val="9"/>
        <w:rPr>
          <w:rFonts w:hint="eastAsia" w:ascii="宋体" w:hAnsi="宋体" w:eastAsia="宋体" w:cs="宋体"/>
          <w:color w:val="auto"/>
          <w:sz w:val="21"/>
          <w:szCs w:val="21"/>
          <w:highlight w:val="none"/>
        </w:rPr>
      </w:pPr>
    </w:p>
    <w:p w14:paraId="55FC016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为了进一步规范绿化管理工作，促进全区养护管理工作规范化、科学化、长效化管理水平不断提高， 全面、客观考评各单位园林绿化管理工作开展情况，特制定本暂行办法。</w:t>
      </w:r>
    </w:p>
    <w:p w14:paraId="5195FB7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一、考评对象</w:t>
      </w:r>
    </w:p>
    <w:p w14:paraId="23FD702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园区绿化养护标段。</w:t>
      </w:r>
    </w:p>
    <w:p w14:paraId="6D77B32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二、考评范围</w:t>
      </w:r>
    </w:p>
    <w:p w14:paraId="6CC45DD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西安浐灞国际港内建成绿地养护管理工作。</w:t>
      </w:r>
    </w:p>
    <w:p w14:paraId="514657B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三、考评机构</w:t>
      </w:r>
    </w:p>
    <w:p w14:paraId="4B358D8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加强考评工作的组织领导，西安浐灞国际港生态环境局成立专项工作领导小组，负责统筹有关工作的组织协调、实施推进和督促检查。领导小组组长由西安浐灞国际港生态环境局副局长担任，副组长由负责养护管理业务干部担任，成员由绿化养护监理人员、各养护单位项目管理人员担任。副组长与各成员为考评工作人员，为确保考核工作公正考评组人数需在三人以上，具体负责日常检查考评评分工作。组长对考评工作进行督查，确保考评及时、客观、公正。</w:t>
      </w:r>
    </w:p>
    <w:p w14:paraId="64EA1E0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四、考评方式</w:t>
      </w:r>
    </w:p>
    <w:p w14:paraId="418CEC0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（一）月度考评</w:t>
      </w:r>
    </w:p>
    <w:p w14:paraId="768992F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下旬实地到每个绿化标段进行检查，并按照月度考评打分及处罚标准（详见附件）考核。每月月初考评小组需对各单位的月度检查考评及处罚情况进行汇总，对养护单元养护情况给出优、良、差的评价等级，并报西安浐灞国际港生态环境局审核，审核通过后，进行通报。</w:t>
      </w:r>
    </w:p>
    <w:p w14:paraId="4C293D1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 年度考评</w:t>
      </w:r>
    </w:p>
    <w:p w14:paraId="5A2334B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西安浐灞国际港生态环境局年底综合全年管理工作的总体情况，对各单位进行年度评分和排名。年度评分内容包括管理工作得分、上级考核工作得分、额外奖励加分。</w:t>
      </w:r>
    </w:p>
    <w:p w14:paraId="20CDC07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工作得分是指考评小组依据月度考评情况，评出的各单位园林绿化管理工作年度总分。上级检查得分是指考评小组依据市级领导及相关部门、市局检查考核情况，评出的各单位管护项目园林绿化管理年度总分。额外奖励加分是指考评小组在确定各单位管理工作得分和上级考核工作得分后，对在养护管理、工作措施、技术应用方面创新工作取得显著成效的、某项工作具有全区示范意义或落实临时重大任务成绩突出的单位酌情予以额外加分。</w:t>
      </w:r>
    </w:p>
    <w:p w14:paraId="1AF102A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度考评总分为100分，一般情况由管理工作分值和上级考核工作得分组成，管理工作分值占年度考评分值的比例为80%，上级考核工作得分分值占年度考评分值的比例为20%。无上级检查得分者则以管理工作分值为考评总分。</w:t>
      </w:r>
    </w:p>
    <w:p w14:paraId="668AE7C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五、结果运用</w:t>
      </w:r>
    </w:p>
    <w:p w14:paraId="6099819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月度考核：每月对各养护标段，根据《西安浐灞国际港园林绿化管理工作月度考评及处罚标准》（见附表）进行打分、考核、排名和处罚工作，对结果进行通报，处罚费用在当季养护费用中扣除。对考评中第一次出现排名后三且考评为差（月度考评成绩70分以下）的养护单元，对项目单位公司领导及项目经理进行约谈，对养护单元管理负责人及主要管理人员进行提醒警告。累计两次出现排名后三且考评为差（月度考评成绩70分以下）的养护单元要求更换管理负责人及主要管理人员。累计三次排名后三且考评为差（月度考评成绩70分以下）的养护单元，解除该养护单元养护关系，委托其它单位负责该区域养护工作。</w:t>
      </w:r>
    </w:p>
    <w:p w14:paraId="3DC73EE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年度考核：年度内月度考核评价累计三次为差的标段，扣除养护单位年度护质保金，对各养护标段园林绿化管理工作的考评结果，做如下运用:一是根据考核分值按月统计，按照考核结果支付养护费用；二是作为园区养护管理单位的评价推选依据；三是作为向管委会领导通告有关企业管理水平优劣的基础和依据；四是作为进行各类责任追究的基础性依据。</w:t>
      </w:r>
    </w:p>
    <w:p w14:paraId="1933E3D0">
      <w:pPr>
        <w:shd w:val="clear"/>
        <w:spacing w:line="360" w:lineRule="auto"/>
        <w:outlineLvl w:val="9"/>
        <w:rPr>
          <w:rFonts w:hint="eastAsia" w:ascii="宋体" w:hAnsi="宋体" w:eastAsia="宋体" w:cs="宋体"/>
          <w:color w:val="auto"/>
          <w:sz w:val="24"/>
          <w:szCs w:val="24"/>
          <w:highlight w:val="none"/>
        </w:rPr>
        <w:sectPr>
          <w:footerReference r:id="rId7" w:type="first"/>
          <w:footerReference r:id="rId5" w:type="default"/>
          <w:footerReference r:id="rId6" w:type="even"/>
          <w:pgSz w:w="11905" w:h="16838"/>
          <w:pgMar w:top="1304" w:right="1134" w:bottom="1304" w:left="1247" w:header="850" w:footer="992" w:gutter="0"/>
          <w:pgNumType w:fmt="numberInDash" w:start="1"/>
          <w:cols w:space="720" w:num="1"/>
          <w:titlePg/>
          <w:docGrid w:linePitch="323" w:charSpace="0"/>
        </w:sectPr>
      </w:pPr>
    </w:p>
    <w:p w14:paraId="6B575745">
      <w:pPr>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附件一：西安浐灞国际港园林绿化工作考核标准表（西安浐灞国际港绿地养护管理工作月度考核标准表）</w:t>
      </w:r>
    </w:p>
    <w:tbl>
      <w:tblPr>
        <w:tblStyle w:val="5"/>
        <w:tblW w:w="5009"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68"/>
        <w:gridCol w:w="1267"/>
        <w:gridCol w:w="1850"/>
        <w:gridCol w:w="6160"/>
        <w:gridCol w:w="3402"/>
        <w:gridCol w:w="719"/>
      </w:tblGrid>
      <w:tr w14:paraId="5130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noWrap w:val="0"/>
            <w:vAlign w:val="center"/>
          </w:tcPr>
          <w:p w14:paraId="6493C92C">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44" w:type="pct"/>
            <w:noWrap w:val="0"/>
            <w:vAlign w:val="center"/>
          </w:tcPr>
          <w:p w14:paraId="09CEF174">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类别</w:t>
            </w:r>
          </w:p>
        </w:tc>
        <w:tc>
          <w:tcPr>
            <w:tcW w:w="648" w:type="pct"/>
            <w:noWrap w:val="0"/>
            <w:vAlign w:val="center"/>
          </w:tcPr>
          <w:p w14:paraId="32782159">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考核项目</w:t>
            </w:r>
          </w:p>
        </w:tc>
        <w:tc>
          <w:tcPr>
            <w:tcW w:w="2158" w:type="pct"/>
            <w:noWrap w:val="0"/>
            <w:vAlign w:val="center"/>
          </w:tcPr>
          <w:p w14:paraId="05E659EB">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扣分标准</w:t>
            </w:r>
          </w:p>
        </w:tc>
        <w:tc>
          <w:tcPr>
            <w:tcW w:w="1192" w:type="pct"/>
            <w:noWrap w:val="0"/>
            <w:vAlign w:val="center"/>
          </w:tcPr>
          <w:p w14:paraId="52E3423A">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扣款标准</w:t>
            </w:r>
          </w:p>
        </w:tc>
        <w:tc>
          <w:tcPr>
            <w:tcW w:w="252" w:type="pct"/>
            <w:noWrap w:val="0"/>
            <w:vAlign w:val="center"/>
          </w:tcPr>
          <w:p w14:paraId="636339C5">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56B4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7E74158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44" w:type="pct"/>
            <w:vMerge w:val="restart"/>
            <w:noWrap w:val="0"/>
            <w:vAlign w:val="center"/>
          </w:tcPr>
          <w:p w14:paraId="3E443252">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绿化养护（50分）</w:t>
            </w:r>
          </w:p>
        </w:tc>
        <w:tc>
          <w:tcPr>
            <w:tcW w:w="648" w:type="pct"/>
            <w:noWrap w:val="0"/>
            <w:vAlign w:val="center"/>
          </w:tcPr>
          <w:p w14:paraId="555CF72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足额配备现场管理人员绿化养护工</w:t>
            </w:r>
          </w:p>
        </w:tc>
        <w:tc>
          <w:tcPr>
            <w:tcW w:w="2158" w:type="pct"/>
            <w:noWrap w:val="0"/>
            <w:vAlign w:val="top"/>
          </w:tcPr>
          <w:p w14:paraId="302847C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1、养护工配置标准为现场工人公园、一级养护绿地</w:t>
            </w:r>
            <w:r>
              <w:rPr>
                <w:rFonts w:hint="eastAsia" w:ascii="宋体" w:hAnsi="宋体" w:eastAsia="宋体" w:cs="宋体"/>
                <w:color w:val="auto"/>
                <w:sz w:val="21"/>
                <w:szCs w:val="21"/>
                <w:highlight w:val="none"/>
                <w:lang w:val="en-US" w:eastAsia="zh-CN"/>
              </w:rPr>
              <w:t>10000</w:t>
            </w:r>
            <w:r>
              <w:rPr>
                <w:rFonts w:hint="eastAsia" w:ascii="宋体" w:hAnsi="宋体" w:eastAsia="宋体" w:cs="宋体"/>
                <w:color w:val="auto"/>
                <w:sz w:val="21"/>
                <w:szCs w:val="21"/>
                <w:highlight w:val="none"/>
              </w:rPr>
              <w:t>㎡/人，二级养护绿地1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000㎡/人，防护林带20000㎡/人，未按规定足额配备每少1人扣2分；</w:t>
            </w:r>
          </w:p>
          <w:p w14:paraId="0979789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2、养护人员未按规定着装每人扣1分；</w:t>
            </w:r>
          </w:p>
          <w:p w14:paraId="72EE89D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养护单位现场负责人员管理人员要求园林绿化相关专业大专以上文凭，具有3年从事绿化工作经验。养护标段现场技术负责人需具有绿化养护高级工应具备的相关要求、知识、技能及3年以上工作经验，现场标段负责人及技术负责人缺岗，每次扣5分，资质不达标每次扣3分。</w:t>
            </w:r>
          </w:p>
          <w:p w14:paraId="4C3262F9">
            <w:pPr>
              <w:shd w:val="clea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4、技术工人需有5年以上养护工作经验，养护工人中技术工的占比为总人数的30%。按规定未足额配备每少1人扣5分。</w:t>
            </w:r>
          </w:p>
          <w:p w14:paraId="6EBC2EE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5、强化人员专业培训提升，</w:t>
            </w:r>
            <w:r>
              <w:rPr>
                <w:rFonts w:hint="eastAsia" w:ascii="宋体" w:hAnsi="宋体" w:eastAsia="宋体" w:cs="宋体"/>
                <w:color w:val="auto"/>
                <w:sz w:val="21"/>
                <w:szCs w:val="21"/>
                <w:highlight w:val="none"/>
                <w:lang w:val="en-US" w:eastAsia="zh-CN"/>
              </w:rPr>
              <w:t>定期进行</w:t>
            </w:r>
            <w:r>
              <w:rPr>
                <w:rFonts w:hint="eastAsia" w:ascii="宋体" w:hAnsi="宋体" w:eastAsia="宋体" w:cs="宋体"/>
                <w:color w:val="auto"/>
                <w:sz w:val="21"/>
                <w:szCs w:val="21"/>
                <w:highlight w:val="none"/>
              </w:rPr>
              <w:t>每周一课</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月度培训</w:t>
            </w:r>
            <w:r>
              <w:rPr>
                <w:rFonts w:hint="eastAsia" w:ascii="宋体" w:hAnsi="宋体" w:eastAsia="宋体" w:cs="宋体"/>
                <w:color w:val="auto"/>
                <w:sz w:val="21"/>
                <w:szCs w:val="21"/>
                <w:highlight w:val="none"/>
                <w:lang w:val="en-US" w:eastAsia="zh-CN"/>
              </w:rPr>
              <w:t>活动，其中每周一课年度不少于20次，月度培训年度不少于5次</w:t>
            </w:r>
            <w:r>
              <w:rPr>
                <w:rFonts w:hint="eastAsia" w:ascii="宋体" w:hAnsi="宋体" w:eastAsia="宋体" w:cs="宋体"/>
                <w:color w:val="auto"/>
                <w:sz w:val="21"/>
                <w:szCs w:val="21"/>
                <w:highlight w:val="none"/>
              </w:rPr>
              <w:t>。</w:t>
            </w:r>
          </w:p>
        </w:tc>
        <w:tc>
          <w:tcPr>
            <w:tcW w:w="1192" w:type="pct"/>
            <w:noWrap w:val="0"/>
            <w:vAlign w:val="top"/>
          </w:tcPr>
          <w:p w14:paraId="25AB6598">
            <w:pPr>
              <w:shd w:val="clear"/>
              <w:rPr>
                <w:rFonts w:hint="eastAsia" w:ascii="宋体" w:hAnsi="宋体" w:eastAsia="宋体" w:cs="宋体"/>
                <w:color w:val="auto"/>
                <w:sz w:val="21"/>
                <w:szCs w:val="21"/>
                <w:highlight w:val="none"/>
              </w:rPr>
            </w:pPr>
          </w:p>
          <w:p w14:paraId="4E3445A0">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工人缺人1次按日工资3倍处罚，每月</w:t>
            </w:r>
            <w:r>
              <w:rPr>
                <w:rFonts w:hint="eastAsia" w:ascii="宋体" w:hAnsi="宋体" w:eastAsia="宋体" w:cs="宋体"/>
                <w:color w:val="auto"/>
                <w:sz w:val="21"/>
                <w:szCs w:val="21"/>
                <w:highlight w:val="none"/>
                <w:lang w:val="en-US" w:eastAsia="zh-CN"/>
              </w:rPr>
              <w:t>累计出现</w:t>
            </w:r>
            <w:r>
              <w:rPr>
                <w:rFonts w:hint="eastAsia" w:ascii="宋体" w:hAnsi="宋体" w:eastAsia="宋体" w:cs="宋体"/>
                <w:color w:val="auto"/>
                <w:sz w:val="21"/>
                <w:szCs w:val="21"/>
                <w:highlight w:val="none"/>
              </w:rPr>
              <w:t>三次以上缺人</w:t>
            </w:r>
            <w:r>
              <w:rPr>
                <w:rFonts w:hint="eastAsia" w:ascii="宋体" w:hAnsi="宋体" w:eastAsia="宋体" w:cs="宋体"/>
                <w:color w:val="auto"/>
                <w:sz w:val="21"/>
                <w:szCs w:val="21"/>
                <w:highlight w:val="none"/>
                <w:lang w:val="en-US" w:eastAsia="zh-CN"/>
              </w:rPr>
              <w:t>问题按照6</w:t>
            </w:r>
            <w:r>
              <w:rPr>
                <w:rFonts w:hint="eastAsia" w:ascii="宋体" w:hAnsi="宋体" w:eastAsia="宋体" w:cs="宋体"/>
                <w:color w:val="auto"/>
                <w:sz w:val="21"/>
                <w:szCs w:val="21"/>
                <w:highlight w:val="none"/>
              </w:rPr>
              <w:t>000元</w:t>
            </w:r>
            <w:r>
              <w:rPr>
                <w:rFonts w:hint="eastAsia" w:ascii="宋体" w:hAnsi="宋体" w:eastAsia="宋体" w:cs="宋体"/>
                <w:color w:val="auto"/>
                <w:sz w:val="21"/>
                <w:szCs w:val="21"/>
                <w:highlight w:val="none"/>
                <w:lang w:val="en-US" w:eastAsia="zh-CN"/>
              </w:rPr>
              <w:t>/人/月标准进行处罚</w:t>
            </w:r>
            <w:r>
              <w:rPr>
                <w:rFonts w:hint="eastAsia" w:ascii="宋体" w:hAnsi="宋体" w:eastAsia="宋体" w:cs="宋体"/>
                <w:color w:val="auto"/>
                <w:sz w:val="21"/>
                <w:szCs w:val="21"/>
                <w:highlight w:val="none"/>
              </w:rPr>
              <w:t>（如有请假、调岗需提前报备），</w:t>
            </w:r>
            <w:r>
              <w:rPr>
                <w:rFonts w:hint="eastAsia" w:ascii="宋体" w:hAnsi="宋体" w:eastAsia="宋体" w:cs="宋体"/>
                <w:color w:val="auto"/>
                <w:sz w:val="21"/>
                <w:szCs w:val="21"/>
                <w:highlight w:val="none"/>
                <w:lang w:val="en-US" w:eastAsia="zh-CN"/>
              </w:rPr>
              <w:t>对</w:t>
            </w:r>
            <w:r>
              <w:rPr>
                <w:rFonts w:hint="eastAsia" w:ascii="宋体" w:hAnsi="宋体" w:eastAsia="宋体" w:cs="宋体"/>
                <w:color w:val="auto"/>
                <w:sz w:val="21"/>
                <w:szCs w:val="21"/>
                <w:highlight w:val="none"/>
              </w:rPr>
              <w:t>资质不达标</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1500元</w:t>
            </w:r>
            <w:r>
              <w:rPr>
                <w:rFonts w:hint="eastAsia" w:ascii="宋体" w:hAnsi="宋体" w:eastAsia="宋体" w:cs="宋体"/>
                <w:color w:val="auto"/>
                <w:sz w:val="21"/>
                <w:szCs w:val="21"/>
                <w:highlight w:val="none"/>
                <w:lang w:val="en-US" w:eastAsia="zh-CN"/>
              </w:rPr>
              <w:t>/人/月标准进行处罚</w:t>
            </w:r>
            <w:r>
              <w:rPr>
                <w:rFonts w:hint="eastAsia" w:ascii="宋体" w:hAnsi="宋体" w:eastAsia="宋体" w:cs="宋体"/>
                <w:color w:val="auto"/>
                <w:sz w:val="21"/>
                <w:szCs w:val="21"/>
                <w:highlight w:val="none"/>
              </w:rPr>
              <w:t>；脱岗</w:t>
            </w:r>
            <w:r>
              <w:rPr>
                <w:rFonts w:hint="eastAsia" w:ascii="宋体" w:hAnsi="宋体" w:eastAsia="宋体" w:cs="宋体"/>
                <w:color w:val="auto"/>
                <w:sz w:val="21"/>
                <w:szCs w:val="21"/>
                <w:highlight w:val="none"/>
                <w:lang w:val="en-US" w:eastAsia="zh-CN"/>
              </w:rPr>
              <w:t>问题按照</w:t>
            </w:r>
            <w:r>
              <w:rPr>
                <w:rFonts w:hint="eastAsia" w:ascii="宋体" w:hAnsi="宋体" w:eastAsia="宋体" w:cs="宋体"/>
                <w:color w:val="auto"/>
                <w:sz w:val="21"/>
                <w:szCs w:val="21"/>
                <w:highlight w:val="none"/>
              </w:rPr>
              <w:t>500元</w:t>
            </w:r>
            <w:r>
              <w:rPr>
                <w:rFonts w:hint="eastAsia" w:ascii="宋体" w:hAnsi="宋体" w:eastAsia="宋体" w:cs="宋体"/>
                <w:color w:val="auto"/>
                <w:sz w:val="21"/>
                <w:szCs w:val="21"/>
                <w:highlight w:val="none"/>
                <w:lang w:val="en-US" w:eastAsia="zh-CN"/>
              </w:rPr>
              <w:t>/人/次标准进行处罚</w:t>
            </w:r>
            <w:r>
              <w:rPr>
                <w:rFonts w:hint="eastAsia" w:ascii="宋体" w:hAnsi="宋体" w:eastAsia="宋体" w:cs="宋体"/>
                <w:color w:val="auto"/>
                <w:sz w:val="21"/>
                <w:szCs w:val="21"/>
                <w:highlight w:val="none"/>
              </w:rPr>
              <w:t>，管理人员要求不达标的</w:t>
            </w:r>
            <w:r>
              <w:rPr>
                <w:rFonts w:hint="eastAsia" w:ascii="宋体" w:hAnsi="宋体" w:eastAsia="宋体" w:cs="宋体"/>
                <w:color w:val="auto"/>
                <w:sz w:val="21"/>
                <w:szCs w:val="21"/>
                <w:highlight w:val="none"/>
                <w:lang w:val="en-US" w:eastAsia="zh-CN"/>
              </w:rPr>
              <w:t>按照10</w:t>
            </w:r>
            <w:r>
              <w:rPr>
                <w:rFonts w:hint="eastAsia" w:ascii="宋体" w:hAnsi="宋体" w:eastAsia="宋体" w:cs="宋体"/>
                <w:color w:val="auto"/>
                <w:sz w:val="21"/>
                <w:szCs w:val="21"/>
                <w:highlight w:val="none"/>
              </w:rPr>
              <w:t>000元</w:t>
            </w:r>
            <w:r>
              <w:rPr>
                <w:rFonts w:hint="eastAsia" w:ascii="宋体" w:hAnsi="宋体" w:eastAsia="宋体" w:cs="宋体"/>
                <w:color w:val="auto"/>
                <w:sz w:val="21"/>
                <w:szCs w:val="21"/>
                <w:highlight w:val="none"/>
                <w:lang w:val="en-US" w:eastAsia="zh-CN"/>
              </w:rPr>
              <w:t>/人/月标准进行处罚</w:t>
            </w:r>
            <w:r>
              <w:rPr>
                <w:rFonts w:hint="eastAsia" w:ascii="宋体" w:hAnsi="宋体" w:eastAsia="宋体" w:cs="宋体"/>
                <w:color w:val="auto"/>
                <w:sz w:val="21"/>
                <w:szCs w:val="21"/>
                <w:highlight w:val="none"/>
              </w:rPr>
              <w:t>，未按要求</w:t>
            </w:r>
            <w:r>
              <w:rPr>
                <w:rFonts w:hint="eastAsia" w:ascii="宋体" w:hAnsi="宋体" w:eastAsia="宋体" w:cs="宋体"/>
                <w:color w:val="auto"/>
                <w:sz w:val="21"/>
                <w:szCs w:val="21"/>
                <w:highlight w:val="none"/>
                <w:lang w:val="en-US" w:eastAsia="zh-CN"/>
              </w:rPr>
              <w:t>足额配备</w:t>
            </w:r>
            <w:r>
              <w:rPr>
                <w:rFonts w:hint="eastAsia" w:ascii="宋体" w:hAnsi="宋体" w:eastAsia="宋体" w:cs="宋体"/>
                <w:color w:val="auto"/>
                <w:sz w:val="21"/>
                <w:szCs w:val="21"/>
                <w:highlight w:val="none"/>
              </w:rPr>
              <w:t>管理人员的</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15000元</w:t>
            </w:r>
            <w:r>
              <w:rPr>
                <w:rFonts w:hint="eastAsia" w:ascii="宋体" w:hAnsi="宋体" w:eastAsia="宋体" w:cs="宋体"/>
                <w:color w:val="auto"/>
                <w:sz w:val="21"/>
                <w:szCs w:val="21"/>
                <w:highlight w:val="none"/>
                <w:lang w:val="en-US" w:eastAsia="zh-CN"/>
              </w:rPr>
              <w:t>/人/月进行处罚</w:t>
            </w:r>
            <w:r>
              <w:rPr>
                <w:rFonts w:hint="eastAsia" w:ascii="宋体" w:hAnsi="宋体" w:eastAsia="宋体" w:cs="宋体"/>
                <w:color w:val="auto"/>
                <w:sz w:val="21"/>
                <w:szCs w:val="21"/>
                <w:highlight w:val="none"/>
              </w:rPr>
              <w:t>，未按要求开展培训的</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1万元</w:t>
            </w:r>
            <w:r>
              <w:rPr>
                <w:rFonts w:hint="eastAsia" w:ascii="宋体" w:hAnsi="宋体" w:eastAsia="宋体" w:cs="宋体"/>
                <w:color w:val="auto"/>
                <w:sz w:val="21"/>
                <w:szCs w:val="21"/>
                <w:highlight w:val="none"/>
                <w:lang w:val="en-US" w:eastAsia="zh-CN"/>
              </w:rPr>
              <w:t>/次标准进行处罚</w:t>
            </w:r>
          </w:p>
        </w:tc>
        <w:tc>
          <w:tcPr>
            <w:tcW w:w="252" w:type="pct"/>
            <w:noWrap w:val="0"/>
            <w:vAlign w:val="top"/>
          </w:tcPr>
          <w:p w14:paraId="536D2738">
            <w:pPr>
              <w:shd w:val="clear"/>
              <w:rPr>
                <w:rFonts w:hint="eastAsia" w:ascii="宋体" w:hAnsi="宋体" w:eastAsia="宋体" w:cs="宋体"/>
                <w:color w:val="auto"/>
                <w:sz w:val="21"/>
                <w:szCs w:val="21"/>
                <w:highlight w:val="none"/>
              </w:rPr>
            </w:pPr>
          </w:p>
        </w:tc>
      </w:tr>
      <w:tr w14:paraId="70CB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1" w:hRule="atLeast"/>
        </w:trPr>
        <w:tc>
          <w:tcPr>
            <w:tcW w:w="304" w:type="pct"/>
            <w:vMerge w:val="continue"/>
            <w:noWrap w:val="0"/>
            <w:vAlign w:val="top"/>
          </w:tcPr>
          <w:p w14:paraId="07AC6E2A">
            <w:pPr>
              <w:shd w:val="clear"/>
              <w:rPr>
                <w:rFonts w:hint="eastAsia" w:ascii="宋体" w:hAnsi="宋体" w:eastAsia="宋体" w:cs="宋体"/>
                <w:color w:val="auto"/>
                <w:sz w:val="21"/>
                <w:szCs w:val="21"/>
                <w:highlight w:val="none"/>
              </w:rPr>
            </w:pPr>
          </w:p>
        </w:tc>
        <w:tc>
          <w:tcPr>
            <w:tcW w:w="444" w:type="pct"/>
            <w:vMerge w:val="continue"/>
            <w:noWrap w:val="0"/>
            <w:vAlign w:val="top"/>
          </w:tcPr>
          <w:p w14:paraId="16E72F91">
            <w:pPr>
              <w:shd w:val="clear"/>
              <w:rPr>
                <w:rFonts w:hint="eastAsia" w:ascii="宋体" w:hAnsi="宋体" w:eastAsia="宋体" w:cs="宋体"/>
                <w:color w:val="auto"/>
                <w:sz w:val="21"/>
                <w:szCs w:val="21"/>
                <w:highlight w:val="none"/>
              </w:rPr>
            </w:pPr>
          </w:p>
        </w:tc>
        <w:tc>
          <w:tcPr>
            <w:tcW w:w="648" w:type="pct"/>
            <w:noWrap w:val="0"/>
            <w:vAlign w:val="center"/>
          </w:tcPr>
          <w:p w14:paraId="0F0ACD02">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绿</w:t>
            </w:r>
            <w:r>
              <w:rPr>
                <w:rFonts w:hint="eastAsia" w:ascii="宋体" w:hAnsi="宋体" w:eastAsia="宋体" w:cs="宋体"/>
                <w:color w:val="auto"/>
                <w:sz w:val="21"/>
                <w:szCs w:val="21"/>
                <w:highlight w:val="none"/>
                <w:lang w:val="en-US" w:eastAsia="zh-CN"/>
              </w:rPr>
              <w:t>化带</w:t>
            </w:r>
            <w:r>
              <w:rPr>
                <w:rFonts w:hint="eastAsia" w:ascii="宋体" w:hAnsi="宋体" w:eastAsia="宋体" w:cs="宋体"/>
                <w:color w:val="auto"/>
                <w:sz w:val="21"/>
                <w:szCs w:val="21"/>
                <w:highlight w:val="none"/>
              </w:rPr>
              <w:t>清掏</w:t>
            </w:r>
            <w:r>
              <w:rPr>
                <w:rFonts w:hint="eastAsia" w:ascii="宋体" w:hAnsi="宋体" w:eastAsia="宋体" w:cs="宋体"/>
                <w:color w:val="auto"/>
                <w:sz w:val="21"/>
                <w:szCs w:val="21"/>
                <w:highlight w:val="none"/>
                <w:lang w:val="en-US" w:eastAsia="zh-CN"/>
              </w:rPr>
              <w:t>及绿地、园路、广场、游乐场等区域的保洁</w:t>
            </w:r>
          </w:p>
        </w:tc>
        <w:tc>
          <w:tcPr>
            <w:tcW w:w="2158" w:type="pct"/>
            <w:noWrap w:val="0"/>
            <w:vAlign w:val="top"/>
          </w:tcPr>
          <w:p w14:paraId="27C3A64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1、绿化带内有白色垃圾或杂草的，垃圾每处扣1分，绿地杂草按照每平米扣1分；</w:t>
            </w:r>
          </w:p>
          <w:p w14:paraId="012B054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2、绿化带清理、清掏出的垃圾要求人走垃圾清，沿途堆积的，每处扣2分。</w:t>
            </w:r>
          </w:p>
          <w:p w14:paraId="5927291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3、建立绿篱清掏常效化管理机制，每年早春与秋冬交替之际，组织两次彻底的清掏工作，确保绿化带土层低于道沿10公分（特殊情况除外），清掏工作不达标的，每㎡扣0.5分。</w:t>
            </w:r>
          </w:p>
          <w:p w14:paraId="60C327AA">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4、园路、广场、绿地等区域及时清扫，垃圾杂物及时捡拾，未开展清扫工作扣5分，未及时捡拾垃圾杂物的发现一处扣0.5分。</w:t>
            </w:r>
          </w:p>
          <w:p w14:paraId="7E2A6234">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5、公园广场内垃圾桶、果皮箱内垃圾及时清掏，无堆积垃圾，无恶臭异味，一处不达标扣1分。</w:t>
            </w:r>
          </w:p>
          <w:p w14:paraId="1C0B6CD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6、绿地区域内无乱贴乱画，乱打乱盖，擅自占用和堆放杂物现象，一次不达标标扣1分。                        7、绿地内护栏、座椅、垃圾桶等设施定期擦洗，干净整洁，未及时擦洗的每处扣0.5分。</w:t>
            </w:r>
          </w:p>
        </w:tc>
        <w:tc>
          <w:tcPr>
            <w:tcW w:w="1192" w:type="pct"/>
            <w:noWrap w:val="0"/>
            <w:vAlign w:val="top"/>
          </w:tcPr>
          <w:p w14:paraId="5F01532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无保洁方案或方案不合格或未按照方案实施的按照1万元处罚，垃圾杂物每次检查5000㎡范围内超过5处的按照100元/处罚款；出现现场垃圾堆积，未及时清理（工完场清）的按照500元/堆进行处罚</w:t>
            </w:r>
          </w:p>
        </w:tc>
        <w:tc>
          <w:tcPr>
            <w:tcW w:w="252" w:type="pct"/>
            <w:noWrap w:val="0"/>
            <w:vAlign w:val="top"/>
          </w:tcPr>
          <w:p w14:paraId="6487AE68">
            <w:pPr>
              <w:shd w:val="clear"/>
              <w:rPr>
                <w:rFonts w:hint="eastAsia" w:ascii="宋体" w:hAnsi="宋体" w:eastAsia="宋体" w:cs="宋体"/>
                <w:color w:val="auto"/>
                <w:sz w:val="21"/>
                <w:szCs w:val="21"/>
                <w:highlight w:val="none"/>
              </w:rPr>
            </w:pPr>
          </w:p>
        </w:tc>
      </w:tr>
      <w:tr w14:paraId="61C91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F5F9F82">
            <w:pPr>
              <w:shd w:val="clear"/>
              <w:rPr>
                <w:rFonts w:hint="eastAsia" w:ascii="宋体" w:hAnsi="宋体" w:eastAsia="宋体" w:cs="宋体"/>
                <w:color w:val="auto"/>
                <w:sz w:val="21"/>
                <w:szCs w:val="21"/>
                <w:highlight w:val="none"/>
              </w:rPr>
            </w:pPr>
          </w:p>
        </w:tc>
        <w:tc>
          <w:tcPr>
            <w:tcW w:w="444" w:type="pct"/>
            <w:vMerge w:val="continue"/>
            <w:noWrap w:val="0"/>
            <w:vAlign w:val="top"/>
          </w:tcPr>
          <w:p w14:paraId="1141C8ED">
            <w:pPr>
              <w:shd w:val="clear"/>
              <w:rPr>
                <w:rFonts w:hint="eastAsia" w:ascii="宋体" w:hAnsi="宋体" w:eastAsia="宋体" w:cs="宋体"/>
                <w:color w:val="auto"/>
                <w:sz w:val="21"/>
                <w:szCs w:val="21"/>
                <w:highlight w:val="none"/>
              </w:rPr>
            </w:pPr>
          </w:p>
        </w:tc>
        <w:tc>
          <w:tcPr>
            <w:tcW w:w="648" w:type="pct"/>
            <w:noWrap w:val="0"/>
            <w:vAlign w:val="center"/>
          </w:tcPr>
          <w:p w14:paraId="6051D267">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绿化带灌溉工作</w:t>
            </w:r>
          </w:p>
        </w:tc>
        <w:tc>
          <w:tcPr>
            <w:tcW w:w="2158" w:type="pct"/>
            <w:noWrap w:val="0"/>
            <w:vAlign w:val="top"/>
          </w:tcPr>
          <w:p w14:paraId="43468C6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1、无浇灌台账、无浇灌实施方案扣10分；</w:t>
            </w:r>
          </w:p>
          <w:p w14:paraId="0349D99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2、绿地要求每年在入冬和开春两季分开开展冬灌和返青两次灌溉工作，同时全年浇灌次数不少于12次。在连续半个月无有效降水的情况下，要开展抗旱工作。因苗木浇水次数不达标而造成苗木死亡每处扣5分；</w:t>
            </w:r>
          </w:p>
          <w:p w14:paraId="2D425CC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3、灌溉车辆在交通高峰期作业的，每车次扣2分。</w:t>
            </w:r>
          </w:p>
          <w:p w14:paraId="5F0FA98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4、道路绿地每半月对绿植进行一次冲洗，未实施每次扣5分。</w:t>
            </w:r>
          </w:p>
        </w:tc>
        <w:tc>
          <w:tcPr>
            <w:tcW w:w="1192" w:type="pct"/>
            <w:noWrap w:val="0"/>
            <w:vAlign w:val="top"/>
          </w:tcPr>
          <w:p w14:paraId="0010707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无浇灌方案或方案不合格的按照1万元扣除，未实施或绿地干旱验收不合格的绿地按照0.3元/㎡/次进行扣款</w:t>
            </w:r>
          </w:p>
        </w:tc>
        <w:tc>
          <w:tcPr>
            <w:tcW w:w="252" w:type="pct"/>
            <w:noWrap w:val="0"/>
            <w:vAlign w:val="top"/>
          </w:tcPr>
          <w:p w14:paraId="675053AE">
            <w:pPr>
              <w:shd w:val="clear"/>
              <w:rPr>
                <w:rFonts w:hint="eastAsia" w:ascii="宋体" w:hAnsi="宋体" w:eastAsia="宋体" w:cs="宋体"/>
                <w:color w:val="auto"/>
                <w:sz w:val="21"/>
                <w:szCs w:val="21"/>
                <w:highlight w:val="none"/>
              </w:rPr>
            </w:pPr>
          </w:p>
        </w:tc>
      </w:tr>
      <w:tr w14:paraId="1E544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2A1926D3">
            <w:pPr>
              <w:shd w:val="clear"/>
              <w:rPr>
                <w:rFonts w:hint="eastAsia" w:ascii="宋体" w:hAnsi="宋体" w:eastAsia="宋体" w:cs="宋体"/>
                <w:color w:val="auto"/>
                <w:sz w:val="21"/>
                <w:szCs w:val="21"/>
                <w:highlight w:val="none"/>
              </w:rPr>
            </w:pPr>
          </w:p>
        </w:tc>
        <w:tc>
          <w:tcPr>
            <w:tcW w:w="444" w:type="pct"/>
            <w:vMerge w:val="continue"/>
            <w:noWrap w:val="0"/>
            <w:vAlign w:val="top"/>
          </w:tcPr>
          <w:p w14:paraId="4A88B4EE">
            <w:pPr>
              <w:shd w:val="clear"/>
              <w:rPr>
                <w:rFonts w:hint="eastAsia" w:ascii="宋体" w:hAnsi="宋体" w:eastAsia="宋体" w:cs="宋体"/>
                <w:color w:val="auto"/>
                <w:sz w:val="21"/>
                <w:szCs w:val="21"/>
                <w:highlight w:val="none"/>
              </w:rPr>
            </w:pPr>
          </w:p>
        </w:tc>
        <w:tc>
          <w:tcPr>
            <w:tcW w:w="648" w:type="pct"/>
            <w:noWrap w:val="0"/>
            <w:vAlign w:val="center"/>
          </w:tcPr>
          <w:p w14:paraId="3BC42E1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苗木整形修剪、绿地乔木及行道树管理</w:t>
            </w:r>
          </w:p>
        </w:tc>
        <w:tc>
          <w:tcPr>
            <w:tcW w:w="2158" w:type="pct"/>
            <w:noWrap w:val="0"/>
            <w:vAlign w:val="top"/>
          </w:tcPr>
          <w:p w14:paraId="5FF7749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1、无修剪实施方案、无修剪台账扣10分；</w:t>
            </w:r>
          </w:p>
          <w:p w14:paraId="73691FC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草坪、绿篱春冬季每月修剪一次，夏秋季每半月修剪一次，草坪高度冷季型不得超过8㎝（暖季型不得超过5㎝），绿篱不得高前期修剪高度5㎝；落叶乔木每两个月修剪一次；常绿乔木每半年修剪一次；花灌木春冬季每季度修剪一次、夏秋季每季度修剪二次；未按以上规定作业的，每平米（每株）扣1分；</w:t>
            </w:r>
          </w:p>
          <w:p w14:paraId="5692418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3、乔木枝叶疯长、灌木杂生乱长、造型无形，导致视线不通透、植物外形不美甚至制约苗木正常生长的每处扣2分。遮挡交通信号灯与交通标识牌的苗木未及时修剪的，每处扣2分；</w:t>
            </w:r>
          </w:p>
          <w:p w14:paraId="6A0467C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4、行道树乱贴乱挂，新栽行道树上草绳、保护被、塑料膜去除不及时，每处扣1分；</w:t>
            </w:r>
          </w:p>
          <w:p w14:paraId="02675E3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5、支撑设施杂乱无章，不够规范统一的每处扣1分；</w:t>
            </w:r>
          </w:p>
        </w:tc>
        <w:tc>
          <w:tcPr>
            <w:tcW w:w="1192" w:type="pct"/>
            <w:noWrap w:val="0"/>
            <w:vAlign w:val="top"/>
          </w:tcPr>
          <w:p w14:paraId="6A16081F">
            <w:pPr>
              <w:shd w:val="clear"/>
              <w:rPr>
                <w:rFonts w:hint="eastAsia" w:ascii="宋体" w:hAnsi="宋体" w:eastAsia="宋体" w:cs="宋体"/>
                <w:color w:val="auto"/>
                <w:sz w:val="21"/>
                <w:szCs w:val="21"/>
                <w:highlight w:val="none"/>
              </w:rPr>
            </w:pPr>
          </w:p>
          <w:p w14:paraId="73E17579">
            <w:pPr>
              <w:shd w:val="clear"/>
              <w:rPr>
                <w:rFonts w:hint="eastAsia" w:ascii="宋体" w:hAnsi="宋体" w:eastAsia="宋体" w:cs="宋体"/>
                <w:color w:val="auto"/>
                <w:sz w:val="21"/>
                <w:szCs w:val="21"/>
                <w:highlight w:val="none"/>
              </w:rPr>
            </w:pPr>
          </w:p>
          <w:p w14:paraId="4220788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无修剪方案或方案不合格的按照1万元处罚，草坪、绿篱修剪不及时或不合格，每平米扣除</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元/㎡；乔木、灌木修剪不及时或不合格，按照</w:t>
            </w:r>
            <w:r>
              <w:rPr>
                <w:rFonts w:hint="eastAsia" w:ascii="宋体" w:hAnsi="宋体" w:eastAsia="宋体" w:cs="宋体"/>
                <w:color w:val="auto"/>
                <w:sz w:val="21"/>
                <w:szCs w:val="21"/>
                <w:highlight w:val="none"/>
                <w:lang w:val="en-US" w:eastAsia="zh-CN"/>
              </w:rPr>
              <w:t>200</w:t>
            </w:r>
            <w:r>
              <w:rPr>
                <w:rFonts w:hint="eastAsia" w:ascii="宋体" w:hAnsi="宋体" w:eastAsia="宋体" w:cs="宋体"/>
                <w:color w:val="auto"/>
                <w:sz w:val="21"/>
                <w:szCs w:val="21"/>
                <w:highlight w:val="none"/>
              </w:rPr>
              <w:t>元/株进行处罚。</w:t>
            </w:r>
          </w:p>
        </w:tc>
        <w:tc>
          <w:tcPr>
            <w:tcW w:w="252" w:type="pct"/>
            <w:noWrap w:val="0"/>
            <w:vAlign w:val="top"/>
          </w:tcPr>
          <w:p w14:paraId="5C8262C1">
            <w:pPr>
              <w:shd w:val="clear"/>
              <w:rPr>
                <w:rFonts w:hint="eastAsia" w:ascii="宋体" w:hAnsi="宋体" w:eastAsia="宋体" w:cs="宋体"/>
                <w:color w:val="auto"/>
                <w:sz w:val="21"/>
                <w:szCs w:val="21"/>
                <w:highlight w:val="none"/>
              </w:rPr>
            </w:pPr>
          </w:p>
        </w:tc>
      </w:tr>
      <w:tr w14:paraId="7456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0D04EE10">
            <w:pPr>
              <w:shd w:val="clear"/>
              <w:rPr>
                <w:rFonts w:hint="eastAsia" w:ascii="宋体" w:hAnsi="宋体" w:eastAsia="宋体" w:cs="宋体"/>
                <w:color w:val="auto"/>
                <w:sz w:val="21"/>
                <w:szCs w:val="21"/>
                <w:highlight w:val="none"/>
              </w:rPr>
            </w:pPr>
          </w:p>
        </w:tc>
        <w:tc>
          <w:tcPr>
            <w:tcW w:w="444" w:type="pct"/>
            <w:vMerge w:val="continue"/>
            <w:noWrap w:val="0"/>
            <w:vAlign w:val="top"/>
          </w:tcPr>
          <w:p w14:paraId="1631E56B">
            <w:pPr>
              <w:shd w:val="clear"/>
              <w:rPr>
                <w:rFonts w:hint="eastAsia" w:ascii="宋体" w:hAnsi="宋体" w:eastAsia="宋体" w:cs="宋体"/>
                <w:color w:val="auto"/>
                <w:sz w:val="21"/>
                <w:szCs w:val="21"/>
                <w:highlight w:val="none"/>
              </w:rPr>
            </w:pPr>
          </w:p>
        </w:tc>
        <w:tc>
          <w:tcPr>
            <w:tcW w:w="648" w:type="pct"/>
            <w:noWrap w:val="0"/>
            <w:vAlign w:val="center"/>
          </w:tcPr>
          <w:p w14:paraId="30B55EE1">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树木扶正</w:t>
            </w:r>
          </w:p>
        </w:tc>
        <w:tc>
          <w:tcPr>
            <w:tcW w:w="2158" w:type="pct"/>
            <w:noWrap w:val="0"/>
            <w:vAlign w:val="top"/>
          </w:tcPr>
          <w:p w14:paraId="0BD773A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树木歪斜未及时扶正的扣2分</w:t>
            </w:r>
          </w:p>
        </w:tc>
        <w:tc>
          <w:tcPr>
            <w:tcW w:w="1192" w:type="pct"/>
            <w:noWrap w:val="0"/>
            <w:vAlign w:val="top"/>
          </w:tcPr>
          <w:p w14:paraId="2B1F140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无方案或方案不合格的按照1万元/次扣除，苗木不正未在上一个绿化季扶正的</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00元/株进行扣除；遇极端天气或应急需要未按时限扶正的3000元/次扣除</w:t>
            </w:r>
          </w:p>
        </w:tc>
        <w:tc>
          <w:tcPr>
            <w:tcW w:w="252" w:type="pct"/>
            <w:noWrap w:val="0"/>
            <w:vAlign w:val="top"/>
          </w:tcPr>
          <w:p w14:paraId="5A987A46">
            <w:pPr>
              <w:shd w:val="clear"/>
              <w:rPr>
                <w:rFonts w:hint="eastAsia" w:ascii="宋体" w:hAnsi="宋体" w:eastAsia="宋体" w:cs="宋体"/>
                <w:color w:val="auto"/>
                <w:sz w:val="21"/>
                <w:szCs w:val="21"/>
                <w:highlight w:val="none"/>
              </w:rPr>
            </w:pPr>
          </w:p>
        </w:tc>
      </w:tr>
      <w:tr w14:paraId="208E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36075473">
            <w:pPr>
              <w:shd w:val="clear"/>
              <w:rPr>
                <w:rFonts w:hint="eastAsia" w:ascii="宋体" w:hAnsi="宋体" w:eastAsia="宋体" w:cs="宋体"/>
                <w:color w:val="auto"/>
                <w:sz w:val="21"/>
                <w:szCs w:val="21"/>
                <w:highlight w:val="none"/>
              </w:rPr>
            </w:pPr>
          </w:p>
        </w:tc>
        <w:tc>
          <w:tcPr>
            <w:tcW w:w="444" w:type="pct"/>
            <w:vMerge w:val="continue"/>
            <w:noWrap w:val="0"/>
            <w:vAlign w:val="top"/>
          </w:tcPr>
          <w:p w14:paraId="67CFE826">
            <w:pPr>
              <w:shd w:val="clear"/>
              <w:rPr>
                <w:rFonts w:hint="eastAsia" w:ascii="宋体" w:hAnsi="宋体" w:eastAsia="宋体" w:cs="宋体"/>
                <w:color w:val="auto"/>
                <w:sz w:val="21"/>
                <w:szCs w:val="21"/>
                <w:highlight w:val="none"/>
              </w:rPr>
            </w:pPr>
          </w:p>
        </w:tc>
        <w:tc>
          <w:tcPr>
            <w:tcW w:w="648" w:type="pct"/>
            <w:noWrap w:val="0"/>
            <w:vAlign w:val="center"/>
          </w:tcPr>
          <w:p w14:paraId="5534E01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苗木补栽</w:t>
            </w:r>
          </w:p>
        </w:tc>
        <w:tc>
          <w:tcPr>
            <w:tcW w:w="2158" w:type="pct"/>
            <w:noWrap w:val="0"/>
            <w:vAlign w:val="top"/>
          </w:tcPr>
          <w:p w14:paraId="2D4ACD2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1、每年的春、秋两季组织两次苗木补栽工作，确保行道树无缺株，绿篱无断垄及斑秃现象。行道树和绿篱有缺株或断垄的，每处扣1分。</w:t>
            </w:r>
          </w:p>
          <w:p w14:paraId="583DE58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2、草坪管理维护不精细，造成斑秃的每㎡扣2分。</w:t>
            </w:r>
          </w:p>
          <w:p w14:paraId="7F9D57C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3、无修剪台账、无修剪实施方案扣10分；</w:t>
            </w:r>
          </w:p>
        </w:tc>
        <w:tc>
          <w:tcPr>
            <w:tcW w:w="1192" w:type="pct"/>
            <w:noWrap w:val="0"/>
            <w:vAlign w:val="top"/>
          </w:tcPr>
          <w:p w14:paraId="0C72A82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无方案的或方案不合格的按照1万元/次扣除，乔木、灌木按照3000元/株进行扣款，绿篱按照3000元/㎡进行扣款，地被、草坪按照500元/㎡进行扣款</w:t>
            </w:r>
          </w:p>
        </w:tc>
        <w:tc>
          <w:tcPr>
            <w:tcW w:w="252" w:type="pct"/>
            <w:noWrap w:val="0"/>
            <w:vAlign w:val="top"/>
          </w:tcPr>
          <w:p w14:paraId="7A7721A7">
            <w:pPr>
              <w:shd w:val="clear"/>
              <w:rPr>
                <w:rFonts w:hint="eastAsia" w:ascii="宋体" w:hAnsi="宋体" w:eastAsia="宋体" w:cs="宋体"/>
                <w:color w:val="auto"/>
                <w:sz w:val="21"/>
                <w:szCs w:val="21"/>
                <w:highlight w:val="none"/>
              </w:rPr>
            </w:pPr>
          </w:p>
        </w:tc>
      </w:tr>
      <w:tr w14:paraId="5141D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5176CA34">
            <w:pPr>
              <w:shd w:val="clear"/>
              <w:rPr>
                <w:rFonts w:hint="eastAsia" w:ascii="宋体" w:hAnsi="宋体" w:eastAsia="宋体" w:cs="宋体"/>
                <w:color w:val="auto"/>
                <w:sz w:val="21"/>
                <w:szCs w:val="21"/>
                <w:highlight w:val="none"/>
              </w:rPr>
            </w:pPr>
          </w:p>
        </w:tc>
        <w:tc>
          <w:tcPr>
            <w:tcW w:w="444" w:type="pct"/>
            <w:vMerge w:val="continue"/>
            <w:noWrap w:val="0"/>
            <w:vAlign w:val="top"/>
          </w:tcPr>
          <w:p w14:paraId="110D8B43">
            <w:pPr>
              <w:shd w:val="clear"/>
              <w:rPr>
                <w:rFonts w:hint="eastAsia" w:ascii="宋体" w:hAnsi="宋体" w:eastAsia="宋体" w:cs="宋体"/>
                <w:color w:val="auto"/>
                <w:sz w:val="21"/>
                <w:szCs w:val="21"/>
                <w:highlight w:val="none"/>
              </w:rPr>
            </w:pPr>
          </w:p>
        </w:tc>
        <w:tc>
          <w:tcPr>
            <w:tcW w:w="648" w:type="pct"/>
            <w:noWrap w:val="0"/>
            <w:vAlign w:val="center"/>
          </w:tcPr>
          <w:p w14:paraId="137DE481">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施肥</w:t>
            </w:r>
          </w:p>
        </w:tc>
        <w:tc>
          <w:tcPr>
            <w:tcW w:w="2158" w:type="pct"/>
            <w:noWrap w:val="0"/>
            <w:vAlign w:val="top"/>
          </w:tcPr>
          <w:p w14:paraId="3C0F679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无施肥方案、无完整台账扣5分；未按照方案实施扣5分；未及时组织人员施肥每次扣3分；无台账扣3分；</w:t>
            </w:r>
          </w:p>
        </w:tc>
        <w:tc>
          <w:tcPr>
            <w:tcW w:w="1192" w:type="pct"/>
            <w:noWrap w:val="0"/>
            <w:vAlign w:val="top"/>
          </w:tcPr>
          <w:p w14:paraId="46E48CF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无方案或方案不合格的按照1万元扣除，未实施或验收不合格的乔木、灌木等按照</w:t>
            </w: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元/株进行扣款</w:t>
            </w:r>
          </w:p>
        </w:tc>
        <w:tc>
          <w:tcPr>
            <w:tcW w:w="252" w:type="pct"/>
            <w:noWrap w:val="0"/>
            <w:vAlign w:val="top"/>
          </w:tcPr>
          <w:p w14:paraId="43A3AB5D">
            <w:pPr>
              <w:shd w:val="clear"/>
              <w:rPr>
                <w:rFonts w:hint="eastAsia" w:ascii="宋体" w:hAnsi="宋体" w:eastAsia="宋体" w:cs="宋体"/>
                <w:color w:val="auto"/>
                <w:sz w:val="21"/>
                <w:szCs w:val="21"/>
                <w:highlight w:val="none"/>
              </w:rPr>
            </w:pPr>
          </w:p>
        </w:tc>
      </w:tr>
      <w:tr w14:paraId="4C5E8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E711A03">
            <w:pPr>
              <w:shd w:val="clear"/>
              <w:rPr>
                <w:rFonts w:hint="eastAsia" w:ascii="宋体" w:hAnsi="宋体" w:eastAsia="宋体" w:cs="宋体"/>
                <w:color w:val="auto"/>
                <w:sz w:val="21"/>
                <w:szCs w:val="21"/>
                <w:highlight w:val="none"/>
              </w:rPr>
            </w:pPr>
          </w:p>
        </w:tc>
        <w:tc>
          <w:tcPr>
            <w:tcW w:w="444" w:type="pct"/>
            <w:vMerge w:val="continue"/>
            <w:noWrap w:val="0"/>
            <w:vAlign w:val="top"/>
          </w:tcPr>
          <w:p w14:paraId="41046A1F">
            <w:pPr>
              <w:shd w:val="clear"/>
              <w:rPr>
                <w:rFonts w:hint="eastAsia" w:ascii="宋体" w:hAnsi="宋体" w:eastAsia="宋体" w:cs="宋体"/>
                <w:color w:val="auto"/>
                <w:sz w:val="21"/>
                <w:szCs w:val="21"/>
                <w:highlight w:val="none"/>
              </w:rPr>
            </w:pPr>
          </w:p>
        </w:tc>
        <w:tc>
          <w:tcPr>
            <w:tcW w:w="648" w:type="pct"/>
            <w:noWrap w:val="0"/>
            <w:vAlign w:val="center"/>
          </w:tcPr>
          <w:p w14:paraId="25717AE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病虫害防治</w:t>
            </w:r>
          </w:p>
        </w:tc>
        <w:tc>
          <w:tcPr>
            <w:tcW w:w="2158" w:type="pct"/>
            <w:noWrap w:val="0"/>
            <w:vAlign w:val="top"/>
          </w:tcPr>
          <w:p w14:paraId="6B0D1BB1">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1、根据园林植物病虫害预测、预报信息，做好预案，以防为主、防治结合，做好病虫害的防治工作。没有病虫害防治预案的扣5分，未按照方案实施扣5分；无台账扣3分；</w:t>
            </w:r>
          </w:p>
          <w:p w14:paraId="7845827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2、出现病虫害未及时处理的扣10分。</w:t>
            </w:r>
          </w:p>
        </w:tc>
        <w:tc>
          <w:tcPr>
            <w:tcW w:w="1192" w:type="pct"/>
            <w:noWrap w:val="0"/>
            <w:vAlign w:val="top"/>
          </w:tcPr>
          <w:p w14:paraId="2DAB810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无方案的或方案不合格的按照1万元扣除，防治不到位或未实施的，乔木、灌木按照3元/株进行扣款，绿篱、地被、草坪按照0.3元/㎡进行扣款</w:t>
            </w:r>
          </w:p>
        </w:tc>
        <w:tc>
          <w:tcPr>
            <w:tcW w:w="252" w:type="pct"/>
            <w:noWrap w:val="0"/>
            <w:vAlign w:val="top"/>
          </w:tcPr>
          <w:p w14:paraId="5FD87B11">
            <w:pPr>
              <w:shd w:val="clear"/>
              <w:rPr>
                <w:rFonts w:hint="eastAsia" w:ascii="宋体" w:hAnsi="宋体" w:eastAsia="宋体" w:cs="宋体"/>
                <w:color w:val="auto"/>
                <w:sz w:val="21"/>
                <w:szCs w:val="21"/>
                <w:highlight w:val="none"/>
              </w:rPr>
            </w:pPr>
          </w:p>
        </w:tc>
      </w:tr>
      <w:tr w14:paraId="11915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7A415177">
            <w:pPr>
              <w:shd w:val="clear"/>
              <w:rPr>
                <w:rFonts w:hint="eastAsia" w:ascii="宋体" w:hAnsi="宋体" w:eastAsia="宋体" w:cs="宋体"/>
                <w:color w:val="auto"/>
                <w:sz w:val="21"/>
                <w:szCs w:val="21"/>
                <w:highlight w:val="none"/>
              </w:rPr>
            </w:pPr>
          </w:p>
        </w:tc>
        <w:tc>
          <w:tcPr>
            <w:tcW w:w="444" w:type="pct"/>
            <w:vMerge w:val="continue"/>
            <w:noWrap w:val="0"/>
            <w:vAlign w:val="top"/>
          </w:tcPr>
          <w:p w14:paraId="0066C1AD">
            <w:pPr>
              <w:shd w:val="clear"/>
              <w:rPr>
                <w:rFonts w:hint="eastAsia" w:ascii="宋体" w:hAnsi="宋体" w:eastAsia="宋体" w:cs="宋体"/>
                <w:color w:val="auto"/>
                <w:sz w:val="21"/>
                <w:szCs w:val="21"/>
                <w:highlight w:val="none"/>
              </w:rPr>
            </w:pPr>
          </w:p>
        </w:tc>
        <w:tc>
          <w:tcPr>
            <w:tcW w:w="648" w:type="pct"/>
            <w:noWrap w:val="0"/>
            <w:vAlign w:val="center"/>
          </w:tcPr>
          <w:p w14:paraId="57516B06">
            <w:pPr>
              <w:shd w:val="clear"/>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rPr>
              <w:t>除杂、松土</w:t>
            </w:r>
          </w:p>
        </w:tc>
        <w:tc>
          <w:tcPr>
            <w:tcW w:w="2158" w:type="pct"/>
            <w:noWrap w:val="0"/>
            <w:vAlign w:val="top"/>
          </w:tcPr>
          <w:p w14:paraId="0D0CEA2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未及时编制除杂、松土方案，扣5分，现场土地板结未松土的按照2分/处标准进行扣分。</w:t>
            </w:r>
          </w:p>
        </w:tc>
        <w:tc>
          <w:tcPr>
            <w:tcW w:w="1192" w:type="pct"/>
            <w:noWrap w:val="0"/>
            <w:vAlign w:val="top"/>
          </w:tcPr>
          <w:p w14:paraId="024F041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无方案或方案不合格的按照1万元扣除，未实施或验收不合格的按照0.3元/㎡/次进行扣款</w:t>
            </w:r>
          </w:p>
        </w:tc>
        <w:tc>
          <w:tcPr>
            <w:tcW w:w="252" w:type="pct"/>
            <w:noWrap w:val="0"/>
            <w:vAlign w:val="top"/>
          </w:tcPr>
          <w:p w14:paraId="7FB828C5">
            <w:pPr>
              <w:shd w:val="clear"/>
              <w:rPr>
                <w:rFonts w:hint="eastAsia" w:ascii="宋体" w:hAnsi="宋体" w:eastAsia="宋体" w:cs="宋体"/>
                <w:color w:val="auto"/>
                <w:sz w:val="21"/>
                <w:szCs w:val="21"/>
                <w:highlight w:val="none"/>
              </w:rPr>
            </w:pPr>
          </w:p>
        </w:tc>
      </w:tr>
      <w:tr w14:paraId="752C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3A741FE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44" w:type="pct"/>
            <w:vMerge w:val="restart"/>
            <w:noWrap w:val="0"/>
            <w:vAlign w:val="center"/>
          </w:tcPr>
          <w:p w14:paraId="0637FC8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设施维护管理（20分）</w:t>
            </w:r>
          </w:p>
        </w:tc>
        <w:tc>
          <w:tcPr>
            <w:tcW w:w="648" w:type="pct"/>
            <w:noWrap w:val="0"/>
            <w:vAlign w:val="center"/>
          </w:tcPr>
          <w:p w14:paraId="292A7F5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城市景观喷泉和绿化景观亮化设施管理工作</w:t>
            </w:r>
          </w:p>
        </w:tc>
        <w:tc>
          <w:tcPr>
            <w:tcW w:w="2158" w:type="pct"/>
            <w:noWrap w:val="0"/>
            <w:vAlign w:val="top"/>
          </w:tcPr>
          <w:p w14:paraId="6BC00B76">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果皮箱、护栏、道牙、井盖、花基、园路及广场地面等设施维护良好，破损处及时维修或更换，发现问题未及时处理的一处扣1分。</w:t>
            </w:r>
          </w:p>
          <w:p w14:paraId="71328076">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2、各类标识牌、护栏、树池花池、亭廊、花架、景石、桌椅、灯饰、园林小品等设施按规定设置和使用，保持完好、整洁，损毁、缺失处及时维修或更换，发现问题未及时处理的一处扣1分。</w:t>
            </w:r>
          </w:p>
          <w:p w14:paraId="082A2A90">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3、公园内儿童游乐设施、健身器材定期巡检，发现问题及时上报、处理，对不能及时处理的进行封闭、警示，未及时上报、处理、警示的发现一处扣2分。</w:t>
            </w:r>
          </w:p>
          <w:p w14:paraId="3756DD61">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4、绿化养护设施(喷灌设施等)完好，定期检查和维修保养，同时建立.台账，记录不完善的发现一次扣1分。</w:t>
            </w:r>
          </w:p>
        </w:tc>
        <w:tc>
          <w:tcPr>
            <w:tcW w:w="1192" w:type="pct"/>
            <w:vMerge w:val="restart"/>
            <w:noWrap w:val="0"/>
            <w:vAlign w:val="top"/>
          </w:tcPr>
          <w:p w14:paraId="1ECCCDFC">
            <w:pPr>
              <w:shd w:val="clear"/>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定期开展设施排查维修工作，未进行排查的问题每处扣500元，未按要求维护的每处扣除1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00元；</w:t>
            </w:r>
            <w:r>
              <w:rPr>
                <w:rFonts w:hint="eastAsia" w:ascii="宋体" w:hAnsi="宋体" w:eastAsia="宋体" w:cs="宋体"/>
                <w:color w:val="auto"/>
                <w:sz w:val="21"/>
                <w:szCs w:val="21"/>
                <w:highlight w:val="none"/>
                <w:lang w:val="en-US" w:eastAsia="zh-CN"/>
              </w:rPr>
              <w:t>因未及时维修造成安全事故的承担相应责任。</w:t>
            </w:r>
          </w:p>
        </w:tc>
        <w:tc>
          <w:tcPr>
            <w:tcW w:w="252" w:type="pct"/>
            <w:noWrap w:val="0"/>
            <w:vAlign w:val="top"/>
          </w:tcPr>
          <w:p w14:paraId="2D5E74EE">
            <w:pPr>
              <w:shd w:val="clear"/>
              <w:rPr>
                <w:rFonts w:hint="eastAsia" w:ascii="宋体" w:hAnsi="宋体" w:eastAsia="宋体" w:cs="宋体"/>
                <w:color w:val="auto"/>
                <w:sz w:val="21"/>
                <w:szCs w:val="21"/>
                <w:highlight w:val="none"/>
              </w:rPr>
            </w:pPr>
          </w:p>
        </w:tc>
      </w:tr>
      <w:tr w14:paraId="2E75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30BB06DE">
            <w:pPr>
              <w:shd w:val="clear"/>
              <w:rPr>
                <w:rFonts w:hint="eastAsia" w:ascii="宋体" w:hAnsi="宋体" w:eastAsia="宋体" w:cs="宋体"/>
                <w:color w:val="auto"/>
                <w:sz w:val="21"/>
                <w:szCs w:val="21"/>
                <w:highlight w:val="none"/>
              </w:rPr>
            </w:pPr>
          </w:p>
        </w:tc>
        <w:tc>
          <w:tcPr>
            <w:tcW w:w="444" w:type="pct"/>
            <w:vMerge w:val="continue"/>
            <w:noWrap w:val="0"/>
            <w:vAlign w:val="top"/>
          </w:tcPr>
          <w:p w14:paraId="4C2ECE93">
            <w:pPr>
              <w:shd w:val="clear"/>
              <w:rPr>
                <w:rFonts w:hint="eastAsia" w:ascii="宋体" w:hAnsi="宋体" w:eastAsia="宋体" w:cs="宋体"/>
                <w:color w:val="auto"/>
                <w:sz w:val="21"/>
                <w:szCs w:val="21"/>
                <w:highlight w:val="none"/>
              </w:rPr>
            </w:pPr>
          </w:p>
        </w:tc>
        <w:tc>
          <w:tcPr>
            <w:tcW w:w="648" w:type="pct"/>
            <w:noWrap w:val="0"/>
            <w:vAlign w:val="center"/>
          </w:tcPr>
          <w:p w14:paraId="1E3A007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绿化护栏维修及绿地冲洗</w:t>
            </w:r>
          </w:p>
        </w:tc>
        <w:tc>
          <w:tcPr>
            <w:tcW w:w="2158" w:type="pct"/>
            <w:noWrap w:val="0"/>
            <w:vAlign w:val="top"/>
          </w:tcPr>
          <w:p w14:paraId="78EB8E8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1、绿化带护栏每周擦洗一次，每半月维护整修一次，遇重大节日和重大活动时，重点进行擦洗整修，保持护栏整洁美观。未按规定擦洗，每米扣1分（不足1米按1米计算）；破损未及时维修每处扣2分。</w:t>
            </w:r>
          </w:p>
          <w:p w14:paraId="686BE5F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2、每次降雨后，绿化带护栏必须在一天内清洗完毕。未在规定时间完成任务的，每条道路扣5分；</w:t>
            </w:r>
          </w:p>
          <w:p w14:paraId="34F04E5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3、持续半个月无有效降水，要及时进行绿化带大冲洗，冲洗时间为晚22:00至次日7:00。每轮冲洗，必须在三天内完成所有管理道路的绿化带冲洗任务。未能按要求完成大冲洗的，每条路段扣3分。</w:t>
            </w:r>
          </w:p>
        </w:tc>
        <w:tc>
          <w:tcPr>
            <w:tcW w:w="1192" w:type="pct"/>
            <w:vMerge w:val="continue"/>
            <w:noWrap w:val="0"/>
            <w:vAlign w:val="top"/>
          </w:tcPr>
          <w:p w14:paraId="75350D4F">
            <w:pPr>
              <w:shd w:val="clear"/>
              <w:jc w:val="left"/>
              <w:rPr>
                <w:rFonts w:hint="eastAsia" w:ascii="宋体" w:hAnsi="宋体" w:eastAsia="宋体" w:cs="宋体"/>
                <w:color w:val="auto"/>
                <w:sz w:val="21"/>
                <w:szCs w:val="21"/>
                <w:highlight w:val="none"/>
              </w:rPr>
            </w:pPr>
          </w:p>
        </w:tc>
        <w:tc>
          <w:tcPr>
            <w:tcW w:w="252" w:type="pct"/>
            <w:noWrap w:val="0"/>
            <w:vAlign w:val="top"/>
          </w:tcPr>
          <w:p w14:paraId="53860B1D">
            <w:pPr>
              <w:shd w:val="clear"/>
              <w:rPr>
                <w:rFonts w:hint="eastAsia" w:ascii="宋体" w:hAnsi="宋体" w:eastAsia="宋体" w:cs="宋体"/>
                <w:color w:val="auto"/>
                <w:sz w:val="21"/>
                <w:szCs w:val="21"/>
                <w:highlight w:val="none"/>
              </w:rPr>
            </w:pPr>
          </w:p>
        </w:tc>
      </w:tr>
      <w:tr w14:paraId="1C468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58658D0C">
            <w:pPr>
              <w:shd w:val="clear"/>
              <w:rPr>
                <w:rFonts w:hint="eastAsia" w:ascii="宋体" w:hAnsi="宋体" w:eastAsia="宋体" w:cs="宋体"/>
                <w:color w:val="auto"/>
                <w:sz w:val="21"/>
                <w:szCs w:val="21"/>
                <w:highlight w:val="none"/>
              </w:rPr>
            </w:pPr>
          </w:p>
        </w:tc>
        <w:tc>
          <w:tcPr>
            <w:tcW w:w="444" w:type="pct"/>
            <w:vMerge w:val="continue"/>
            <w:noWrap w:val="0"/>
            <w:vAlign w:val="top"/>
          </w:tcPr>
          <w:p w14:paraId="4FE54B18">
            <w:pPr>
              <w:shd w:val="clear"/>
              <w:rPr>
                <w:rFonts w:hint="eastAsia" w:ascii="宋体" w:hAnsi="宋体" w:eastAsia="宋体" w:cs="宋体"/>
                <w:color w:val="auto"/>
                <w:sz w:val="21"/>
                <w:szCs w:val="21"/>
                <w:highlight w:val="none"/>
              </w:rPr>
            </w:pPr>
          </w:p>
        </w:tc>
        <w:tc>
          <w:tcPr>
            <w:tcW w:w="648" w:type="pct"/>
            <w:noWrap w:val="0"/>
            <w:vAlign w:val="center"/>
          </w:tcPr>
          <w:p w14:paraId="22510EB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绿地巡查</w:t>
            </w:r>
          </w:p>
        </w:tc>
        <w:tc>
          <w:tcPr>
            <w:tcW w:w="2158" w:type="pct"/>
            <w:noWrap w:val="0"/>
            <w:vAlign w:val="top"/>
          </w:tcPr>
          <w:p w14:paraId="3EF5948E">
            <w:pPr>
              <w:numPr>
                <w:ilvl w:val="0"/>
                <w:numId w:val="2"/>
              </w:num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绿化单位加强巡查，做好日常巡查记录，发现问题及时处理。发现违规占用绿地或非法破坏绿地的情况要及时阻止并上报，随后将情况书面报送生态环境局，进行处理，未建立巡查记录的扣10分，未及时发现违规占用或非法破坏绿地的扣10分。</w:t>
            </w:r>
          </w:p>
          <w:p w14:paraId="52595085">
            <w:pPr>
              <w:numPr>
                <w:ilvl w:val="0"/>
                <w:numId w:val="2"/>
              </w:num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每12-15万㎡配备一名秩序维护人员，秩序维护人员应统一着装，仪容整洁，文明用语。及时制止和劝离违规垂钓、野泳、露天烧烤、乱倒垃圾、摆摊叫卖、流动商贩等行为，及时制止围垦河道（绿地）种菜等行为，及时劝导在河边游玩的市民，防范溺水，制止机动车辆进入绿道。未配备的没缺1人扣除5分。</w:t>
            </w:r>
          </w:p>
        </w:tc>
        <w:tc>
          <w:tcPr>
            <w:tcW w:w="1192" w:type="pct"/>
            <w:noWrap w:val="0"/>
            <w:vAlign w:val="top"/>
          </w:tcPr>
          <w:p w14:paraId="296AE88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未建立巡查记录的每月扣除3000元，违规占用、破坏绿地未及时发现的每处扣款</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000元。</w:t>
            </w:r>
          </w:p>
        </w:tc>
        <w:tc>
          <w:tcPr>
            <w:tcW w:w="252" w:type="pct"/>
            <w:noWrap w:val="0"/>
            <w:vAlign w:val="top"/>
          </w:tcPr>
          <w:p w14:paraId="317805BD">
            <w:pPr>
              <w:shd w:val="clear"/>
              <w:rPr>
                <w:rFonts w:hint="eastAsia" w:ascii="宋体" w:hAnsi="宋体" w:eastAsia="宋体" w:cs="宋体"/>
                <w:color w:val="auto"/>
                <w:sz w:val="21"/>
                <w:szCs w:val="21"/>
                <w:highlight w:val="none"/>
              </w:rPr>
            </w:pPr>
          </w:p>
        </w:tc>
      </w:tr>
      <w:tr w14:paraId="6C981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39F4545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44" w:type="pct"/>
            <w:vMerge w:val="restart"/>
            <w:noWrap w:val="0"/>
            <w:vAlign w:val="center"/>
          </w:tcPr>
          <w:p w14:paraId="0D28321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其他（30分）</w:t>
            </w:r>
          </w:p>
        </w:tc>
        <w:tc>
          <w:tcPr>
            <w:tcW w:w="648" w:type="pct"/>
            <w:noWrap w:val="0"/>
            <w:vAlign w:val="center"/>
          </w:tcPr>
          <w:p w14:paraId="2EF8570B">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安全管理</w:t>
            </w:r>
          </w:p>
        </w:tc>
        <w:tc>
          <w:tcPr>
            <w:tcW w:w="2158" w:type="pct"/>
            <w:noWrap w:val="0"/>
            <w:vAlign w:val="top"/>
          </w:tcPr>
          <w:p w14:paraId="3F0FC70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1、养护工人及驾驶员上岗作业时，身体状况良好，无带病或疲劳作业；未达到发现一次扣2分；</w:t>
            </w:r>
          </w:p>
          <w:p w14:paraId="080E5A8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2、车体整洁完好，保养维护及时，驾驶员遵守交通规则，安全行驶作业，未达到发现一次扣2分；</w:t>
            </w:r>
          </w:p>
          <w:p w14:paraId="10601D0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3、车辆临时停放整齐，无开车快猛急现象，未达到发现一次扣1分；</w:t>
            </w:r>
          </w:p>
          <w:p w14:paraId="2C11AEE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4、绿化车辆排气排污不达标的每辆扣5分；</w:t>
            </w:r>
          </w:p>
          <w:p w14:paraId="65DE779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管理用房</w:t>
            </w:r>
            <w:r>
              <w:rPr>
                <w:rFonts w:hint="eastAsia" w:ascii="宋体" w:hAnsi="宋体" w:eastAsia="宋体" w:cs="宋体"/>
                <w:color w:val="auto"/>
                <w:sz w:val="21"/>
                <w:szCs w:val="21"/>
                <w:highlight w:val="none"/>
              </w:rPr>
              <w:t>内消防器材到位，线路设置整齐规范，无易燃易爆等危险品存放。未达到每处扣2分；</w:t>
            </w:r>
          </w:p>
          <w:p w14:paraId="20C2262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6、道路及附属绿地养护作业时未按规范要求隔离安全作业区扣2分；</w:t>
            </w:r>
          </w:p>
          <w:p w14:paraId="749E23B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7、绿地内临时用电不规范，存在安全隐患的每处扣2分；</w:t>
            </w:r>
          </w:p>
          <w:p w14:paraId="6E3E46CB">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8、绿地有害生物预防所用农药未按规范管理和使用的扣10分；</w:t>
            </w:r>
          </w:p>
          <w:p w14:paraId="6095B7F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9、未制定安全生产应急预案扣10分；</w:t>
            </w:r>
          </w:p>
          <w:p w14:paraId="07D8B47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10、员工未进行安全培训和应急培训扣10分。</w:t>
            </w:r>
          </w:p>
          <w:p w14:paraId="618299A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11、对遮挡交通指示牌的树枝、苗木清理不及时的每处扣3分。</w:t>
            </w:r>
          </w:p>
        </w:tc>
        <w:tc>
          <w:tcPr>
            <w:tcW w:w="1192" w:type="pct"/>
            <w:noWrap w:val="0"/>
            <w:vAlign w:val="center"/>
          </w:tcPr>
          <w:p w14:paraId="06EDB0E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对管理中存在安全隐患整治不及时的每次扣款罚款1万元，对通报安全问题未按要求整改的每次罚款6万元。</w:t>
            </w:r>
          </w:p>
        </w:tc>
        <w:tc>
          <w:tcPr>
            <w:tcW w:w="252" w:type="pct"/>
            <w:noWrap w:val="0"/>
            <w:vAlign w:val="top"/>
          </w:tcPr>
          <w:p w14:paraId="7264C17D">
            <w:pPr>
              <w:shd w:val="clear"/>
              <w:rPr>
                <w:rFonts w:hint="eastAsia" w:ascii="宋体" w:hAnsi="宋体" w:eastAsia="宋体" w:cs="宋体"/>
                <w:color w:val="auto"/>
                <w:sz w:val="21"/>
                <w:szCs w:val="21"/>
                <w:highlight w:val="none"/>
              </w:rPr>
            </w:pPr>
          </w:p>
        </w:tc>
      </w:tr>
      <w:tr w14:paraId="25A38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F8A6CE4">
            <w:pPr>
              <w:shd w:val="clear"/>
              <w:rPr>
                <w:rFonts w:hint="eastAsia" w:ascii="宋体" w:hAnsi="宋体" w:eastAsia="宋体" w:cs="宋体"/>
                <w:color w:val="auto"/>
                <w:sz w:val="21"/>
                <w:szCs w:val="21"/>
                <w:highlight w:val="none"/>
              </w:rPr>
            </w:pPr>
          </w:p>
        </w:tc>
        <w:tc>
          <w:tcPr>
            <w:tcW w:w="444" w:type="pct"/>
            <w:vMerge w:val="continue"/>
            <w:noWrap w:val="0"/>
            <w:vAlign w:val="top"/>
          </w:tcPr>
          <w:p w14:paraId="0381167C">
            <w:pPr>
              <w:shd w:val="clear"/>
              <w:rPr>
                <w:rFonts w:hint="eastAsia" w:ascii="宋体" w:hAnsi="宋体" w:eastAsia="宋体" w:cs="宋体"/>
                <w:color w:val="auto"/>
                <w:sz w:val="21"/>
                <w:szCs w:val="21"/>
                <w:highlight w:val="none"/>
              </w:rPr>
            </w:pPr>
          </w:p>
        </w:tc>
        <w:tc>
          <w:tcPr>
            <w:tcW w:w="648" w:type="pct"/>
            <w:noWrap w:val="0"/>
            <w:vAlign w:val="center"/>
          </w:tcPr>
          <w:p w14:paraId="515FF8E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管护资料</w:t>
            </w:r>
          </w:p>
        </w:tc>
        <w:tc>
          <w:tcPr>
            <w:tcW w:w="2158" w:type="pct"/>
            <w:noWrap w:val="0"/>
            <w:vAlign w:val="top"/>
          </w:tcPr>
          <w:p w14:paraId="76E3D3D2">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未按照要求上交本周、月、年养护计划、工作总结，未提交一次扣3分；</w:t>
            </w:r>
          </w:p>
          <w:p w14:paraId="704A3917">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未设专人记录养护日志、不认真记录养护日志，发现一次扣2分；</w:t>
            </w:r>
          </w:p>
          <w:p w14:paraId="51F04AEE">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无完整养护技术台账，技术交底资料扣5分；</w:t>
            </w:r>
          </w:p>
          <w:p w14:paraId="77C0C8F2">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无养护台账每次扣10分。</w:t>
            </w:r>
          </w:p>
          <w:p w14:paraId="2FFED1E3">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每月养护单位要对各标段养护情况进行自检工作，无自检报告的每次扣5分</w:t>
            </w:r>
          </w:p>
        </w:tc>
        <w:tc>
          <w:tcPr>
            <w:tcW w:w="1192" w:type="pct"/>
            <w:noWrap w:val="0"/>
            <w:vAlign w:val="top"/>
          </w:tcPr>
          <w:p w14:paraId="1ADAC30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未报送或未按时报送周、月、年计划的一次扣3000元，计划调整两次不合格的一次扣2000元；无养护台账的每次扣除3000元，无养护日志的按照每天100元进行处罚；无自检报告每次扣5000元</w:t>
            </w:r>
          </w:p>
        </w:tc>
        <w:tc>
          <w:tcPr>
            <w:tcW w:w="252" w:type="pct"/>
            <w:noWrap w:val="0"/>
            <w:vAlign w:val="top"/>
          </w:tcPr>
          <w:p w14:paraId="1422BFFA">
            <w:pPr>
              <w:shd w:val="clear"/>
              <w:rPr>
                <w:rFonts w:hint="eastAsia" w:ascii="宋体" w:hAnsi="宋体" w:eastAsia="宋体" w:cs="宋体"/>
                <w:color w:val="auto"/>
                <w:sz w:val="21"/>
                <w:szCs w:val="21"/>
                <w:highlight w:val="none"/>
              </w:rPr>
            </w:pPr>
          </w:p>
        </w:tc>
      </w:tr>
      <w:tr w14:paraId="58B30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FC87B9A">
            <w:pPr>
              <w:shd w:val="clear"/>
              <w:rPr>
                <w:rFonts w:hint="eastAsia" w:ascii="宋体" w:hAnsi="宋体" w:eastAsia="宋体" w:cs="宋体"/>
                <w:color w:val="auto"/>
                <w:sz w:val="21"/>
                <w:szCs w:val="21"/>
                <w:highlight w:val="none"/>
              </w:rPr>
            </w:pPr>
          </w:p>
        </w:tc>
        <w:tc>
          <w:tcPr>
            <w:tcW w:w="444" w:type="pct"/>
            <w:vMerge w:val="continue"/>
            <w:noWrap w:val="0"/>
            <w:vAlign w:val="top"/>
          </w:tcPr>
          <w:p w14:paraId="1B745CF2">
            <w:pPr>
              <w:shd w:val="clear"/>
              <w:rPr>
                <w:rFonts w:hint="eastAsia" w:ascii="宋体" w:hAnsi="宋体" w:eastAsia="宋体" w:cs="宋体"/>
                <w:color w:val="auto"/>
                <w:sz w:val="21"/>
                <w:szCs w:val="21"/>
                <w:highlight w:val="none"/>
              </w:rPr>
            </w:pPr>
          </w:p>
        </w:tc>
        <w:tc>
          <w:tcPr>
            <w:tcW w:w="648" w:type="pct"/>
            <w:noWrap w:val="0"/>
            <w:vAlign w:val="center"/>
          </w:tcPr>
          <w:p w14:paraId="00DEDEE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执行力</w:t>
            </w:r>
          </w:p>
        </w:tc>
        <w:tc>
          <w:tcPr>
            <w:tcW w:w="2158" w:type="pct"/>
            <w:noWrap w:val="0"/>
            <w:vAlign w:val="top"/>
          </w:tcPr>
          <w:p w14:paraId="28886F40">
            <w:pPr>
              <w:widowControl/>
              <w:numPr>
                <w:ilvl w:val="0"/>
                <w:numId w:val="4"/>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群众投诉、媒体披露、领导及上级部门通报问题，整改不到位扣10分；</w:t>
            </w:r>
          </w:p>
          <w:p w14:paraId="377495D9">
            <w:pPr>
              <w:widowControl/>
              <w:numPr>
                <w:ilvl w:val="0"/>
                <w:numId w:val="4"/>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对生态环境局及监理安排的日常工作不能够及时完成、有推诿扯皮现象扣5分。</w:t>
            </w:r>
          </w:p>
          <w:p w14:paraId="6CC13F4B">
            <w:pPr>
              <w:widowControl/>
              <w:numPr>
                <w:ilvl w:val="0"/>
                <w:numId w:val="4"/>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在重大活动、突发事件及其它临时性任务中，不能按时完成任务，扣15分；</w:t>
            </w:r>
          </w:p>
          <w:p w14:paraId="2385065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4、严格遵守市级园林绿化工作相关要求及行业管理规范，未落实或落实不到位每项扣10分。</w:t>
            </w:r>
          </w:p>
        </w:tc>
        <w:tc>
          <w:tcPr>
            <w:tcW w:w="1192" w:type="pct"/>
            <w:noWrap w:val="0"/>
            <w:vAlign w:val="top"/>
          </w:tcPr>
          <w:p w14:paraId="6E9D4B7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建设单位、监理单位下发的指令不予执行或推诿扯皮的按照3000元/次标准进行处罚，被群众投诉、媒体披露、领导及上级部门通报问题，整改不力的按照10000元/次进行扣款；重大活动，项目经理现场未值守每次扣款5000元，对建设单位安排事项执行不力的每次扣款5000元。</w:t>
            </w:r>
          </w:p>
        </w:tc>
        <w:tc>
          <w:tcPr>
            <w:tcW w:w="252" w:type="pct"/>
            <w:noWrap w:val="0"/>
            <w:vAlign w:val="top"/>
          </w:tcPr>
          <w:p w14:paraId="4D1BD063">
            <w:pPr>
              <w:shd w:val="clear"/>
              <w:rPr>
                <w:rFonts w:hint="eastAsia" w:ascii="宋体" w:hAnsi="宋体" w:eastAsia="宋体" w:cs="宋体"/>
                <w:color w:val="auto"/>
                <w:sz w:val="21"/>
                <w:szCs w:val="21"/>
                <w:highlight w:val="none"/>
              </w:rPr>
            </w:pPr>
          </w:p>
        </w:tc>
      </w:tr>
      <w:tr w14:paraId="49CFD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5A3120B7">
            <w:pPr>
              <w:shd w:val="clear"/>
              <w:rPr>
                <w:rFonts w:hint="eastAsia" w:ascii="宋体" w:hAnsi="宋体" w:eastAsia="宋体" w:cs="宋体"/>
                <w:color w:val="auto"/>
                <w:sz w:val="21"/>
                <w:szCs w:val="21"/>
                <w:highlight w:val="none"/>
              </w:rPr>
            </w:pPr>
          </w:p>
        </w:tc>
        <w:tc>
          <w:tcPr>
            <w:tcW w:w="444" w:type="pct"/>
            <w:vMerge w:val="continue"/>
            <w:noWrap w:val="0"/>
            <w:vAlign w:val="top"/>
          </w:tcPr>
          <w:p w14:paraId="7E73A215">
            <w:pPr>
              <w:shd w:val="clear"/>
              <w:rPr>
                <w:rFonts w:hint="eastAsia" w:ascii="宋体" w:hAnsi="宋体" w:eastAsia="宋体" w:cs="宋体"/>
                <w:color w:val="auto"/>
                <w:sz w:val="21"/>
                <w:szCs w:val="21"/>
                <w:highlight w:val="none"/>
              </w:rPr>
            </w:pPr>
          </w:p>
        </w:tc>
        <w:tc>
          <w:tcPr>
            <w:tcW w:w="648" w:type="pct"/>
            <w:noWrap w:val="0"/>
            <w:vAlign w:val="center"/>
          </w:tcPr>
          <w:p w14:paraId="73D54F3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资产管理</w:t>
            </w:r>
          </w:p>
        </w:tc>
        <w:tc>
          <w:tcPr>
            <w:tcW w:w="2158" w:type="pct"/>
            <w:noWrap w:val="0"/>
            <w:vAlign w:val="center"/>
          </w:tcPr>
          <w:p w14:paraId="1643384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1、每年进行一次苗木盘点，做好绿苗木资产增减的登记工作，做好新接绿地苗木清单、绿地图纸等相关资料的保管工作。未登记的每次扣除5分，资料缺失的每次扣除3分。</w:t>
            </w:r>
          </w:p>
          <w:p w14:paraId="777C161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2、对主要景观树、胸径超过30公分大规格苗木实施建档、挂牌管理，未实施的每次扣5分。</w:t>
            </w:r>
          </w:p>
        </w:tc>
        <w:tc>
          <w:tcPr>
            <w:tcW w:w="1192" w:type="pct"/>
            <w:noWrap w:val="0"/>
            <w:vAlign w:val="top"/>
          </w:tcPr>
          <w:p w14:paraId="58FDBBC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1、未实施盘点的每次扣除2万元；资产增减登记缺失的每次扣除500元；资料缺失每次扣除5000元。对主景树、名贵树、规格较大（50cm以上）苗木未进行建档、挂牌的每株罚款500元。</w:t>
            </w:r>
          </w:p>
          <w:p w14:paraId="6F5C3307">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2、规范养护物资供应，无养护物资采购方案或计划一次扣5000元，物资不足或采购缺失的按照缺失量的市场价格2倍处罚</w:t>
            </w:r>
          </w:p>
        </w:tc>
        <w:tc>
          <w:tcPr>
            <w:tcW w:w="252" w:type="pct"/>
            <w:noWrap w:val="0"/>
            <w:vAlign w:val="top"/>
          </w:tcPr>
          <w:p w14:paraId="1B6F88BE">
            <w:pPr>
              <w:shd w:val="clear"/>
              <w:rPr>
                <w:rFonts w:hint="eastAsia" w:ascii="宋体" w:hAnsi="宋体" w:eastAsia="宋体" w:cs="宋体"/>
                <w:color w:val="auto"/>
                <w:sz w:val="21"/>
                <w:szCs w:val="21"/>
                <w:highlight w:val="none"/>
              </w:rPr>
            </w:pPr>
          </w:p>
        </w:tc>
      </w:tr>
    </w:tbl>
    <w:p w14:paraId="6DB94BB6">
      <w:pPr>
        <w:shd w:val="clear"/>
        <w:bidi w:val="0"/>
        <w:rPr>
          <w:rFonts w:hint="eastAsia" w:ascii="宋体" w:hAnsi="宋体" w:eastAsia="宋体" w:cs="宋体"/>
          <w:color w:val="auto"/>
          <w:highlight w:val="none"/>
        </w:rPr>
      </w:pPr>
    </w:p>
    <w:p w14:paraId="3FBD335B">
      <w:pPr>
        <w:widowControl/>
        <w:shd w:val="clear"/>
        <w:spacing w:line="360" w:lineRule="auto"/>
        <w:outlineLvl w:val="9"/>
        <w:rPr>
          <w:rFonts w:hint="eastAsia" w:ascii="宋体" w:hAnsi="宋体" w:eastAsia="宋体" w:cs="宋体"/>
          <w:color w:val="auto"/>
          <w:sz w:val="24"/>
          <w:szCs w:val="24"/>
          <w:highlight w:val="none"/>
        </w:rPr>
        <w:sectPr>
          <w:pgSz w:w="16838" w:h="11905" w:orient="landscape"/>
          <w:pgMar w:top="1304" w:right="1304" w:bottom="1134" w:left="1304" w:header="851" w:footer="992" w:gutter="0"/>
          <w:pgNumType w:fmt="numberInDash"/>
          <w:cols w:space="720" w:num="1"/>
          <w:titlePg/>
          <w:docGrid w:linePitch="323" w:charSpace="0"/>
        </w:sectPr>
      </w:pPr>
    </w:p>
    <w:p w14:paraId="3610DB88">
      <w:pPr>
        <w:widowControl/>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附件六：西安浐灞国际港绿化养护管理手册</w:t>
      </w:r>
    </w:p>
    <w:p w14:paraId="2BA1C85B">
      <w:pPr>
        <w:shd w:val="clear"/>
        <w:spacing w:line="360" w:lineRule="auto"/>
        <w:ind w:firstLine="482" w:firstLineChars="200"/>
        <w:jc w:val="center"/>
        <w:outlineLvl w:val="9"/>
        <w:rPr>
          <w:rFonts w:hint="eastAsia" w:ascii="宋体" w:hAnsi="宋体" w:eastAsia="宋体" w:cs="宋体"/>
          <w:b/>
          <w:color w:val="auto"/>
          <w:sz w:val="24"/>
          <w:szCs w:val="24"/>
          <w:highlight w:val="none"/>
        </w:rPr>
      </w:pPr>
    </w:p>
    <w:p w14:paraId="45C1352C">
      <w:pPr>
        <w:shd w:val="clear"/>
        <w:spacing w:line="360" w:lineRule="auto"/>
        <w:ind w:firstLine="422" w:firstLineChars="200"/>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西安浐灞国际港绿化养护管理手册</w:t>
      </w:r>
    </w:p>
    <w:p w14:paraId="2188F1FC">
      <w:pPr>
        <w:shd w:val="clear"/>
        <w:spacing w:line="360" w:lineRule="auto"/>
        <w:ind w:firstLine="420" w:firstLineChars="200"/>
        <w:jc w:val="center"/>
        <w:outlineLvl w:val="9"/>
        <w:rPr>
          <w:rFonts w:hint="eastAsia" w:ascii="宋体" w:hAnsi="宋体" w:eastAsia="宋体" w:cs="宋体"/>
          <w:color w:val="auto"/>
          <w:sz w:val="21"/>
          <w:szCs w:val="21"/>
          <w:highlight w:val="none"/>
        </w:rPr>
      </w:pPr>
    </w:p>
    <w:p w14:paraId="1F0D41F3">
      <w:pPr>
        <w:shd w:val="clear"/>
        <w:spacing w:line="360" w:lineRule="auto"/>
        <w:ind w:firstLine="420" w:firstLineChars="200"/>
        <w:jc w:val="center"/>
        <w:outlineLvl w:val="9"/>
        <w:rPr>
          <w:rFonts w:hint="eastAsia" w:ascii="宋体" w:hAnsi="宋体" w:eastAsia="宋体" w:cs="宋体"/>
          <w:color w:val="auto"/>
          <w:sz w:val="21"/>
          <w:szCs w:val="21"/>
          <w:highlight w:val="none"/>
        </w:rPr>
      </w:pPr>
    </w:p>
    <w:p w14:paraId="7D895AA9">
      <w:pPr>
        <w:shd w:val="clear"/>
        <w:spacing w:line="360" w:lineRule="auto"/>
        <w:ind w:firstLine="420" w:firstLineChars="20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    录</w:t>
      </w:r>
    </w:p>
    <w:p w14:paraId="09F9A4B1">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1.项目部建设要求...............................................</w:t>
      </w:r>
    </w:p>
    <w:p w14:paraId="1D6E2AAA">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2.养护进场交接标准.............................................</w:t>
      </w:r>
    </w:p>
    <w:p w14:paraId="7BE66E1E">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3.养护单元划分及管理人员配备标准...............................</w:t>
      </w:r>
    </w:p>
    <w:p w14:paraId="0E7AABA0">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4.养护队伍建设.................................................</w:t>
      </w:r>
    </w:p>
    <w:p w14:paraId="2DFD0379">
      <w:pPr>
        <w:shd w:val="clear"/>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5.养护质量执行标准. ...........................................</w:t>
      </w:r>
    </w:p>
    <w:p w14:paraId="6910D0AA">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6.养护资料管理标准............................................</w:t>
      </w:r>
    </w:p>
    <w:p w14:paraId="16D45105">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7.精细化养护管理工作标准......................................</w:t>
      </w:r>
    </w:p>
    <w:p w14:paraId="24D37418">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8.绿地占用管理........................................ ........</w:t>
      </w:r>
    </w:p>
    <w:p w14:paraId="2A580FC5">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9.资产管理要求.................................................</w:t>
      </w:r>
    </w:p>
    <w:p w14:paraId="19CE2B49">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10.绿化养护工作考核.......................................</w:t>
      </w:r>
    </w:p>
    <w:p w14:paraId="632A7150">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11.养护费用支付办理............................................</w:t>
      </w:r>
    </w:p>
    <w:p w14:paraId="53239C24">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12.绿地退场移交要求...........................................</w:t>
      </w:r>
    </w:p>
    <w:p w14:paraId="2832E4D4">
      <w:pPr>
        <w:shd w:val="clear"/>
        <w:spacing w:line="360" w:lineRule="auto"/>
        <w:ind w:firstLine="420" w:firstLineChars="200"/>
        <w:jc w:val="left"/>
        <w:outlineLvl w:val="9"/>
        <w:rPr>
          <w:rFonts w:hint="eastAsia" w:ascii="宋体" w:hAnsi="宋体" w:eastAsia="宋体" w:cs="宋体"/>
          <w:color w:val="auto"/>
          <w:sz w:val="21"/>
          <w:szCs w:val="21"/>
          <w:highlight w:val="none"/>
        </w:rPr>
      </w:pPr>
    </w:p>
    <w:p w14:paraId="3D7EB58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一、项目部建设要求</w:t>
      </w:r>
    </w:p>
    <w:p w14:paraId="448618A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养护单位必须按照合同形成独立建制，组建养护工程项目部，建立健全各项规章制度上墙；按照合同承诺配备项目部全员到岗到位；合理设置管理机构；健全质量、安全管理体系；设立专职巡查员制度；加强安全、技术交底工作；</w:t>
      </w:r>
    </w:p>
    <w:p w14:paraId="517F23F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接受建设单位、监理单位的指令；及时上报安全、措施、质量方案，经批准后实施；</w:t>
      </w:r>
    </w:p>
    <w:p w14:paraId="795B7F7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二、养护进场交接标准</w:t>
      </w:r>
    </w:p>
    <w:p w14:paraId="100CF5B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1、资料交接：接收绿地基础资料档案：项目设计方案、竣工图纸（纸质版2套及电子版）、绿化苗木清单、土壤主要理化性状、如现场与竣工图出现较大差异需提供现场变更相关资料；</w:t>
      </w:r>
    </w:p>
    <w:p w14:paraId="3372E47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现场交接：对照绿地竣工图纸、苗木清单及工程量清单对绿地苗木数量进行盘点、接收，对竣工图与现场进行核对、对设施完整及运行情况进行核对、对电源、水源进行交接，对照《园林绿化养护标准》及《园林绿化工程施工及验收规范》对现场问题进行梳理，对绿地接收绿地进行评价。</w:t>
      </w:r>
    </w:p>
    <w:p w14:paraId="41F0414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三、养护单元划分及管理人员配备标准</w:t>
      </w:r>
    </w:p>
    <w:p w14:paraId="497F810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养护单位进场后，要科学划分养护单元，要求每养护单元面积约为</w:t>
      </w:r>
      <w:r>
        <w:rPr>
          <w:rFonts w:hint="eastAsia" w:ascii="宋体" w:hAnsi="宋体" w:eastAsia="宋体" w:cs="宋体"/>
          <w:color w:val="auto"/>
          <w:sz w:val="21"/>
          <w:szCs w:val="21"/>
          <w:highlight w:val="none"/>
          <w:lang w:val="en-US" w:eastAsia="zh-CN"/>
        </w:rPr>
        <w:t>40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0万㎡，并建立标段养护管理体系。</w:t>
      </w:r>
    </w:p>
    <w:p w14:paraId="52E643F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单位应足额配备专业养护人员，绿化养护管理单位必须向项目部配备项目经理1名，标段技术负责1名，专职安全员1名，资料员1名。每一个养护单元配备1名单元负责人或单元技术负责人（负责单元日常管理和技术指导工作），配1名巡查人员（负责单元日常巡查工作），每</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万㎡配备1名养护组长（负责小组人员管理和工作落实）。一级养护绿地</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000㎡/人，二级养护绿地1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000㎡/人，防护林带20000㎡/人，要求养护工作人员年龄男工不得超过60岁，女工不超55岁，男女工人比例控制在</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比例，技术工人占比不低于总人数的1/3。</w:t>
      </w:r>
    </w:p>
    <w:p w14:paraId="0212C84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项目经理和标段技术负责人应有绿化养护中级工程师以上资质，单元负责人和技术负责人应具备高级绿化工应具备的绿化养护相关要求、知识、技能；养护组长应有具备中级绿化工应具备的绿化养护相关要求知识、技能；养护技术工人应具备园林行业职业技能标准中初级绿化工应具备的绿化养护相关知识。</w:t>
      </w:r>
    </w:p>
    <w:p w14:paraId="7A6FB78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3.项目经理及项目技术人员对所承揽养护区域，做到每周巡查一次；专职安全员及专职管理员，做到每天巡查一次；养护项目部每周将巡查结果汇总上报建设单位及监理部。</w:t>
      </w:r>
    </w:p>
    <w:p w14:paraId="2CDC082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项目部经理、项目技术人员及主要管理人员每月在岗时间不得少于本月养护时间的80%；标段负责人每月在岗时间不得少于本月养护时间的90%；建设单位及监理部对现场巡视检查时，养护项目部管理人员接到通知后必须半小时到场。</w:t>
      </w:r>
    </w:p>
    <w:p w14:paraId="55AE025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机械配备：根据园林机械设备的安全性、适应性、可靠性、环保性等配备具备完成承揽的园林绿化养护项目所需的相关机械设备（枝剪、平剪、高枝剪、高空剪、油锯、铲、锄、梯子、打孔机、绿篱机、割灌机、草坪机、电动喷雾剂、洒水车、电动三轮高压冲洗车、快速保洁车、电动垃圾转运车、高空升降车、吊车、巡查车等），养护工具选用需优先选用电动、环保型工具。</w:t>
      </w:r>
    </w:p>
    <w:p w14:paraId="021AABE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要求项目部必须至少配备一辆高空升降车、吊车，每标段必须配备一辆巡查车。</w:t>
      </w:r>
    </w:p>
    <w:p w14:paraId="4AFBFD9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四、养护队伍建设</w:t>
      </w:r>
    </w:p>
    <w:p w14:paraId="6E8F92E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单位应制定人员培训计划，每周针对工作中的重点、难点工作进行每周培训，让一线工作人员充分了解工作技术要点，作业标准到位；每月邀请专业人员或专业老师进行月度专业技能培训，提升整体队伍专业素养，并将培训计划纳入养护工作方案。</w:t>
      </w:r>
    </w:p>
    <w:p w14:paraId="7FEC3CC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2.养护单位应认真贯彻、落实中央、省、市及管委会各类会议精神和文件要求，养护单位要加强人员教育，严禁工作人员出现违背国家政策、中央精神的言论、行为。</w:t>
      </w:r>
    </w:p>
    <w:p w14:paraId="4723176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3.所有项目部及养护标段管理人员工作期间严谨溜岗、串岗，如有请假，需建设单位及监理审批，养护单元管理人员及班组长及工人请假由项目部审批并报监理进行报备。</w:t>
      </w:r>
    </w:p>
    <w:p w14:paraId="49F1E56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五、养护质量执行标准</w:t>
      </w:r>
    </w:p>
    <w:p w14:paraId="731224D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按照《园林绿化养护标准》CJJ287-2018、《西安市绿化养护管理标准养护》执行，公园广场、一级道路沿线绿地按照一级养护标准执行，二、按照二级养护标准执行，三级道路绿地按照三级养护标准执行，林带等偏远绿地按照林带养护标准执行。</w:t>
      </w:r>
    </w:p>
    <w:p w14:paraId="1287001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（一）一类绿地养护质量标准 </w:t>
      </w:r>
    </w:p>
    <w:p w14:paraId="3C650EC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1.绿化养护技术措施完善，管理得当，植物配置科学合理，达到黄土不露天。</w:t>
      </w:r>
    </w:p>
    <w:p w14:paraId="0241355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2.园林植物 </w:t>
      </w:r>
    </w:p>
    <w:p w14:paraId="3B1FDD3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园林树木树冠完整美观，分枝点合适，枝条粗壮，无枯枝死杈；主侧枝分布匀称、数量适宜、修剪科学合理；内膛不乱，通风透光。花灌木开花及时，株形丰满，花后修剪及时合理。绿篱、色块等修剪及时，枝叶茂密，整齐一致，整型树木造型雅观。行道树无缺株，绿地内无死树。</w:t>
      </w:r>
    </w:p>
    <w:p w14:paraId="16EB4D0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落叶树新梢生长健壮，叶片大小、颜色正常。在一般条件下，无黄叶、焦叶、卷叶，正常叶片保存率在95%以上。针叶树针叶宿存3年以上，结果枝条在10 %以下。  </w:t>
      </w:r>
    </w:p>
    <w:p w14:paraId="3FC45CB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（3）花坛、花带轮廓清晰，整齐美观，色彩艳丽，无残缺，无残花败叶。 </w:t>
      </w:r>
    </w:p>
    <w:p w14:paraId="5450736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（4）草坪及地被植物整齐，覆盖率99 %以上，草坪内无杂草。草坪绿色期：冷季型草不得少于300天；暖季型草不得少于270天。 </w:t>
      </w:r>
    </w:p>
    <w:p w14:paraId="5B6BE6F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（5）病虫害控制及时，园林树木无蛀干害虫的活卵、活虫；园林树木病虫害平均被害株数不得超过1％。叶片上无虫粪、虫网。被虫咬的叶片每株不得超过2%。 </w:t>
      </w:r>
    </w:p>
    <w:p w14:paraId="1A01726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3.垂直绿化应根据不同植物的攀缘特点，及时采取相应的牵引、设置网架等技术措施，视攀缘植物生长习性，覆盖率不得低于90%。开花的攀缘植物应适时开花，且花繁色艳。 </w:t>
      </w:r>
    </w:p>
    <w:p w14:paraId="2539E5B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4.绿地整洁，无杂物、无白色污染（树挂），对绿化生产垃圾（如树枝、树叶、草屑等）、绿地内水面杂物，重点地区随产随清，其它地区日产日清，做到巡视保洁。 </w:t>
      </w:r>
    </w:p>
    <w:p w14:paraId="19BF954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5.栏杆、园路、桌椅、路灯、井盖和牌示等园林设施完整、安全，维护及时。 </w:t>
      </w:r>
    </w:p>
    <w:p w14:paraId="60B5C14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6.绿地完整，无堆物、堆料、搭棚，树干上无钉拴刻画等现象。 </w:t>
      </w:r>
    </w:p>
    <w:p w14:paraId="73BE878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（二）二类绿地养护质量标准 </w:t>
      </w:r>
    </w:p>
    <w:p w14:paraId="14A210C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1.绿化养护技术措施比较完善，管理基本得当，植物配置合理，基本达到黄土不露天。</w:t>
      </w:r>
    </w:p>
    <w:p w14:paraId="323D461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2.园林植物 </w:t>
      </w:r>
    </w:p>
    <w:p w14:paraId="747F99B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（1）园林树木树冠基本完整，主侧枝分布均称、数量适宜、修剪合理，内膛不乱，通风透光。花灌木开花及时、正常，花后修剪及时。绿篱、色块枝叶正常，整齐一致。行道树无缺株，绿地内无死树。 </w:t>
      </w:r>
    </w:p>
    <w:p w14:paraId="6572E65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（2）落叶树新梢生长正常，叶片大小、颜色正常，在一般条件下，黄叶、焦叶、卷叶和带虫尿、虫网的叶片不得超过5%，正常叶片保存率在90%以上。针叶树针叶宿存2年以上，结果枝条不超过20%。</w:t>
      </w:r>
    </w:p>
    <w:p w14:paraId="61E3F4E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 花坛、花带轮廓清晰，整齐美观，适时开花，无残缺 。 </w:t>
      </w:r>
    </w:p>
    <w:p w14:paraId="27B9C79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（4）草坪及地被植物整齐一致，覆盖率95%以上，除缀花草坪外草坪内杂草率不得超过2%。草坪绿色期：冷季型草不得少于270天，暖季型草不得少于240天。 </w:t>
      </w:r>
    </w:p>
    <w:p w14:paraId="0843EF4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（5）病虫害控制及时，园林树木有蛀干害虫危害的株数不得超过1%；园林树木病虫害平均被害株数不得超过3％。叶上无虫粪，被虫咬的叶片每株不得超过5%。 </w:t>
      </w:r>
    </w:p>
    <w:p w14:paraId="6A8DFA0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3.垂直绿化应根据不同植物的攀缘特点，采取相应的牵引、设置网架等技术措施，视攀缘植物生长习性，覆盖率不得低于80%，开花的攀缘植物能适时开花。 </w:t>
      </w:r>
    </w:p>
    <w:p w14:paraId="595E433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4.绿地整洁，无杂物、无白色污染（树挂），绿化生产垃圾（如树枝、树叶、草屑等）、绿地内水面杂物应日产日清，做到保洁及时。 </w:t>
      </w:r>
    </w:p>
    <w:p w14:paraId="4396D4A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5.栏杆、园路、桌椅、路灯、井盖和牌示等园林设施完整、安全，基本做到维护及时。 </w:t>
      </w:r>
    </w:p>
    <w:p w14:paraId="106D63D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6.绿地完整，无堆物、堆料、搭棚，树干上无钉拴刻画等现象。</w:t>
      </w:r>
    </w:p>
    <w:p w14:paraId="4545B6B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 三）三类绿地养护质量标准 </w:t>
      </w:r>
    </w:p>
    <w:p w14:paraId="40E8DAE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1.绿化养护技术措施基本完善，植物配置基本合理，裸露土地不明显。</w:t>
      </w:r>
    </w:p>
    <w:p w14:paraId="3596321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园林植物 </w:t>
      </w:r>
    </w:p>
    <w:p w14:paraId="34151F8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（1）生长正常。新建绿地各种植物四年内达到正常形态。 </w:t>
      </w:r>
    </w:p>
    <w:p w14:paraId="65F086A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（2）园林树木树冠基本正常，修剪及时，无明显枯枝死叉。分枝点合适，枝条粗壮，行道树缺株率不超过1%，绿地内无死树。 </w:t>
      </w:r>
    </w:p>
    <w:p w14:paraId="5382E80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（3）落叶树新梢生长基本正常，叶片大小、颜色正常，在正常条件下，有黄叶、焦叶、卷叶和带虫尿、虫网叶片的株数不得超过10%，正常叶片保存率在85%以上。针叶树针叶宿存1年以上，结果枝条不超过50%。</w:t>
      </w:r>
    </w:p>
    <w:p w14:paraId="5072DE5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（4）花坛、花带轮廓基本清晰、整齐美观，无残缺。</w:t>
      </w:r>
    </w:p>
    <w:p w14:paraId="5CE5384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（5）草坪及地被植物整齐一致，覆盖率90%以上，除缀花草坪外草坪内杂草率不得超过5%。草坪绿色期：冷季型草不得少于240天，暖季型草不得少于210天。 </w:t>
      </w:r>
    </w:p>
    <w:p w14:paraId="3DDCB16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6）病虫害控制比较及时，园林树木有蛀干害虫危害的竹数不得超过3%；在园林树木主干、主枝上平均每100c㎡介壳虫的活虫数不得超过3头，较细枝条上平均每30cm不得超过8头，且平均被害株数不得超过5％。被虫咬的叶片每株不得超过8%。 </w:t>
      </w:r>
    </w:p>
    <w:p w14:paraId="1F56FBA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3.垂直绿化能根据不同植物的攀缘特点，采取相应的技术措施，视攀缘植物生长习性，覆盖率不得低于70%。开花的攀缘植物能适时开花。 </w:t>
      </w:r>
    </w:p>
    <w:p w14:paraId="43DA43F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 绿地基本整洁，无明显杂物，无白色污染（树挂），绿化生产垃圾（如树枝、树叶、草屑等）、绿地内水面杂物能日产日清，能做到保洁及时。 </w:t>
      </w:r>
    </w:p>
    <w:p w14:paraId="6DA28BC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栏杆、园路、桌椅、路灯、井盖和牌示等园林设施基本完整，能进行维护。</w:t>
      </w:r>
    </w:p>
    <w:p w14:paraId="6535B10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 绿地基本完整，无明显堆物、堆料、搭棚、树干上无钉拴刻画等现象。行道树下距树干2米范围内无明显的堆物、堆料、圈栏或搭棚设摊等影响树木生长和养护管理的现象。 </w:t>
      </w:r>
    </w:p>
    <w:p w14:paraId="095CEA5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（四）防护林带绿地养护质量标准</w:t>
      </w:r>
    </w:p>
    <w:p w14:paraId="1375D75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1.绿化养护技术措施基本完善，裸露土地不明显。</w:t>
      </w:r>
    </w:p>
    <w:p w14:paraId="5D184F5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园林植物 </w:t>
      </w:r>
    </w:p>
    <w:p w14:paraId="4E77D4F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（1）园林树木树冠基本正常，修剪及时，无明显枯枝死叉。分枝点合适，枝条粗壮，绿地内无死树。 </w:t>
      </w:r>
    </w:p>
    <w:p w14:paraId="17DA75D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（2）落叶树新梢生长基本正常，叶片大小、颜色正常，在正常条件下，有黄叶、焦叶、卷叶和带虫尿、虫网叶片的株数不得超过15%，正常叶片保存率在85%以上。针叶树针叶宿存1年以上，结果枝条不超过50%。</w:t>
      </w:r>
    </w:p>
    <w:p w14:paraId="140BCF0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（3）草坪及地被植物整齐一致，覆盖率90%以上，冷季型草不得少于240天。 </w:t>
      </w:r>
    </w:p>
    <w:p w14:paraId="476EAC4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（4）病虫害控制比较及时，园林树木有蛀干害虫危害的数量不得超过5%；园林树木病虫害平均被害株数不得超过5％。被虫咬的叶片每株不得超过8%。 </w:t>
      </w:r>
    </w:p>
    <w:p w14:paraId="38E0FCE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 绿地基本整洁，无明显杂物，无白色污染（树挂），绿化生产垃圾（如树枝、树叶、草屑等）、绿地内水面杂物能日产日清，能做到保洁及时。 </w:t>
      </w:r>
    </w:p>
    <w:p w14:paraId="2A9945C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 绿地基本完整，无明显堆物、堆料、搭棚、树干上无钉拴刻画等现象。 </w:t>
      </w:r>
    </w:p>
    <w:p w14:paraId="1EB8E7C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六、养护资料管理标准</w:t>
      </w:r>
    </w:p>
    <w:p w14:paraId="7A0A84D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应建立完成的绿地养护技术档案，档案包括绿地基本情况（面积、植物种类、规格、数量）、土壤主要理化性状、竣工图、养护日志（台账）、重大事件记录、新技术新工艺的应用，绿化养护方案、极端天气安全应急预案、安全生产管控及交底、养护技术交底、分项验收资料。</w:t>
      </w:r>
    </w:p>
    <w:p w14:paraId="0949CD8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七、精细化养护管理工作标准</w:t>
      </w:r>
    </w:p>
    <w:p w14:paraId="3F804F2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养护单位应加强绿地精细化管理，建立巡查、发现、处置、反馈的闭合管理体系，项目经理负责对生态环境局、监理单位交办、巡查发现问题及自查问题整改过程进行跟踪、督办，工作要求应符合以下要求：</w:t>
      </w:r>
    </w:p>
    <w:p w14:paraId="1A13888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1.城市公园绿地及附属设施维护</w:t>
      </w:r>
    </w:p>
    <w:p w14:paraId="01EC941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（1）死缺株植物补植</w:t>
      </w:r>
    </w:p>
    <w:p w14:paraId="1FAC835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时限要求：巡查发现问题后立即登记受理并立即采取植物补植，草坪、地被、绿篱自启动整改之日起3日内完成补植工作，问题销号。桥灌木根据苗木采购数量、品种、季节等因素合理确定补栽时限。</w:t>
      </w:r>
    </w:p>
    <w:p w14:paraId="5BC5A1F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质量要求：补植后的种植密度、品种、规格与原绿化效果一致，不得随意变更。</w:t>
      </w:r>
    </w:p>
    <w:p w14:paraId="17014F7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道路绿化维护作业时，应有安全技术措施，确保施工人员安全；现场警示标志完整，易辨识，夜间施工设置警示灯等安全防护措施，保障行人、车辆行驶安全；现场苗木、设备整齐、有序，维护完成后及时清理环境卫生。</w:t>
      </w:r>
    </w:p>
    <w:p w14:paraId="3BE09E6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2.行道树修剪</w:t>
      </w:r>
    </w:p>
    <w:p w14:paraId="15ABF13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时限要求：行道树修剪工作应根据植物生长特效及年度修剪计划有序实施；</w:t>
      </w:r>
    </w:p>
    <w:p w14:paraId="55E6A69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质量要求：树冠完整、规格整齐、分支点高度保持一致。</w:t>
      </w:r>
    </w:p>
    <w:p w14:paraId="6A7D045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安全及文明施工要求：设置隔离设施，确保施工人员安全；现场施工人员应配备高空作业相关安全防范设备，修剪完成后及时清理绿化垃圾。</w:t>
      </w:r>
    </w:p>
    <w:p w14:paraId="1DB1E3E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（3）病虫害防治</w:t>
      </w:r>
    </w:p>
    <w:p w14:paraId="3C27FA3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时限要求：巡查发现问题后立即登记受理并立即采取防治措施，自启动整改之日起2日内完成防治工作，并持续跟踪记录防治效果，每周汇报防治情况。</w:t>
      </w:r>
    </w:p>
    <w:p w14:paraId="153FEEB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质量要求：基本无有害生物危害状、整体枝叶受害率≤8%、树干受害率≤5%。</w:t>
      </w:r>
    </w:p>
    <w:p w14:paraId="056D533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病虫害防治应采取生物防治及药物防治相结合的方式，道路绿化及行道树病虫害防治作业时应设置隔离设施，并避开早晚上下班高峰期实施确保行人及车辆安全，作业人员佩戴口罩、手套等防护措施。</w:t>
      </w:r>
    </w:p>
    <w:p w14:paraId="17FB884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（4）时花补植更换</w:t>
      </w:r>
    </w:p>
    <w:p w14:paraId="4B8976E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时限要求：巡查发现问题后立即登记受理并立即采取补植更换，自启动整改之日起2日内完成补植，问题销号；</w:t>
      </w:r>
    </w:p>
    <w:p w14:paraId="3AADC2D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质量要求：缺株倒伏的花苗≤3%，基本无枯叶残花。</w:t>
      </w:r>
    </w:p>
    <w:p w14:paraId="7D2D867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安全及文明施工要求：设置隔离设施，确保施工人员安全；现场警示标志完整易辨识，夜间施工设置警示灯；现场花卉、材料整齐有序。</w:t>
      </w:r>
    </w:p>
    <w:p w14:paraId="0ED40D5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（5）公园绿地附属设施维护（游路、侧石、小品、雕塑、公园水电设施、灯具、标识牌等）</w:t>
      </w:r>
    </w:p>
    <w:p w14:paraId="1907346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巡查发现问题后立即登记受理并立即采取警示、维护等临时措施，日常小修维护自启动整改之日起1日内完成修复并开放交通，问题销号；中修、大修及改善工程根据设施类型及其他要求合理确定工期。</w:t>
      </w:r>
    </w:p>
    <w:p w14:paraId="0ECF110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质量要求：修复后与原设施类型效果一致。</w:t>
      </w:r>
    </w:p>
    <w:p w14:paraId="063DEAF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安全及文明施工要求：设置隔离设施，确保施工人员安全；现场警示标志完整易辨识，夜间施工设置警示灯；现场材料、设备整齐有序。</w:t>
      </w:r>
    </w:p>
    <w:p w14:paraId="13742F2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（6）绿地保洁（绿化生产垃圾及日常垃圾杂物捡拾）</w:t>
      </w:r>
    </w:p>
    <w:p w14:paraId="119F10C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时限要求：重点地段要求绿化生产垃圾随产随清，其它绿地日产日清；绿地落叶、杂物保洁每日1次；绿地内砖块、塑料袋等白色垃圾落地时间不超15分钟。</w:t>
      </w:r>
    </w:p>
    <w:p w14:paraId="6E3BD5C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质量要求：绿地干净整洁、垃圾捡拾及时</w:t>
      </w:r>
    </w:p>
    <w:p w14:paraId="0E7EADE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安全及文明施工要求：工作人员穿反光背心、保洁车辆要求无损坏，符合安全使用要求。</w:t>
      </w:r>
    </w:p>
    <w:p w14:paraId="60F03CE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（7）绿化应急管理工作（极端天气树木歪斜、树木断枝等影响安全问题）</w:t>
      </w:r>
    </w:p>
    <w:p w14:paraId="034C788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时限要求：出现极端大风天气1小时巡查一次，中雨、中风天气2小时巡查一次，发现突发情况30分钟到场处理。</w:t>
      </w:r>
    </w:p>
    <w:p w14:paraId="379F9F4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安全及文明施工要求：设置隔离设施，确保施工人员安全；现场警示标志完整易辨识，夜间施工设置警示灯；现场材料、设备整齐有序。</w:t>
      </w:r>
    </w:p>
    <w:p w14:paraId="164E1CB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（8）抗旱保苗应急工作</w:t>
      </w:r>
    </w:p>
    <w:p w14:paraId="49ABB47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时限要求：启动抗旱应急工作2天内</w:t>
      </w:r>
    </w:p>
    <w:p w14:paraId="7CFFE9B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工作要求：积极完善各类浇灌设施，增加节水浇灌设施，对无浇灌系统覆盖区域，按照3万平米绿地配备1辆8吨以上水车标准配备抗旱浇灌水车。</w:t>
      </w:r>
    </w:p>
    <w:p w14:paraId="47DEC23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八、绿地占用管理</w:t>
      </w:r>
    </w:p>
    <w:p w14:paraId="4FAE04F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任何单位或个人，临时或永久占用绿地需办理绿地占用手续或生态环境局下发的绿地占用通知，对于因市政应急强险的或安全应急需要占用绿地的可在占用同时向绿地行业主管部门电话报备，随后补办占用手续；</w:t>
      </w:r>
    </w:p>
    <w:p w14:paraId="362F10E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养护单位在收到占用绿地手续或占用通知后，需与占用单位办理场地移交单，明确占用范围，占用时间及苗木、设施数量，需要占用单位恢复的明确后续恢复要求、时限，绿地移交单需由绿地管理单位、生态环境局、绿地占用单位、占用工程行政管理部门四方签字盖章。</w:t>
      </w:r>
    </w:p>
    <w:p w14:paraId="568D191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九、资产管理要求</w:t>
      </w:r>
    </w:p>
    <w:p w14:paraId="67088C0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1、绿化养护单位负责责任绿地内，绿化苗木、设施资产管理工作；负责制定设施、设备年度维修计划；负责苗木移植的监管工作，做好数量统计和情况记录，确保绿化资产完整，苗木去向明确；</w:t>
      </w:r>
    </w:p>
    <w:p w14:paraId="63B3BA6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每年进行一次资产盘点，确保资产底数清楚；</w:t>
      </w:r>
    </w:p>
    <w:p w14:paraId="2009B40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2、因管理原因造成的苗木缺失，由养护单位负责赔偿，因管理缺失，设施设备破损、失修造成的设施无法使用的由由养护单位负责维修；</w:t>
      </w:r>
    </w:p>
    <w:p w14:paraId="0DE3369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植物组团内因长期生长过程中植物竞争，部分弱势苗木逐年退化的苗木或树木腐烂易造成安全隐患的，由养护单位负责排查，对确需清理的由养护单位申报，监理、生态环境局审批后，进行清理，并建立资产销毁台账，对清理、销毁过程资料进行留存。</w:t>
      </w:r>
    </w:p>
    <w:p w14:paraId="3B999E7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4、对植物组团内因长期生长，植物相互影响，组团关系、层次混乱或绿地植物退化影响景观效果，养护单位负责排查，拿出移栽或更新调整方案，由监理、生态环境局审批后，派发工作任务单，予以实施。</w:t>
      </w:r>
    </w:p>
    <w:p w14:paraId="562E5DD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十、绿化养护工作考核</w:t>
      </w:r>
    </w:p>
    <w:p w14:paraId="0AEB2A6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生态环境局每月对养护单位各养护单元绿化养护工作检查、考评，并对考评结果及处罚情况进行通报，处罚扣款直接从季度养护费用中扣除，对考评中第一次出现排名后三且考评为差（月度考评成绩70分以下）的养护单元，对项目单位公司领导及项目经理进行约谈，对养护单元管理负责人及主要管理人员进行提醒警告。累计两次出现排名后三且考评为差（月度考评成绩70分以下）的养护单元要求更换管理负责人及主要管理人员。累计三次排名后三且考评为差（月度考评成绩70分以下）的养护单元，解除该养护单元养护关系，委托其它单位负责该区域养护工作。</w:t>
      </w:r>
    </w:p>
    <w:p w14:paraId="7851C8A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2、生态环境局每月初召开月度绿化养护例会会议，总结、通报考评结果、安排下一步工作。</w:t>
      </w:r>
    </w:p>
    <w:p w14:paraId="4582DF8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十一、养护费用支付办理</w:t>
      </w:r>
    </w:p>
    <w:p w14:paraId="363BB56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养护单位应按照合同约定进行进度款支付申请，根据月度考核、工作完成情况及月度处罚情况，对支付费用进行审核，审核时间一般不超过3个工作日；</w:t>
      </w:r>
    </w:p>
    <w:p w14:paraId="17DD996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十二、绿地退场移交要求</w:t>
      </w:r>
    </w:p>
    <w:p w14:paraId="0A2F435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料移交：移交绿地基础资料包括：项目方案、竣工图纸（纸质版2套及电子版）、绿苗木清单、土壤主要理化性状、如现场与竣工图不符需提供现场变更相关资料、养护措施、养护日志（台账）、重大事件处理、新技术新工艺的应用；</w:t>
      </w:r>
    </w:p>
    <w:p w14:paraId="6E25D40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2、对照绿地竣工图纸、苗木清单及工程量清单对绿地苗木数量进行接收盘点、对竣工图与现场进行核对、对设施完整及运行情况进行核对、对电源、水源进行交接。</w:t>
      </w:r>
    </w:p>
    <w:p w14:paraId="04D4C1A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3、对照《园林绿化养护标准》及《园林绿化工程施工及验收规范》对现场养护情况进行交接检查，对绿地养护情况进行评价，对现场问题较大的由养护单位负责整改到位。</w:t>
      </w:r>
    </w:p>
    <w:p w14:paraId="4FCE90B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7BE7485">
      <w:pPr>
        <w:shd w:val="clear"/>
        <w:rPr>
          <w:rFonts w:hint="eastAsia" w:ascii="宋体" w:hAnsi="宋体" w:eastAsia="宋体" w:cs="宋体"/>
          <w:color w:val="auto"/>
          <w:highlight w:val="none"/>
        </w:rPr>
      </w:pPr>
    </w:p>
    <w:p w14:paraId="22463881">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lang w:val="en-US" w:eastAsia="zh-CN"/>
        </w:rPr>
        <w:t>2026-2027年浐灞渭河岸线绿化养护服务项目（</w:t>
      </w:r>
      <w:r>
        <w:rPr>
          <w:rFonts w:hint="eastAsia" w:ascii="宋体" w:hAnsi="宋体" w:eastAsia="宋体" w:cs="宋体"/>
          <w:b/>
          <w:bCs/>
          <w:color w:val="auto"/>
          <w:sz w:val="56"/>
          <w:szCs w:val="56"/>
          <w:highlight w:val="none"/>
          <w:lang w:val="en-US" w:eastAsia="zh-CN"/>
        </w:rPr>
        <w:t>合同包</w:t>
      </w:r>
      <w:r>
        <w:rPr>
          <w:rFonts w:hint="eastAsia" w:ascii="宋体" w:hAnsi="宋体" w:eastAsia="宋体" w:cs="宋体"/>
          <w:b/>
          <w:bCs/>
          <w:color w:val="auto"/>
          <w:sz w:val="56"/>
          <w:szCs w:val="56"/>
          <w:highlight w:val="none"/>
          <w:u w:val="single"/>
          <w:lang w:val="en-US" w:eastAsia="zh-CN"/>
        </w:rPr>
        <w:t xml:space="preserve"> 2 </w:t>
      </w:r>
      <w:r>
        <w:rPr>
          <w:rFonts w:hint="eastAsia" w:ascii="宋体" w:hAnsi="宋体" w:eastAsia="宋体" w:cs="宋体"/>
          <w:b/>
          <w:bCs/>
          <w:color w:val="auto"/>
          <w:sz w:val="52"/>
          <w:szCs w:val="52"/>
          <w:highlight w:val="none"/>
          <w:lang w:val="en-US" w:eastAsia="zh-CN"/>
        </w:rPr>
        <w:t>）</w:t>
      </w:r>
    </w:p>
    <w:p w14:paraId="53EB6374">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3A06CF85">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06054597">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725A7284">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6581D4EF">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489A22D6">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5921345F">
      <w:pPr>
        <w:keepNext w:val="0"/>
        <w:keepLines w:val="0"/>
        <w:pageBreakBefore w:val="0"/>
        <w:widowControl w:val="0"/>
        <w:shd w:val="clear"/>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合同</w:t>
      </w:r>
      <w:r>
        <w:rPr>
          <w:rFonts w:hint="eastAsia" w:ascii="宋体" w:hAnsi="宋体" w:eastAsia="宋体" w:cs="宋体"/>
          <w:b/>
          <w:bCs/>
          <w:color w:val="auto"/>
          <w:sz w:val="36"/>
          <w:szCs w:val="36"/>
          <w:highlight w:val="none"/>
          <w:lang w:eastAsia="zh-CN"/>
        </w:rPr>
        <w:t>参考格式</w:t>
      </w:r>
    </w:p>
    <w:p w14:paraId="6ABD79E4">
      <w:pPr>
        <w:pStyle w:val="3"/>
        <w:shd w:val="clear"/>
        <w:spacing w:line="360" w:lineRule="auto"/>
        <w:ind w:firstLine="420" w:firstLineChars="200"/>
        <w:rPr>
          <w:rFonts w:hint="eastAsia" w:ascii="宋体" w:hAnsi="宋体" w:eastAsia="宋体" w:cs="宋体"/>
          <w:color w:val="auto"/>
          <w:szCs w:val="24"/>
          <w:highlight w:val="none"/>
        </w:rPr>
      </w:pPr>
    </w:p>
    <w:p w14:paraId="08C77CE2">
      <w:pPr>
        <w:pStyle w:val="3"/>
        <w:shd w:val="clear"/>
        <w:spacing w:line="360" w:lineRule="auto"/>
        <w:ind w:firstLine="420" w:firstLineChars="200"/>
        <w:rPr>
          <w:rFonts w:hint="eastAsia" w:ascii="宋体" w:hAnsi="宋体" w:eastAsia="宋体" w:cs="宋体"/>
          <w:color w:val="auto"/>
          <w:szCs w:val="24"/>
          <w:highlight w:val="none"/>
        </w:rPr>
      </w:pPr>
    </w:p>
    <w:p w14:paraId="17BCDF17">
      <w:pPr>
        <w:pStyle w:val="3"/>
        <w:shd w:val="clear"/>
        <w:spacing w:line="360" w:lineRule="auto"/>
        <w:rPr>
          <w:rFonts w:hint="eastAsia" w:ascii="宋体" w:hAnsi="宋体" w:eastAsia="宋体" w:cs="宋体"/>
          <w:color w:val="auto"/>
          <w:szCs w:val="24"/>
          <w:highlight w:val="none"/>
        </w:rPr>
      </w:pPr>
    </w:p>
    <w:p w14:paraId="2AF6D3FA">
      <w:pPr>
        <w:shd w:val="clear"/>
        <w:rPr>
          <w:rFonts w:hint="eastAsia" w:ascii="宋体" w:hAnsi="宋体" w:eastAsia="宋体" w:cs="宋体"/>
          <w:color w:val="auto"/>
          <w:highlight w:val="none"/>
        </w:rPr>
      </w:pPr>
    </w:p>
    <w:p w14:paraId="170BC1C7">
      <w:pPr>
        <w:pStyle w:val="3"/>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合同编号：____________________</w:t>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p>
    <w:p w14:paraId="6435EF75">
      <w:pPr>
        <w:pStyle w:val="3"/>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甲方：____________________(采购人名称)</w:t>
      </w:r>
    </w:p>
    <w:p w14:paraId="1692081F">
      <w:pPr>
        <w:pStyle w:val="3"/>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乙方：____________________(供应商名称)</w:t>
      </w:r>
    </w:p>
    <w:p w14:paraId="39A07CBF">
      <w:pPr>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签订地点：</w:t>
      </w:r>
      <w:r>
        <w:rPr>
          <w:rFonts w:hint="eastAsia" w:ascii="宋体" w:hAnsi="宋体" w:eastAsia="宋体" w:cs="宋体"/>
          <w:color w:val="auto"/>
          <w:szCs w:val="24"/>
          <w:highlight w:val="none"/>
          <w:lang w:val="en-US" w:eastAsia="zh-CN"/>
        </w:rPr>
        <w:t>西安浐灞国际港</w:t>
      </w:r>
    </w:p>
    <w:p w14:paraId="5F8B1B29">
      <w:pPr>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签订日期：</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日</w:t>
      </w:r>
    </w:p>
    <w:p w14:paraId="578D23AB">
      <w:pPr>
        <w:keepNext w:val="0"/>
        <w:keepLines w:val="0"/>
        <w:pageBreakBefore w:val="0"/>
        <w:shd w:val="clear"/>
        <w:kinsoku/>
        <w:wordWrap/>
        <w:overflowPunct/>
        <w:topLinePunct w:val="0"/>
        <w:autoSpaceDE/>
        <w:autoSpaceDN/>
        <w:bidi w:val="0"/>
        <w:adjustRightInd/>
        <w:spacing w:line="480" w:lineRule="auto"/>
        <w:jc w:val="center"/>
        <w:rPr>
          <w:rFonts w:hint="eastAsia" w:ascii="宋体" w:hAnsi="宋体" w:eastAsia="宋体" w:cs="宋体"/>
          <w:b/>
          <w:bCs/>
          <w:color w:val="auto"/>
          <w:sz w:val="28"/>
          <w:szCs w:val="28"/>
          <w:highlight w:val="none"/>
        </w:rPr>
      </w:pPr>
      <w:r>
        <w:rPr>
          <w:rFonts w:hint="eastAsia" w:ascii="宋体" w:hAnsi="宋体" w:eastAsia="宋体" w:cs="宋体"/>
          <w:color w:val="auto"/>
          <w:szCs w:val="24"/>
          <w:highlight w:val="none"/>
        </w:rPr>
        <w:br w:type="page"/>
      </w:r>
      <w:r>
        <w:rPr>
          <w:rFonts w:hint="eastAsia" w:ascii="宋体" w:hAnsi="宋体" w:eastAsia="宋体" w:cs="宋体"/>
          <w:b/>
          <w:bCs/>
          <w:color w:val="auto"/>
          <w:sz w:val="28"/>
          <w:szCs w:val="28"/>
          <w:highlight w:val="none"/>
        </w:rPr>
        <w:t>合同草案条款</w:t>
      </w:r>
    </w:p>
    <w:p w14:paraId="69CE2A9A">
      <w:pPr>
        <w:keepNext w:val="0"/>
        <w:keepLines w:val="0"/>
        <w:pageBreakBefore w:val="0"/>
        <w:shd w:val="clear"/>
        <w:kinsoku/>
        <w:wordWrap/>
        <w:overflowPunct/>
        <w:topLinePunct w:val="0"/>
        <w:autoSpaceDE/>
        <w:autoSpaceDN/>
        <w:bidi w:val="0"/>
        <w:adjustRightInd/>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一、总    则</w:t>
      </w:r>
    </w:p>
    <w:p w14:paraId="257ABA1D">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甲方（采购人）：       </w:t>
      </w:r>
    </w:p>
    <w:p w14:paraId="1927A6A1">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住所地：</w:t>
      </w:r>
    </w:p>
    <w:p w14:paraId="502FF111">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乙方（供应商）：</w:t>
      </w:r>
      <w:r>
        <w:rPr>
          <w:rFonts w:hint="eastAsia" w:ascii="宋体" w:hAnsi="宋体" w:eastAsia="宋体" w:cs="宋体"/>
          <w:color w:val="auto"/>
          <w:sz w:val="21"/>
          <w:szCs w:val="21"/>
          <w:highlight w:val="none"/>
        </w:rPr>
        <w:t xml:space="preserve">       </w:t>
      </w:r>
    </w:p>
    <w:p w14:paraId="6731A801">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住所地：</w:t>
      </w:r>
    </w:p>
    <w:p w14:paraId="1F369A89">
      <w:pPr>
        <w:keepNext w:val="0"/>
        <w:keepLines w:val="0"/>
        <w:pageBreakBefore w:val="0"/>
        <w:shd w:val="clear"/>
        <w:kinsoku/>
        <w:wordWrap/>
        <w:overflowPunct/>
        <w:topLinePunct w:val="0"/>
        <w:bidi w:val="0"/>
        <w:adjustRightInd w:val="0"/>
        <w:snapToGrid w:val="0"/>
        <w:spacing w:line="360" w:lineRule="auto"/>
        <w:ind w:firstLine="48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为确保西安浐灞国际港绿化养护工作整洁有序，不断改善人居环境，提升外在形象，依照《中华人民共和国民法典》及其他有关法律，行政法规，遵循平等、自愿、公平和诚实信用的原则，双方就本项目范围与相关服务事项协商一致，订立本合同。</w:t>
      </w:r>
    </w:p>
    <w:p w14:paraId="26DB6715">
      <w:pPr>
        <w:keepNext w:val="0"/>
        <w:keepLines w:val="0"/>
        <w:pageBreakBefore w:val="0"/>
        <w:widowControl/>
        <w:shd w:val="clear"/>
        <w:kinsoku/>
        <w:wordWrap/>
        <w:overflowPunct/>
        <w:topLinePunct w:val="0"/>
        <w:autoSpaceDE w:val="0"/>
        <w:autoSpaceDN w:val="0"/>
        <w:bidi w:val="0"/>
        <w:adjustRightInd w:val="0"/>
        <w:snapToGrid w:val="0"/>
        <w:spacing w:line="360" w:lineRule="auto"/>
        <w:ind w:firstLine="422" w:firstLineChars="200"/>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bCs/>
          <w:color w:val="auto"/>
          <w:kern w:val="0"/>
          <w:sz w:val="21"/>
          <w:szCs w:val="21"/>
          <w:highlight w:val="none"/>
          <w:lang w:val="en-US" w:eastAsia="zh-CN" w:bidi="ar"/>
        </w:rPr>
        <w:t xml:space="preserve">第一条 项目概况 </w:t>
      </w:r>
    </w:p>
    <w:p w14:paraId="549AD15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u w:val="single"/>
          <w:lang w:val="en-US"/>
        </w:rPr>
      </w:pPr>
      <w:r>
        <w:rPr>
          <w:rFonts w:hint="eastAsia" w:ascii="宋体" w:hAnsi="宋体" w:eastAsia="宋体" w:cs="宋体"/>
          <w:color w:val="auto"/>
          <w:kern w:val="0"/>
          <w:sz w:val="21"/>
          <w:szCs w:val="21"/>
          <w:highlight w:val="none"/>
          <w:lang w:val="en-US" w:eastAsia="zh-CN" w:bidi="ar"/>
        </w:rPr>
        <w:t>1.项目名称：</w:t>
      </w:r>
      <w:r>
        <w:rPr>
          <w:rFonts w:hint="eastAsia" w:ascii="宋体" w:hAnsi="宋体" w:eastAsia="宋体" w:cs="宋体"/>
          <w:color w:val="auto"/>
          <w:kern w:val="0"/>
          <w:sz w:val="21"/>
          <w:szCs w:val="21"/>
          <w:highlight w:val="none"/>
          <w:u w:val="single"/>
          <w:lang w:val="en-US" w:eastAsia="zh-CN" w:bidi="ar"/>
        </w:rPr>
        <w:t xml:space="preserve">2026-2027年浐灞渭河岸线绿化养护服务项目（合同包2）  </w:t>
      </w:r>
    </w:p>
    <w:p w14:paraId="7677AAE6">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2.服务期：自合同签订之日起一年。自2026年 月  日起至2027年 月 日止。</w:t>
      </w:r>
    </w:p>
    <w:p w14:paraId="64661B4A">
      <w:pPr>
        <w:keepNext w:val="0"/>
        <w:keepLines w:val="0"/>
        <w:pageBreakBefore w:val="0"/>
        <w:widowControl/>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3.</w:t>
      </w:r>
      <w:r>
        <w:rPr>
          <w:rFonts w:hint="eastAsia" w:ascii="宋体" w:hAnsi="宋体" w:eastAsia="宋体" w:cs="宋体"/>
          <w:color w:val="auto"/>
          <w:sz w:val="21"/>
          <w:szCs w:val="21"/>
          <w:highlight w:val="none"/>
        </w:rPr>
        <w:t>绿</w:t>
      </w:r>
      <w:r>
        <w:rPr>
          <w:rFonts w:hint="eastAsia" w:ascii="宋体" w:hAnsi="宋体" w:eastAsia="宋体" w:cs="宋体"/>
          <w:color w:val="auto"/>
          <w:sz w:val="21"/>
          <w:szCs w:val="21"/>
          <w:highlight w:val="none"/>
          <w:lang w:val="en-US" w:eastAsia="zh-CN"/>
        </w:rPr>
        <w:t>地</w:t>
      </w:r>
      <w:r>
        <w:rPr>
          <w:rFonts w:hint="eastAsia" w:ascii="宋体" w:hAnsi="宋体" w:eastAsia="宋体" w:cs="宋体"/>
          <w:color w:val="auto"/>
          <w:sz w:val="21"/>
          <w:szCs w:val="21"/>
          <w:highlight w:val="none"/>
        </w:rPr>
        <w:t>养护管理范围</w:t>
      </w:r>
      <w:r>
        <w:rPr>
          <w:rFonts w:hint="eastAsia" w:ascii="宋体" w:hAnsi="宋体" w:eastAsia="宋体" w:cs="宋体"/>
          <w:color w:val="auto"/>
          <w:sz w:val="21"/>
          <w:szCs w:val="21"/>
          <w:highlight w:val="none"/>
          <w:lang w:val="en-US" w:eastAsia="zh-CN"/>
        </w:rPr>
        <w:t>及内容：2026-2027年浐灞渭河岸线绿化养护服务，主要包括：灞河左岸（欧亚一路至秦汉大道）、灞河左岸（秦汉大道至湿地公园）、灞河左岸（柳亭路至北三环）等区域约1000000㎡绿地管理、养护工作。（详见附件一）。实施内容包括：（1）绿地浇水、除草、修剪、施肥、病虫害防治等日常养护工作；（2）绿地、园路、铺装广场的清扫保洁及养护范围内果皮箱、护栏、标牌等设施擦洗保洁工作；（3）绿地内果皮箱、护栏、标牌、健身器材、儿童游乐、桥梁等设施的巡检及维修、维护管理；（4）管理养护范围内的安全秩序巡查及应急抢险工作；（5）养护管理范围内其它相关工作。</w:t>
      </w:r>
    </w:p>
    <w:p w14:paraId="080FA304">
      <w:pPr>
        <w:keepNext w:val="0"/>
        <w:keepLines w:val="0"/>
        <w:pageBreakBefore w:val="0"/>
        <w:widowControl/>
        <w:shd w:val="clear"/>
        <w:kinsoku/>
        <w:wordWrap/>
        <w:overflowPunct/>
        <w:topLinePunct w:val="0"/>
        <w:autoSpaceDE w:val="0"/>
        <w:autoSpaceDN w:val="0"/>
        <w:bidi w:val="0"/>
        <w:adjustRightInd w:val="0"/>
        <w:snapToGrid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 xml:space="preserve">第二条 </w:t>
      </w:r>
      <w:r>
        <w:rPr>
          <w:rFonts w:hint="eastAsia" w:ascii="宋体" w:hAnsi="宋体" w:eastAsia="宋体" w:cs="宋体"/>
          <w:b/>
          <w:color w:val="auto"/>
          <w:sz w:val="21"/>
          <w:szCs w:val="21"/>
          <w:highlight w:val="none"/>
        </w:rPr>
        <w:t>合同组成</w:t>
      </w:r>
    </w:p>
    <w:p w14:paraId="31477B0D">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CN"/>
        </w:rPr>
        <w:t>下述文件是构成本合同不可分割的部分</w:t>
      </w:r>
      <w:r>
        <w:rPr>
          <w:rFonts w:hint="eastAsia" w:ascii="宋体" w:hAnsi="宋体" w:eastAsia="宋体" w:cs="宋体"/>
          <w:color w:val="auto"/>
          <w:sz w:val="21"/>
          <w:szCs w:val="21"/>
          <w:highlight w:val="none"/>
        </w:rPr>
        <w:t>:</w:t>
      </w:r>
    </w:p>
    <w:p w14:paraId="255D51B1">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CN"/>
        </w:rPr>
        <w:t>本合同条款及其所有附件。</w:t>
      </w:r>
    </w:p>
    <w:p w14:paraId="7A0F8118">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CN"/>
        </w:rPr>
        <w:t>甲方的</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及澄清文件。</w:t>
      </w:r>
    </w:p>
    <w:p w14:paraId="1C2CC3BC">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CN"/>
        </w:rPr>
        <w:t>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w:t>
      </w:r>
    </w:p>
    <w:p w14:paraId="482BAEC0">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lang w:val="zh-CN"/>
        </w:rPr>
        <w:t>通知书。</w:t>
      </w:r>
    </w:p>
    <w:p w14:paraId="602C31C6">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zh-CN"/>
        </w:rPr>
        <w:t>法定代表人授权书。</w:t>
      </w:r>
    </w:p>
    <w:p w14:paraId="1BB29758">
      <w:pPr>
        <w:keepNext w:val="0"/>
        <w:keepLines w:val="0"/>
        <w:pageBreakBefore w:val="0"/>
        <w:shd w:val="clear"/>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（6）双方与合同有关的往来信函、传真经双方法定代表人或其授权代表签字并加盖单位公章确认后视为本合同的组成部分。</w:t>
      </w:r>
    </w:p>
    <w:p w14:paraId="40409430">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（7）经双方法定代表人或其授权代表签字并加盖单位公章确认的补充协议。</w:t>
      </w:r>
    </w:p>
    <w:p w14:paraId="3279FD33">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CN"/>
        </w:rPr>
        <w:t>如果乙方的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文件及质疑解答文件内容违背或低于甲方</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要求或任何可能导致影响当次采购目的的情形，均应当被视为乙方自动放弃</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文件及质疑解答文件中相应部分而同意以</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相应内容为准。如果乙方的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文件及质疑解答文件内容高于甲方</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要求，则以乙方的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文件及质疑解答文件内容为准。如果合同条款与合同附件有矛盾之处，以合同条款内容为准。</w:t>
      </w:r>
      <w:r>
        <w:rPr>
          <w:rFonts w:hint="eastAsia" w:ascii="宋体" w:hAnsi="宋体" w:eastAsia="宋体" w:cs="宋体"/>
          <w:color w:val="auto"/>
          <w:sz w:val="21"/>
          <w:szCs w:val="21"/>
          <w:highlight w:val="none"/>
        </w:rPr>
        <w:t>如果合同附件之间有矛盾之处，以有利于甲方的附件内容为准。</w:t>
      </w:r>
    </w:p>
    <w:p w14:paraId="27746334">
      <w:pPr>
        <w:keepNext w:val="0"/>
        <w:keepLines w:val="0"/>
        <w:pageBreakBefore w:val="0"/>
        <w:shd w:val="clear"/>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7D2D56B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第三条 质量内容及质量标准</w:t>
      </w:r>
    </w:p>
    <w:p w14:paraId="552A2D7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绿化养护质量应达到国家及行业标准，并满足国家、省、市绿化养护相关文件标准及《西安浐灞国际港园林绿化养护管理标准》（附件二）、《西安浐灞国际港绿地管护工作考评办法》（附件五）</w:t>
      </w:r>
    </w:p>
    <w:p w14:paraId="283031D0">
      <w:pPr>
        <w:keepNext w:val="0"/>
        <w:keepLines w:val="0"/>
        <w:pageBreakBefore w:val="0"/>
        <w:widowControl/>
        <w:suppressLineNumbers w:val="0"/>
        <w:shd w:val="clear"/>
        <w:kinsoku/>
        <w:wordWrap/>
        <w:overflowPunct/>
        <w:topLinePunct w:val="0"/>
        <w:bidi w:val="0"/>
        <w:adjustRightInd w:val="0"/>
        <w:snapToGrid w:val="0"/>
        <w:spacing w:line="360" w:lineRule="auto"/>
        <w:ind w:firstLine="422"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第四条 合同价款</w:t>
      </w:r>
    </w:p>
    <w:p w14:paraId="68430EB6">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1.本合同暂定总价：小写(￥)：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元；大写（人民币）：</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元，包括养护费用总价款暂定为：小写(￥)：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元；大写（人民币）：</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元，预留金：</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w:t>
      </w:r>
    </w:p>
    <w:p w14:paraId="3B5F5D9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全费用单价：</w:t>
      </w:r>
      <w:r>
        <w:rPr>
          <w:rFonts w:hint="eastAsia" w:ascii="宋体" w:hAnsi="宋体" w:eastAsia="宋体" w:cs="宋体"/>
          <w:bCs w:val="0"/>
          <w:color w:val="auto"/>
          <w:kern w:val="0"/>
          <w:sz w:val="21"/>
          <w:szCs w:val="21"/>
          <w:highlight w:val="none"/>
          <w:lang w:val="en-US" w:eastAsia="zh-CN" w:bidi="ar-SA"/>
        </w:rPr>
        <w:t>一级：</w:t>
      </w:r>
      <w:r>
        <w:rPr>
          <w:rFonts w:hint="eastAsia" w:ascii="宋体" w:hAnsi="宋体" w:eastAsia="宋体" w:cs="宋体"/>
          <w:bCs w:val="0"/>
          <w:color w:val="auto"/>
          <w:kern w:val="0"/>
          <w:sz w:val="21"/>
          <w:szCs w:val="21"/>
          <w:highlight w:val="none"/>
          <w:u w:val="single"/>
          <w:lang w:val="en-US" w:eastAsia="zh-CN" w:bidi="ar-SA"/>
        </w:rPr>
        <w:t xml:space="preserve">     </w:t>
      </w:r>
      <w:r>
        <w:rPr>
          <w:rFonts w:hint="eastAsia" w:ascii="宋体" w:hAnsi="宋体" w:eastAsia="宋体" w:cs="宋体"/>
          <w:bCs w:val="0"/>
          <w:color w:val="auto"/>
          <w:kern w:val="0"/>
          <w:sz w:val="21"/>
          <w:szCs w:val="21"/>
          <w:highlight w:val="none"/>
          <w:lang w:val="en-US" w:eastAsia="zh-CN" w:bidi="ar-SA"/>
        </w:rPr>
        <w:t>元/㎡</w:t>
      </w:r>
      <w:r>
        <w:rPr>
          <w:rFonts w:hint="eastAsia" w:ascii="宋体" w:hAnsi="宋体" w:eastAsia="宋体" w:cs="宋体"/>
          <w:b w:val="0"/>
          <w:bCs w:val="0"/>
          <w:color w:val="auto"/>
          <w:kern w:val="0"/>
          <w:sz w:val="24"/>
          <w:szCs w:val="24"/>
          <w:highlight w:val="none"/>
          <w:u w:val="none"/>
          <w:lang w:val="en-US" w:eastAsia="zh-CN" w:bidi="ar"/>
        </w:rPr>
        <w:t>/年</w:t>
      </w:r>
      <w:r>
        <w:rPr>
          <w:rFonts w:hint="eastAsia" w:ascii="宋体" w:hAnsi="宋体" w:eastAsia="宋体" w:cs="宋体"/>
          <w:bCs w:val="0"/>
          <w:color w:val="auto"/>
          <w:kern w:val="0"/>
          <w:sz w:val="21"/>
          <w:szCs w:val="21"/>
          <w:highlight w:val="none"/>
          <w:lang w:val="en-US" w:eastAsia="zh-CN" w:bidi="ar-SA"/>
        </w:rPr>
        <w:t>；二级：</w:t>
      </w:r>
      <w:r>
        <w:rPr>
          <w:rFonts w:hint="eastAsia" w:ascii="宋体" w:hAnsi="宋体" w:eastAsia="宋体" w:cs="宋体"/>
          <w:bCs w:val="0"/>
          <w:color w:val="auto"/>
          <w:kern w:val="0"/>
          <w:sz w:val="21"/>
          <w:szCs w:val="21"/>
          <w:highlight w:val="none"/>
          <w:u w:val="single"/>
          <w:lang w:val="en-US" w:eastAsia="zh-CN" w:bidi="ar-SA"/>
        </w:rPr>
        <w:t xml:space="preserve">     </w:t>
      </w:r>
      <w:r>
        <w:rPr>
          <w:rFonts w:hint="eastAsia" w:ascii="宋体" w:hAnsi="宋体" w:eastAsia="宋体" w:cs="宋体"/>
          <w:bCs w:val="0"/>
          <w:color w:val="auto"/>
          <w:kern w:val="0"/>
          <w:sz w:val="21"/>
          <w:szCs w:val="21"/>
          <w:highlight w:val="none"/>
          <w:lang w:val="en-US" w:eastAsia="zh-CN" w:bidi="ar-SA"/>
        </w:rPr>
        <w:t>元/㎡</w:t>
      </w:r>
      <w:r>
        <w:rPr>
          <w:rFonts w:hint="eastAsia" w:ascii="宋体" w:hAnsi="宋体" w:eastAsia="宋体" w:cs="宋体"/>
          <w:b w:val="0"/>
          <w:bCs w:val="0"/>
          <w:color w:val="auto"/>
          <w:kern w:val="0"/>
          <w:sz w:val="24"/>
          <w:szCs w:val="24"/>
          <w:highlight w:val="none"/>
          <w:u w:val="none"/>
          <w:lang w:val="en-US" w:eastAsia="zh-CN" w:bidi="ar"/>
        </w:rPr>
        <w:t>/年</w:t>
      </w:r>
      <w:r>
        <w:rPr>
          <w:rFonts w:hint="eastAsia" w:ascii="宋体" w:hAnsi="宋体" w:eastAsia="宋体" w:cs="宋体"/>
          <w:b w:val="0"/>
          <w:bCs w:val="0"/>
          <w:color w:val="auto"/>
          <w:kern w:val="0"/>
          <w:sz w:val="21"/>
          <w:szCs w:val="21"/>
          <w:highlight w:val="none"/>
          <w:u w:val="none"/>
          <w:lang w:val="en-US" w:eastAsia="zh-CN" w:bidi="ar"/>
        </w:rPr>
        <w:t>。</w:t>
      </w:r>
    </w:p>
    <w:p w14:paraId="3B543B08">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2.合同形式：</w:t>
      </w:r>
      <w:r>
        <w:rPr>
          <w:rFonts w:hint="eastAsia" w:ascii="宋体" w:hAnsi="宋体" w:eastAsia="宋体" w:cs="宋体"/>
          <w:color w:val="auto"/>
          <w:sz w:val="21"/>
          <w:szCs w:val="21"/>
          <w:highlight w:val="none"/>
          <w:u w:val="none"/>
          <w:lang w:val="en-US" w:eastAsia="zh-CN"/>
        </w:rPr>
        <w:t xml:space="preserve">固定单价合同 </w:t>
      </w:r>
    </w:p>
    <w:p w14:paraId="7D59E9E3">
      <w:pPr>
        <w:keepNext w:val="0"/>
        <w:keepLines w:val="0"/>
        <w:pageBreakBefore w:val="0"/>
        <w:widowControl/>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单价为本次服务要求内容且验收合格的所有费用,报价包括招标范围内绿地养护费用：绿地、园路、铺装广场、果皮箱、护栏、标牌等设施保洁及垃圾清运费用、绿地巡查及日常管理费用、人工、材料、机械、管理费、招标代理服务费、利润、规费、税金及市场浮动风险等所需的全部费用。任何错报、漏报由供应商自行负责，结算时不再做任何调整，</w:t>
      </w:r>
      <w:r>
        <w:rPr>
          <w:rFonts w:hint="eastAsia" w:ascii="宋体" w:hAnsi="宋体" w:eastAsia="宋体" w:cs="宋体"/>
          <w:color w:val="auto"/>
          <w:kern w:val="0"/>
          <w:sz w:val="21"/>
          <w:szCs w:val="21"/>
          <w:highlight w:val="none"/>
          <w:lang w:val="en-US" w:eastAsia="zh-CN" w:bidi="ar"/>
        </w:rPr>
        <w:t>具体单价明细详见附件一。</w:t>
      </w:r>
    </w:p>
    <w:p w14:paraId="521F259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3.本合同总价包括合同执行期间新增养护面积产生费用及其他费用。</w:t>
      </w:r>
    </w:p>
    <w:p w14:paraId="6ADD07A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（1）新增面积：以甲方下发的进场通知单为准。新增费用：以进场通知单确定的时间、等级、标准，参照投标文件确定的价格，核定新增面积费用。</w:t>
      </w:r>
    </w:p>
    <w:p w14:paraId="6EB7F81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2）其他费用：包括公园广场水电费、设施维修费、补栽苗木主材等,以甲方下发的派工单、通知单等其他文件为准，若有涉及相关工程类事项，单价采用固定全费用单价模式，费用按差价模式计算，按《陕西省建设工程工程量清单计价规则》（2009版）、《陕西省建筑工程、安装工程、装饰工程、市政工程、园林绿化工程消耗量定额》（2004版）及陕西省2009年价目表，人工、机械、管理费、利润、规费、税金等按当期最新计价文件规定执行，钢材、商品砼、砂浆、砂、石子、石灰、水泥、砌块采用投标当期《陕西工程造价信息》进行计算，其余材料及设备采用市场询价，双方共同确认。</w:t>
      </w:r>
    </w:p>
    <w:p w14:paraId="2B7B6D7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第五条 付款方式及付款依据</w:t>
      </w:r>
    </w:p>
    <w:p w14:paraId="5AACF5F1">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1.结算方式:</w:t>
      </w:r>
    </w:p>
    <w:p w14:paraId="4459430C">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1)预付款支付条款:无</w:t>
      </w:r>
    </w:p>
    <w:p w14:paraId="047C571F">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2)剩余款项支付条款:</w:t>
      </w:r>
    </w:p>
    <w:p w14:paraId="74DF6658">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每季度末，乙方向甲方申报本季度养护费用，包含既有面积养护、新增面积养护，甲方核定完成后，支付本次核定费用的90%。</w:t>
      </w:r>
    </w:p>
    <w:p w14:paraId="3D744AC1">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每半年乙方申报一次使用预留金的新增工作内容的费用，按照甲方出具的结算报告的金额100%支付。</w:t>
      </w:r>
    </w:p>
    <w:p w14:paraId="5F95BCED">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以上季度、半年计算方法为:自合同生效之日起，计算。如:2026年8月11日至2026年11月10日为一个季度。</w:t>
      </w:r>
    </w:p>
    <w:p w14:paraId="4DDC0F6F">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合同期结束，甲乙双方对所有完成内容进行结算，并支付剩余费用。</w:t>
      </w:r>
    </w:p>
    <w:p w14:paraId="434E16CB">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2.付款依据:</w:t>
      </w:r>
    </w:p>
    <w:p w14:paraId="767C1E32">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default" w:ascii="宋体" w:hAnsi="宋体" w:eastAsia="宋体" w:cs="宋体"/>
          <w:i w:val="0"/>
          <w:iCs w:val="0"/>
          <w:caps w:val="0"/>
          <w:color w:val="auto"/>
          <w:spacing w:val="0"/>
          <w:kern w:val="0"/>
          <w:sz w:val="21"/>
          <w:szCs w:val="21"/>
          <w:highlight w:val="none"/>
          <w:u w:val="none"/>
          <w:lang w:val="en-US" w:eastAsia="zh-CN" w:bidi="ar-SA"/>
        </w:rPr>
        <w:t>①</w:t>
      </w:r>
      <w:r>
        <w:rPr>
          <w:rFonts w:hint="eastAsia" w:ascii="宋体" w:hAnsi="宋体" w:eastAsia="宋体" w:cs="宋体"/>
          <w:i w:val="0"/>
          <w:iCs w:val="0"/>
          <w:caps w:val="0"/>
          <w:color w:val="auto"/>
          <w:spacing w:val="0"/>
          <w:kern w:val="0"/>
          <w:sz w:val="21"/>
          <w:szCs w:val="21"/>
          <w:highlight w:val="none"/>
          <w:u w:val="none"/>
          <w:lang w:val="en-US" w:eastAsia="zh-CN" w:bidi="ar-SA"/>
        </w:rPr>
        <w:t>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1AFCDD06">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②甲方通过银行转账方式支付相应款项，乙方若变更收款账户的，应在甲方付款前至少提前15天以书面形式通知甲方，否则相关法律后果均由乙方自行承担。</w:t>
      </w:r>
    </w:p>
    <w:p w14:paraId="0A215619">
      <w:pPr>
        <w:keepNext w:val="0"/>
        <w:keepLines w:val="0"/>
        <w:pageBreakBefore w:val="0"/>
        <w:widowControl/>
        <w:suppressLineNumbers w:val="0"/>
        <w:shd w:val="clear"/>
        <w:kinsoku/>
        <w:wordWrap/>
        <w:overflowPunct/>
        <w:topLinePunct w:val="0"/>
        <w:bidi w:val="0"/>
        <w:adjustRightInd w:val="0"/>
        <w:snapToGrid w:val="0"/>
        <w:spacing w:line="360" w:lineRule="auto"/>
        <w:ind w:firstLine="422" w:firstLineChars="200"/>
        <w:jc w:val="left"/>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第六条 其他约定</w:t>
      </w:r>
    </w:p>
    <w:p w14:paraId="270ACB33">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合同期限届满后，双方进行结算审计，结算审计过程中，乙方须无条件配合，基本审计费由甲方承担，审计成果费由乙方承担，具体费用以造价咨询合同为准。</w:t>
      </w:r>
    </w:p>
    <w:p w14:paraId="616C3784">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第七条 合同双方的权利与义务 </w:t>
      </w:r>
    </w:p>
    <w:p w14:paraId="0771B77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（一）甲方权利与义务</w:t>
      </w:r>
    </w:p>
    <w:p w14:paraId="7998C42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1.甲方有义务明确乙方工作责任范围。</w:t>
      </w:r>
    </w:p>
    <w:p w14:paraId="0829991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2.甲方按照《西安浐灞国际港园林绿化养护管理标准》对乙方绿地养护工作进行考核，乙方应按照甲方制定的标准开展相关工作。</w:t>
      </w:r>
    </w:p>
    <w:p w14:paraId="1144E40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3.甲方有权要求乙方制定相关管理计划、管理办法及管理制度等，切实做好本项目养护管理工作。</w:t>
      </w:r>
    </w:p>
    <w:p w14:paraId="2E8B0D8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4.甲方可随时对乙方绿化养护管理工作进行抽查，发现问题的，有权限期要求乙方整改。</w:t>
      </w:r>
    </w:p>
    <w:p w14:paraId="749BB0F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5.为使本合同顺利履行，在职责范围内协调解决乙方绿化养护工作所需的水、电等配套设施。</w:t>
      </w:r>
    </w:p>
    <w:p w14:paraId="5B6224B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6.负责指定专人对乙方工作进行监督和检查，及时组织验收。</w:t>
      </w:r>
    </w:p>
    <w:p w14:paraId="7E44617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7.在合同后期履行过程中，因养护标准、人数配置等发生变化的，甲方应据实增加相关费用，双方协商一致后，另行签订补充协议予以确定。 </w:t>
      </w:r>
    </w:p>
    <w:p w14:paraId="43CD8104">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8.甲方有权对乙方提交的补栽、维修清单进行审核确认。</w:t>
      </w:r>
    </w:p>
    <w:p w14:paraId="5C31517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9.对于本合同约定范围外的工作内容，甲方应提前书面告知乙方，同时组织相关单位对现场进行移交，确定工作区域及标准，交接管护日期以甲方书面通知日期为准。</w:t>
      </w:r>
    </w:p>
    <w:p w14:paraId="2B55A2C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10.甲方按照合同约定及时向乙方付款。</w:t>
      </w:r>
    </w:p>
    <w:p w14:paraId="177EC59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（二）乙方权利与义务</w:t>
      </w:r>
    </w:p>
    <w:p w14:paraId="7C9ED61B">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1.乙方应严格按照《西安浐灞国际港园林绿化养护管理标准》，开展相关工作。</w:t>
      </w:r>
    </w:p>
    <w:p w14:paraId="42CC759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2.乙方应加强日常管理，编制工作方案，制定工作计划，加强日常巡检对存在问题及时整改，对重点区域实行专人负责制。</w:t>
      </w:r>
    </w:p>
    <w:p w14:paraId="620D8A5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3.乙方应按照甲方的要求配合完成上级部门检查考核等工作。</w:t>
      </w:r>
    </w:p>
    <w:p w14:paraId="0362869C">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4.如遇市、区重大活动和节日庆典，乙方应无条件按照甲方要求，完成绿化养护保障相关工作。</w:t>
      </w:r>
    </w:p>
    <w:p w14:paraId="42FA9B1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乙方应确保合同约定范围内绿地的养护工作的正常进行，确保按时完成养护绿地范围内各类苗木的修剪、清掏、补栽、浇灌、施肥、病虫害防治等工作。及时清理死苗，在绿化季内进行补植，补种同类苗木，并加强养护管理措施，保证补植成活率。</w:t>
      </w:r>
    </w:p>
    <w:p w14:paraId="7C6E8EB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6.乙方应做好绿地内座椅、园林绿化景观小品、广场硬铺装等公用设施的管护工作，确保干净整洁、无破损。如需更换维修的，需书面报送甲方同意后，再进行维修更换。</w:t>
      </w:r>
    </w:p>
    <w:p w14:paraId="366C36A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7.乙方应按照市、区安全生产管理要求，履行安全生产主体责任，确保全年无重大安全事故。</w:t>
      </w:r>
    </w:p>
    <w:p w14:paraId="42153DC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8.乙方应提供补栽、维修计划，待甲方确认后及时实施。</w:t>
      </w:r>
    </w:p>
    <w:p w14:paraId="0FD67C3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第八条 验收考核及处罚</w:t>
      </w:r>
    </w:p>
    <w:p w14:paraId="3B03A05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1.甲方根据本合同第三条约定的质量标准进行验收、考核，验收、考核存在问题的，有权要求乙方限期整改。</w:t>
      </w:r>
    </w:p>
    <w:p w14:paraId="6EA08A3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本合同期限内，甲方根据国家、省、市、区绿地养护相关文件、标准，按照《西安浐灞国际港绿地管护工作考评办法》（详见附件五）每月对乙方（按照《西安浐灞国际港绿化养护管理手册》管理要求划分养护单位）工作实施考核、验收，并对检查结果进行通报，相关考核扣款从当季进度款支付中扣除。</w:t>
      </w:r>
    </w:p>
    <w:p w14:paraId="7CF2B91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乙方项目经理或管理人员在工作中出现推诿扯皮，态度消极，各项工作落实不及时不到位等不符合甲方要求的行为，甲方有权通知乙方更换项目经理及相关管理人员，乙方收到更换人员通知后10天内无条件完成更换，未按期更换的按照2万元/月/人的标准进行扣款，费用直接从当季进度款支付中扣除。</w:t>
      </w:r>
    </w:p>
    <w:p w14:paraId="12D0ECB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乙方项目经理要求人证合一，按时上岗，出现脱岗、顶岗的发现一次，单次处罚1万元，项目经理若有事外出须出示书面请假于甲方批准方可外出，对私自外出或离岗而未完成请假手续的个人每次1万元经济处罚。</w:t>
      </w:r>
    </w:p>
    <w:p w14:paraId="3E3380BC">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乙方项目经理及主要管理人员电话须保持24小时畅通，对电话无故失联的对失联人进行约谈警告，因失联造成应急、抢险等工作延误被相关部门督办的每次处罚2万元经济处罚并承担全部责任，处罚罚款在季度养护费用中扣除。同时启动更换项目经理流程。</w:t>
      </w:r>
    </w:p>
    <w:p w14:paraId="7508DC4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6.乙方必须配备持证专职安全管理人员。严禁兼职挂靠，缺证缺人、对因缺证缺人造成的隐患投诉和安全事故发生处每次1至5万元的经济处罚，罚款在当季度进度中款扣除。</w:t>
      </w:r>
    </w:p>
    <w:p w14:paraId="6ACD82C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7.在绿化养护月度考核验收中，第一次出现排名后三且考评为差（月度考评成绩70分以下）的养护单元，对乙方单位公司领导及项目经理进行约谈，对养护单元管理负责人及主要管理人员进行提醒警告。</w:t>
      </w:r>
    </w:p>
    <w:p w14:paraId="73CFA32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8.在绿化养护月度考核验收中，累计两次出现排名后三且考评为差（月度考评成绩70分以下）的养护单元，甲方可要求乙方更换养护单元管理负责人及主要管理人员。</w:t>
      </w:r>
    </w:p>
    <w:p w14:paraId="17A1E996">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9.在绿化养护月度考核验收中，累计三次排名后三且考评为差（月度考评成绩70分以下）的养护单元，甲方有权单方解除该养护单元养护关系，委托其它单位负责该单元养护工作。</w:t>
      </w:r>
    </w:p>
    <w:p w14:paraId="7DE4BF9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kern w:val="0"/>
          <w:sz w:val="21"/>
          <w:szCs w:val="21"/>
          <w:highlight w:val="none"/>
          <w:lang w:val="en-US" w:eastAsia="zh-CN" w:bidi="ar"/>
        </w:rPr>
        <w:t>第九条 违约责任</w:t>
      </w:r>
    </w:p>
    <w:p w14:paraId="6041E966">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1.乙方未按合同约定达到绿化养护工作目标，或养护管理不到位，养护质量不合格，未达到相应的工作考核要求的，甲方按照合同第十条进行考核及处罚。</w:t>
      </w:r>
    </w:p>
    <w:p w14:paraId="361E1134">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第十条 合同解除条款 </w:t>
      </w:r>
    </w:p>
    <w:p w14:paraId="0169BBE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1.本合同期限内，乙方有下列行为之一的，甲方有权单方解除本合同：</w:t>
      </w:r>
    </w:p>
    <w:p w14:paraId="458F6EE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（1）因乙方原因造成社会不良影响的；</w:t>
      </w:r>
    </w:p>
    <w:p w14:paraId="39A19A0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（2）因乙方原因造成社会不稳定因素的；</w:t>
      </w:r>
    </w:p>
    <w:p w14:paraId="4909821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（3）乙方在重大活动或接待工作中不听甲方指挥安排的。</w:t>
      </w:r>
    </w:p>
    <w:p w14:paraId="0B65DE3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（4）乙方未按甲方要求或《西安浐灞国际港园林绿化养护管理标准》服务，经甲方提出后逾期整改或拒绝整改的；</w:t>
      </w:r>
    </w:p>
    <w:p w14:paraId="7DE8FB0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color w:val="auto"/>
          <w:highlight w:val="none"/>
          <w:lang w:val="en-US" w:eastAsia="zh-CN"/>
        </w:rPr>
      </w:pPr>
      <w:r>
        <w:rPr>
          <w:rFonts w:hint="eastAsia" w:ascii="宋体" w:hAnsi="宋体" w:eastAsia="宋体" w:cs="宋体"/>
          <w:color w:val="auto"/>
          <w:kern w:val="0"/>
          <w:sz w:val="21"/>
          <w:szCs w:val="21"/>
          <w:highlight w:val="none"/>
          <w:lang w:val="en-US" w:eastAsia="zh-CN" w:bidi="ar"/>
        </w:rPr>
        <w:t>（5）未经甲方书面同意擅自分包或转包的；</w:t>
      </w:r>
    </w:p>
    <w:p w14:paraId="389A346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乙方具有上述行为之一的，应当在收到甲方《单方解除合同通知书》后，本合同自动解除。甲方应按照合同约定根据乙方实际工作情况据实结算并支付相应费用。</w:t>
      </w:r>
    </w:p>
    <w:p w14:paraId="2A5D825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合同期限内，任何一方的违约行为导致本合同解除，给守约方造成经济损失的，违约方应按照约定绿化养护管理费用总额的10%向守约方支付违约金，并赔偿由此造成的经济损失，赔偿范围包括但不限于诉讼费、鉴定费、执行费、律师服务费，以及守约方维权过程中所产生的交通食宿费等合理的经济损失。</w:t>
      </w:r>
    </w:p>
    <w:p w14:paraId="4B0A0FE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3.因一方违约或不可抗力导致本合同不能继续履行，另一方有权解除合同，并应在上述事项发生后三十天内书面通知对方，本合同在解除通知送达对方的同时自行解除。</w:t>
      </w:r>
    </w:p>
    <w:p w14:paraId="5C108B7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第十一条 争议解决条款</w:t>
      </w:r>
    </w:p>
    <w:p w14:paraId="26CA749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本合同履行过程中发生争议的，双方应友好协商解决，协商不成的，任何一方均有权向合同履行地（西安市灞桥区）有管辖权的人民法院起诉。</w:t>
      </w:r>
    </w:p>
    <w:p w14:paraId="522EE7F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第十二条 监督和管理 </w:t>
      </w:r>
    </w:p>
    <w:p w14:paraId="6E20250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1.政府采购合同履行中，甲方需追加与合同标的相同服务的，在不改变合同其他条款的前提下，可以与乙方协商签订补充合同，但所有补充合同的采购金额不得超过原合同采购金额的百分之十。 </w:t>
      </w:r>
    </w:p>
    <w:p w14:paraId="10ABFE14">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2.甲乙双方均应自觉配合有关监督管理部门对合同履行情况的监督检查，如实反映情况，提供有关资料；否则，将对有关单位、当事人按照有关规定予以处罚。</w:t>
      </w:r>
    </w:p>
    <w:p w14:paraId="6248A22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第十三条 不可抗力 </w:t>
      </w:r>
    </w:p>
    <w:p w14:paraId="65E04BA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w:t>
      </w:r>
    </w:p>
    <w:p w14:paraId="04C0CEE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 xml:space="preserve">第十四条 合同订立 </w:t>
      </w:r>
    </w:p>
    <w:p w14:paraId="165849F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1.订立时间：</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年</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月</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日。 </w:t>
      </w:r>
    </w:p>
    <w:p w14:paraId="754BA73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2.订立地点：</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w:t>
      </w:r>
    </w:p>
    <w:p w14:paraId="6F870DC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3.本合同自双方签字、盖章之日起生效，合同文本一式</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份，甲乙双方各执</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份，具同等法律效力。</w:t>
      </w:r>
    </w:p>
    <w:p w14:paraId="66DDDDF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4.本合同附件是本合同的组成部分，与本合同具有同等法律效力，包括：</w:t>
      </w:r>
    </w:p>
    <w:p w14:paraId="6AD66EBC">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附件一：XX 年度绿化养护工作内容及费用明细</w:t>
      </w:r>
    </w:p>
    <w:p w14:paraId="344E51F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附件二：西安浐灞国际港园林绿化养护管理标准</w:t>
      </w:r>
    </w:p>
    <w:p w14:paraId="75E08ABB">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附件三：本项目的人员配置情况表</w:t>
      </w:r>
    </w:p>
    <w:p w14:paraId="1A177F4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附件四：投入机械设备情况表</w:t>
      </w:r>
    </w:p>
    <w:p w14:paraId="799B2F5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附件五：西安浐灞国际港绿地管护工作考评办法</w:t>
      </w:r>
    </w:p>
    <w:p w14:paraId="0266F17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附件六：西安浐灞国际港绿化养护管理手册</w:t>
      </w:r>
    </w:p>
    <w:p w14:paraId="5740B7D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（以下无正文）</w:t>
      </w:r>
    </w:p>
    <w:p w14:paraId="1DE1B51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p>
    <w:p w14:paraId="3ACEF04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p>
    <w:tbl>
      <w:tblPr>
        <w:tblStyle w:val="5"/>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526B21AC">
        <w:tblPrEx>
          <w:tblCellMar>
            <w:top w:w="0" w:type="dxa"/>
            <w:left w:w="108" w:type="dxa"/>
            <w:bottom w:w="0" w:type="dxa"/>
            <w:right w:w="108" w:type="dxa"/>
          </w:tblCellMar>
        </w:tblPrEx>
        <w:trPr>
          <w:trHeight w:val="454" w:hRule="atLeast"/>
        </w:trPr>
        <w:tc>
          <w:tcPr>
            <w:tcW w:w="4201" w:type="dxa"/>
            <w:vAlign w:val="center"/>
          </w:tcPr>
          <w:p w14:paraId="319EDB8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w:t>
            </w:r>
          </w:p>
        </w:tc>
        <w:tc>
          <w:tcPr>
            <w:tcW w:w="4202" w:type="dxa"/>
            <w:vAlign w:val="center"/>
          </w:tcPr>
          <w:p w14:paraId="2013649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  方</w:t>
            </w:r>
          </w:p>
        </w:tc>
      </w:tr>
      <w:tr w14:paraId="08F0059D">
        <w:tblPrEx>
          <w:tblCellMar>
            <w:top w:w="0" w:type="dxa"/>
            <w:left w:w="108" w:type="dxa"/>
            <w:bottom w:w="0" w:type="dxa"/>
            <w:right w:w="108" w:type="dxa"/>
          </w:tblCellMar>
        </w:tblPrEx>
        <w:trPr>
          <w:trHeight w:val="454" w:hRule="atLeast"/>
        </w:trPr>
        <w:tc>
          <w:tcPr>
            <w:tcW w:w="4201" w:type="dxa"/>
            <w:vAlign w:val="center"/>
          </w:tcPr>
          <w:p w14:paraId="647E292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c>
          <w:tcPr>
            <w:tcW w:w="4202" w:type="dxa"/>
            <w:vAlign w:val="center"/>
          </w:tcPr>
          <w:p w14:paraId="3B1FAA2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r>
      <w:tr w14:paraId="1DCBDFFD">
        <w:tblPrEx>
          <w:tblCellMar>
            <w:top w:w="0" w:type="dxa"/>
            <w:left w:w="108" w:type="dxa"/>
            <w:bottom w:w="0" w:type="dxa"/>
            <w:right w:w="108" w:type="dxa"/>
          </w:tblCellMar>
        </w:tblPrEx>
        <w:trPr>
          <w:trHeight w:val="454" w:hRule="atLeast"/>
        </w:trPr>
        <w:tc>
          <w:tcPr>
            <w:tcW w:w="4201" w:type="dxa"/>
            <w:vAlign w:val="center"/>
          </w:tcPr>
          <w:p w14:paraId="1710CA7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p>
        </w:tc>
        <w:tc>
          <w:tcPr>
            <w:tcW w:w="4202" w:type="dxa"/>
            <w:vAlign w:val="center"/>
          </w:tcPr>
          <w:p w14:paraId="32CE4A1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tc>
      </w:tr>
      <w:tr w14:paraId="7EA844C1">
        <w:tblPrEx>
          <w:tblCellMar>
            <w:top w:w="0" w:type="dxa"/>
            <w:left w:w="108" w:type="dxa"/>
            <w:bottom w:w="0" w:type="dxa"/>
            <w:right w:w="108" w:type="dxa"/>
          </w:tblCellMar>
        </w:tblPrEx>
        <w:trPr>
          <w:trHeight w:val="454" w:hRule="atLeast"/>
        </w:trPr>
        <w:tc>
          <w:tcPr>
            <w:tcW w:w="4201" w:type="dxa"/>
            <w:vAlign w:val="center"/>
          </w:tcPr>
          <w:p w14:paraId="4B47897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c>
          <w:tcPr>
            <w:tcW w:w="4202" w:type="dxa"/>
            <w:vAlign w:val="center"/>
          </w:tcPr>
          <w:p w14:paraId="7FD220B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r>
      <w:tr w14:paraId="705854DA">
        <w:tblPrEx>
          <w:tblCellMar>
            <w:top w:w="0" w:type="dxa"/>
            <w:left w:w="108" w:type="dxa"/>
            <w:bottom w:w="0" w:type="dxa"/>
            <w:right w:w="108" w:type="dxa"/>
          </w:tblCellMar>
        </w:tblPrEx>
        <w:trPr>
          <w:trHeight w:val="454" w:hRule="atLeast"/>
        </w:trPr>
        <w:tc>
          <w:tcPr>
            <w:tcW w:w="4201" w:type="dxa"/>
            <w:vAlign w:val="center"/>
          </w:tcPr>
          <w:p w14:paraId="25C800F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w:t>
            </w:r>
          </w:p>
        </w:tc>
        <w:tc>
          <w:tcPr>
            <w:tcW w:w="4202" w:type="dxa"/>
            <w:vAlign w:val="center"/>
          </w:tcPr>
          <w:p w14:paraId="23CB850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tc>
      </w:tr>
      <w:tr w14:paraId="2166802A">
        <w:tblPrEx>
          <w:tblCellMar>
            <w:top w:w="0" w:type="dxa"/>
            <w:left w:w="108" w:type="dxa"/>
            <w:bottom w:w="0" w:type="dxa"/>
            <w:right w:w="108" w:type="dxa"/>
          </w:tblCellMar>
        </w:tblPrEx>
        <w:trPr>
          <w:trHeight w:val="454" w:hRule="atLeast"/>
        </w:trPr>
        <w:tc>
          <w:tcPr>
            <w:tcW w:w="4201" w:type="dxa"/>
            <w:vAlign w:val="center"/>
          </w:tcPr>
          <w:p w14:paraId="4C40026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tc>
        <w:tc>
          <w:tcPr>
            <w:tcW w:w="4202" w:type="dxa"/>
            <w:vAlign w:val="center"/>
          </w:tcPr>
          <w:p w14:paraId="2B2C186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tc>
      </w:tr>
      <w:tr w14:paraId="7A7B9F30">
        <w:tblPrEx>
          <w:tblCellMar>
            <w:top w:w="0" w:type="dxa"/>
            <w:left w:w="108" w:type="dxa"/>
            <w:bottom w:w="0" w:type="dxa"/>
            <w:right w:w="108" w:type="dxa"/>
          </w:tblCellMar>
        </w:tblPrEx>
        <w:trPr>
          <w:trHeight w:val="454" w:hRule="atLeast"/>
        </w:trPr>
        <w:tc>
          <w:tcPr>
            <w:tcW w:w="4201" w:type="dxa"/>
            <w:vAlign w:val="center"/>
          </w:tcPr>
          <w:p w14:paraId="2A39A40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4202" w:type="dxa"/>
            <w:vAlign w:val="center"/>
          </w:tcPr>
          <w:p w14:paraId="60C2928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r>
      <w:tr w14:paraId="29D1004A">
        <w:tblPrEx>
          <w:tblCellMar>
            <w:top w:w="0" w:type="dxa"/>
            <w:left w:w="108" w:type="dxa"/>
            <w:bottom w:w="0" w:type="dxa"/>
            <w:right w:w="108" w:type="dxa"/>
          </w:tblCellMar>
        </w:tblPrEx>
        <w:trPr>
          <w:trHeight w:val="454" w:hRule="atLeast"/>
        </w:trPr>
        <w:tc>
          <w:tcPr>
            <w:tcW w:w="4201" w:type="dxa"/>
            <w:vAlign w:val="center"/>
          </w:tcPr>
          <w:p w14:paraId="62C4442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c>
          <w:tcPr>
            <w:tcW w:w="4202" w:type="dxa"/>
            <w:vAlign w:val="center"/>
          </w:tcPr>
          <w:p w14:paraId="366E080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r>
      <w:tr w14:paraId="386D76D1">
        <w:tblPrEx>
          <w:tblCellMar>
            <w:top w:w="0" w:type="dxa"/>
            <w:left w:w="108" w:type="dxa"/>
            <w:bottom w:w="0" w:type="dxa"/>
            <w:right w:w="108" w:type="dxa"/>
          </w:tblCellMar>
        </w:tblPrEx>
        <w:trPr>
          <w:trHeight w:val="454" w:hRule="atLeast"/>
        </w:trPr>
        <w:tc>
          <w:tcPr>
            <w:tcW w:w="4201" w:type="dxa"/>
            <w:vAlign w:val="center"/>
          </w:tcPr>
          <w:p w14:paraId="3883AC8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4202" w:type="dxa"/>
            <w:vAlign w:val="center"/>
          </w:tcPr>
          <w:p w14:paraId="69CA8C4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424B8CBC">
        <w:tblPrEx>
          <w:tblCellMar>
            <w:top w:w="0" w:type="dxa"/>
            <w:left w:w="108" w:type="dxa"/>
            <w:bottom w:w="0" w:type="dxa"/>
            <w:right w:w="108" w:type="dxa"/>
          </w:tblCellMar>
        </w:tblPrEx>
        <w:trPr>
          <w:trHeight w:val="454" w:hRule="atLeast"/>
        </w:trPr>
        <w:tc>
          <w:tcPr>
            <w:tcW w:w="4201" w:type="dxa"/>
            <w:vAlign w:val="center"/>
          </w:tcPr>
          <w:p w14:paraId="3BEE369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c>
          <w:tcPr>
            <w:tcW w:w="4202" w:type="dxa"/>
            <w:vAlign w:val="center"/>
          </w:tcPr>
          <w:p w14:paraId="5F6F288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r>
    </w:tbl>
    <w:p w14:paraId="3D43F817">
      <w:pPr>
        <w:pStyle w:val="2"/>
        <w:shd w:val="clear"/>
        <w:spacing w:line="360" w:lineRule="auto"/>
        <w:rPr>
          <w:rFonts w:hint="eastAsia" w:ascii="宋体" w:hAnsi="宋体" w:eastAsia="宋体" w:cs="宋体"/>
          <w:color w:val="auto"/>
          <w:sz w:val="21"/>
          <w:szCs w:val="21"/>
          <w:highlight w:val="none"/>
        </w:rPr>
      </w:pPr>
    </w:p>
    <w:p w14:paraId="480C97AC">
      <w:pPr>
        <w:shd w:val="clear"/>
        <w:spacing w:line="360" w:lineRule="auto"/>
        <w:rPr>
          <w:rFonts w:hint="eastAsia" w:ascii="宋体" w:hAnsi="宋体" w:eastAsia="宋体" w:cs="宋体"/>
          <w:color w:val="auto"/>
          <w:sz w:val="21"/>
          <w:szCs w:val="21"/>
          <w:highlight w:val="none"/>
        </w:rPr>
      </w:pPr>
    </w:p>
    <w:p w14:paraId="2389FFE8">
      <w:pPr>
        <w:shd w:val="clear"/>
        <w:spacing w:line="360" w:lineRule="auto"/>
        <w:rPr>
          <w:rFonts w:hint="eastAsia" w:ascii="宋体" w:hAnsi="宋体" w:eastAsia="宋体" w:cs="宋体"/>
          <w:color w:val="auto"/>
          <w:sz w:val="21"/>
          <w:szCs w:val="21"/>
          <w:highlight w:val="none"/>
        </w:rPr>
      </w:pPr>
    </w:p>
    <w:p w14:paraId="02708C2F">
      <w:pPr>
        <w:shd w:val="clear"/>
        <w:spacing w:line="360" w:lineRule="auto"/>
        <w:rPr>
          <w:rFonts w:hint="eastAsia" w:ascii="宋体" w:hAnsi="宋体" w:eastAsia="宋体" w:cs="宋体"/>
          <w:color w:val="auto"/>
          <w:sz w:val="21"/>
          <w:szCs w:val="21"/>
          <w:highlight w:val="none"/>
        </w:rPr>
      </w:pPr>
    </w:p>
    <w:p w14:paraId="3B9A34BD">
      <w:pPr>
        <w:keepNext w:val="0"/>
        <w:keepLines w:val="0"/>
        <w:pageBreakBefore w:val="0"/>
        <w:widowControl w:val="0"/>
        <w:shd w:val="clear"/>
        <w:kinsoku/>
        <w:wordWrap/>
        <w:overflowPunct/>
        <w:topLinePunct w:val="0"/>
        <w:autoSpaceDE/>
        <w:autoSpaceDN/>
        <w:bidi w:val="0"/>
        <w:adjustRightInd/>
        <w:snapToGrid/>
        <w:spacing w:line="312" w:lineRule="auto"/>
        <w:textAlignment w:val="auto"/>
        <w:rPr>
          <w:rFonts w:hint="eastAsia" w:ascii="宋体" w:hAnsi="宋体" w:eastAsia="宋体" w:cs="宋体"/>
          <w:b/>
          <w:bCs/>
          <w:color w:val="auto"/>
          <w:sz w:val="21"/>
          <w:szCs w:val="21"/>
          <w:highlight w:val="none"/>
        </w:rPr>
      </w:pPr>
    </w:p>
    <w:p w14:paraId="7349450F">
      <w:pPr>
        <w:keepNext w:val="0"/>
        <w:keepLines w:val="0"/>
        <w:pageBreakBefore w:val="0"/>
        <w:widowControl w:val="0"/>
        <w:shd w:val="clear"/>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color w:val="auto"/>
          <w:sz w:val="21"/>
          <w:szCs w:val="21"/>
          <w:highlight w:val="none"/>
        </w:rPr>
      </w:pPr>
    </w:p>
    <w:p w14:paraId="4ABFA17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BABEF07">
      <w:pPr>
        <w:widowControl/>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附件一：XX 年度绿化养护工作内容及费用明细</w:t>
      </w:r>
    </w:p>
    <w:tbl>
      <w:tblPr>
        <w:tblStyle w:val="5"/>
        <w:tblW w:w="499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6"/>
        <w:gridCol w:w="2573"/>
        <w:gridCol w:w="1250"/>
        <w:gridCol w:w="1682"/>
        <w:gridCol w:w="1612"/>
        <w:gridCol w:w="1359"/>
        <w:gridCol w:w="599"/>
      </w:tblGrid>
      <w:tr w14:paraId="54A01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D82DF">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序号</w:t>
            </w:r>
          </w:p>
        </w:tc>
        <w:tc>
          <w:tcPr>
            <w:tcW w:w="1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F7EA5">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类别</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54B3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面积</w:t>
            </w:r>
          </w:p>
          <w:p w14:paraId="065F3A46">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76A8A">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全费用单价限价</w:t>
            </w:r>
          </w:p>
          <w:p w14:paraId="1F53546B">
            <w:pPr>
              <w:keepNext w:val="0"/>
              <w:keepLines w:val="0"/>
              <w:widowControl/>
              <w:suppressLineNumbers w:val="0"/>
              <w:shd w:val="clear"/>
              <w:ind w:left="0" w:leftChars="0" w:right="0" w:rightChars="0" w:firstLine="0" w:firstLineChars="0"/>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（元/㎡/年）</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87C58">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单项费用</w:t>
            </w:r>
          </w:p>
          <w:p w14:paraId="1FDC0CB8">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（元/季度）</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128BA">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单项费用</w:t>
            </w:r>
          </w:p>
          <w:p w14:paraId="1CD087B3">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（元/年）</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25615">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备注</w:t>
            </w:r>
          </w:p>
        </w:tc>
      </w:tr>
      <w:tr w14:paraId="149AC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3B416">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447C5">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绿地养护服务</w:t>
            </w:r>
          </w:p>
          <w:p w14:paraId="1A62306E">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（一级绿地）</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F69D8">
            <w:pPr>
              <w:keepNext w:val="0"/>
              <w:keepLines w:val="0"/>
              <w:pageBreakBefore w:val="0"/>
              <w:widowControl/>
              <w:suppressLineNumbers w:val="0"/>
              <w:shd w:val="clear"/>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b w:val="0"/>
                <w:bCs w:val="0"/>
                <w:i w:val="0"/>
                <w:iCs w:val="0"/>
                <w:color w:val="auto"/>
                <w:kern w:val="0"/>
                <w:sz w:val="21"/>
                <w:szCs w:val="21"/>
                <w:highlight w:val="none"/>
                <w:u w:val="none"/>
                <w:lang w:val="en-US" w:eastAsia="zh-CN" w:bidi="ar"/>
              </w:rPr>
              <w:t>910000</w:t>
            </w:r>
          </w:p>
        </w:tc>
        <w:tc>
          <w:tcPr>
            <w:tcW w:w="8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6AEFB">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8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E4608">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6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9B5BA">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D021C">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r w14:paraId="3899C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4A0AA">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1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63F3A">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绿地养护服务</w:t>
            </w:r>
          </w:p>
          <w:p w14:paraId="67983A7C">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（二级绿地）</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C61A8">
            <w:pPr>
              <w:keepNext w:val="0"/>
              <w:keepLines w:val="0"/>
              <w:pageBreakBefore w:val="0"/>
              <w:widowControl/>
              <w:suppressLineNumbers w:val="0"/>
              <w:shd w:val="clear"/>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b w:val="0"/>
                <w:bCs w:val="0"/>
                <w:i w:val="0"/>
                <w:iCs w:val="0"/>
                <w:color w:val="auto"/>
                <w:kern w:val="0"/>
                <w:sz w:val="21"/>
                <w:szCs w:val="21"/>
                <w:highlight w:val="none"/>
                <w:u w:val="none"/>
                <w:lang w:val="en-US" w:eastAsia="zh-CN" w:bidi="ar"/>
              </w:rPr>
              <w:t>90000</w:t>
            </w:r>
          </w:p>
        </w:tc>
        <w:tc>
          <w:tcPr>
            <w:tcW w:w="8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3BCB2">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8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1A305">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6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12EB8">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9472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r w14:paraId="67E70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F66E4">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0D06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预留金</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FF9A3">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1项</w:t>
            </w:r>
          </w:p>
        </w:tc>
        <w:tc>
          <w:tcPr>
            <w:tcW w:w="270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32E7A">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lang w:val="en-US"/>
              </w:rPr>
            </w:pPr>
            <w:r>
              <w:rPr>
                <w:rFonts w:hint="eastAsia" w:ascii="宋体" w:hAnsi="宋体" w:eastAsia="宋体" w:cs="宋体"/>
                <w:b w:val="0"/>
                <w:bCs w:val="0"/>
                <w:color w:val="auto"/>
                <w:sz w:val="21"/>
                <w:szCs w:val="21"/>
                <w:highlight w:val="none"/>
                <w:lang w:val="en-US" w:eastAsia="zh-CN"/>
              </w:rPr>
              <w:t>1023000.00</w:t>
            </w:r>
            <w:r>
              <w:rPr>
                <w:rFonts w:hint="eastAsia" w:ascii="宋体" w:hAnsi="宋体" w:eastAsia="宋体" w:cs="宋体"/>
                <w:i w:val="0"/>
                <w:iCs w:val="0"/>
                <w:color w:val="auto"/>
                <w:kern w:val="0"/>
                <w:sz w:val="21"/>
                <w:szCs w:val="21"/>
                <w:highlight w:val="none"/>
                <w:u w:val="none"/>
                <w:lang w:val="en-US" w:eastAsia="zh-CN" w:bidi="ar"/>
              </w:rPr>
              <w:t>元/年</w:t>
            </w:r>
          </w:p>
        </w:tc>
      </w:tr>
      <w:tr w14:paraId="131E0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6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0E369">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养护费用合计（元）</w:t>
            </w:r>
          </w:p>
        </w:tc>
        <w:tc>
          <w:tcPr>
            <w:tcW w:w="3344"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7CA1C">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r w14:paraId="6C7F1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6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794D8">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合同价款（总计）（元）</w:t>
            </w:r>
          </w:p>
        </w:tc>
        <w:tc>
          <w:tcPr>
            <w:tcW w:w="3344"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682E6">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bl>
    <w:p w14:paraId="75D6E27B">
      <w:pPr>
        <w:shd w:val="clea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F732AB7">
      <w:pPr>
        <w:pStyle w:val="2"/>
        <w:shd w:val="clear"/>
        <w:rPr>
          <w:rFonts w:hint="eastAsia" w:ascii="宋体" w:hAnsi="宋体" w:eastAsia="宋体" w:cs="宋体"/>
          <w:color w:val="auto"/>
          <w:sz w:val="24"/>
          <w:szCs w:val="24"/>
          <w:highlight w:val="none"/>
        </w:rPr>
      </w:pPr>
    </w:p>
    <w:p w14:paraId="71042FD3">
      <w:pPr>
        <w:widowControl/>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附件二：西安浐灞国际港园林绿化养护管理标准</w:t>
      </w:r>
    </w:p>
    <w:p w14:paraId="137DC89D">
      <w:pPr>
        <w:shd w:val="clear"/>
        <w:spacing w:before="240"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西安浐灞国际港园林绿化养护管理标准</w:t>
      </w:r>
    </w:p>
    <w:p w14:paraId="132F6F8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条为巩固绿化建设成果，提高绿化养护质量，维护绿化养护市场的正常秩序，根据《国家园林城市标准》、《西安市城市绿化管理条例》和有关文件，结合绿化建设管理的实际情况，制订西安浐灞国际港绿化养护管理标准。</w:t>
      </w:r>
    </w:p>
    <w:p w14:paraId="1E6BA91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第二条 绿化养护管理标准中相关术语和定义：</w:t>
      </w:r>
    </w:p>
    <w:p w14:paraId="18314ED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1、乔木</w:t>
      </w:r>
    </w:p>
    <w:p w14:paraId="3436E8F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主干明显而直立，树体高大的木本植物。</w:t>
      </w:r>
    </w:p>
    <w:p w14:paraId="5322103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2、灌木</w:t>
      </w:r>
    </w:p>
    <w:p w14:paraId="398BCAD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树体矮小,无明显主干或枝干丛生的木本植物。</w:t>
      </w:r>
    </w:p>
    <w:p w14:paraId="64E5C3F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3、藤本植物</w:t>
      </w:r>
    </w:p>
    <w:p w14:paraId="0AC7484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依靠缠绕或攀附他物而向上生长的木本或草本植物。</w:t>
      </w:r>
    </w:p>
    <w:p w14:paraId="0EDFC4F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4、草坪</w:t>
      </w:r>
    </w:p>
    <w:p w14:paraId="0AACC7A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草本植物经人工种植或改造后形成的具有观赏效果，并能供人适度活动。</w:t>
      </w:r>
    </w:p>
    <w:p w14:paraId="1609025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5、行道树</w:t>
      </w:r>
    </w:p>
    <w:p w14:paraId="7B161CB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沿道路或公路旁种植的乔木。</w:t>
      </w:r>
    </w:p>
    <w:p w14:paraId="2F698E2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6、地被植物</w:t>
      </w:r>
    </w:p>
    <w:p w14:paraId="68A2923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株丛密集、低矮，用于覆盖地面的植物。</w:t>
      </w:r>
    </w:p>
    <w:p w14:paraId="2442FAD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7、绿篱</w:t>
      </w:r>
    </w:p>
    <w:p w14:paraId="1C7E842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成行密植，作造型修剪而形成的植物墙。</w:t>
      </w:r>
    </w:p>
    <w:p w14:paraId="6563B02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8、古树名木</w:t>
      </w:r>
    </w:p>
    <w:p w14:paraId="78C3593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古树泛指树龄在百年以上的树木；名木泛指珍贵、稀有或具有历史、科学、文化价值以及有重要纪念意义的树木，也指历史和现代名人种植的树木，或具有历史事件、传说及神话故事的树木。</w:t>
      </w:r>
    </w:p>
    <w:p w14:paraId="77BF132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9、修剪</w:t>
      </w:r>
    </w:p>
    <w:p w14:paraId="6A47946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对苗木枝干和根系进行疏剪或短截。</w:t>
      </w:r>
    </w:p>
    <w:p w14:paraId="1FB85F2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10、灌溉</w:t>
      </w:r>
    </w:p>
    <w:p w14:paraId="65DE994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为调节土壤温度和土壤水分，满足植物对水分的需要而采取的人工引水浇灌的措施。</w:t>
      </w:r>
    </w:p>
    <w:p w14:paraId="51FC779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11、施肥</w:t>
      </w:r>
    </w:p>
    <w:p w14:paraId="1B5E61E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在植物生长和发育过程中，为补充所需的各种营养元素而施用肥料的措施。</w:t>
      </w:r>
    </w:p>
    <w:p w14:paraId="7D02983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12、除草</w:t>
      </w:r>
    </w:p>
    <w:p w14:paraId="31618D9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植物生长期间人工或采用除草剂去除目的植物以外杂草的措施。</w:t>
      </w:r>
    </w:p>
    <w:p w14:paraId="39CEC46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13、病虫害防治</w:t>
      </w:r>
    </w:p>
    <w:p w14:paraId="199FA00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对各种植物病害、虫害进行预防和治疗。</w:t>
      </w:r>
    </w:p>
    <w:p w14:paraId="29837C4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14、园林植物养护管理</w:t>
      </w:r>
    </w:p>
    <w:p w14:paraId="1A6C9F6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对园林植物采取灌溉、排涝、修剪、防治病虫、防寒、支撑、除草、中耕、施肥等技术措施。</w:t>
      </w:r>
    </w:p>
    <w:p w14:paraId="389BCCD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15、黄土不裸露</w:t>
      </w:r>
    </w:p>
    <w:p w14:paraId="4F06831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利用草坪等地被植物或树皮等其它材料，对绿地内和树冠下的裸露土地进行覆盖，以期达到绿化、美化、抑尘和保墒的目的。</w:t>
      </w:r>
    </w:p>
    <w:p w14:paraId="71E6814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第三条 园区内各类绿地、树木、花卉、草坪养护管理中应遵循以下原则:</w:t>
      </w:r>
    </w:p>
    <w:p w14:paraId="6CBB9F6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1、符合植物的生长习性。</w:t>
      </w:r>
    </w:p>
    <w:p w14:paraId="277035D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2、符合不同类型绿地的功能和景观要求。</w:t>
      </w:r>
    </w:p>
    <w:p w14:paraId="4E00D7F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3、符合生态环境保护要求。</w:t>
      </w:r>
    </w:p>
    <w:p w14:paraId="5F9077D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第四条 乔木及行道树管理标准：</w:t>
      </w:r>
    </w:p>
    <w:p w14:paraId="7AA8B82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1、树形及观赏特性要求</w:t>
      </w:r>
    </w:p>
    <w:p w14:paraId="11FF20B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（1）生长健壮，树冠丰满，主侧枝分布均匀、数量适宜，整型树木造型美观。</w:t>
      </w:r>
    </w:p>
    <w:p w14:paraId="4FFECFA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（2）树叶生长茂盛，一般条件下无黄叶、焦叶、卷叶。</w:t>
      </w:r>
    </w:p>
    <w:p w14:paraId="52D785F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（3）树干不得有钻蛀性害虫危害，叶上无虫粪、虫网、病斑及被啃食叶片每株低于5%。生长季节无枯黄叶株，落叶在 10%以下。</w:t>
      </w:r>
    </w:p>
    <w:p w14:paraId="03EB92E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（4）枝干健壮，无明显枯枝死杈。枝条粗壮，无明显的人为损坏。</w:t>
      </w:r>
    </w:p>
    <w:p w14:paraId="73CD4C5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（5）树木保存率99%以上；及时补栽成活率95%以上。</w:t>
      </w:r>
    </w:p>
    <w:p w14:paraId="5EAE747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（6）行道树无缺株；新补植树同原有树种、规格、定干高度一致，有支撑措施；行道树及林荫广场树池保持覆盖植物生长良好和硬质覆盖材料完整；树池内无垃圾及杂草。</w:t>
      </w:r>
    </w:p>
    <w:p w14:paraId="1BDDF80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7315CE9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（1）大型景观乔木应每两年进行一次开挖深施肥工作，小型乔木应每年一次，肥料选取以有机肥为宜。施肥量应适宜，并且严格按照植物生长特性及需求制定施肥计划。</w:t>
      </w:r>
    </w:p>
    <w:p w14:paraId="7C26CF2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（2）根据季节和生长情况适时灌溉排水，保持适当水分。不耐寒植物冬季必须浇灌防冻水，观花乔木加强春季浇水，促进植物开花长叶。对于喜水及浅根系植物、新栽植乔木，每年灌溉次数不得少于10次。</w:t>
      </w:r>
    </w:p>
    <w:p w14:paraId="0687374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3、修剪及日常管理</w:t>
      </w:r>
    </w:p>
    <w:p w14:paraId="1BF64A2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（1）修剪</w:t>
      </w:r>
    </w:p>
    <w:p w14:paraId="4856F2E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全年修剪至少1次，主要以除枯枝、病虫枝、徒长枝；剪口平整，大型切口必须涂抹防腐药剂；根据植物种类习性制定修剪方法，严禁违规操作。</w:t>
      </w:r>
    </w:p>
    <w:p w14:paraId="59C85B7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（2）支柱、扶正</w:t>
      </w:r>
    </w:p>
    <w:p w14:paraId="2FECC44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倾斜度超过10度的树木，须进行扶正，落叶树在休眠期进行，常绿树在萌芽前进行。扶正前应先疏剪部分枝桠或进行短截，确保扶正树木的成活。新栽大树和扶正后的树木应进行支柱。支柱材料在同一路段或区域内应当统一，支柱方式要规范、整齐。支柱着力点应超过树高的1/2以上，支柱材料在着力点与树干接触处应铺垫软质材料，以免损伤树皮。每年雨季前要对支柱进行一次全面检查，对松动的支柱要及时加固， 对嵌入树皮的捆扎物要及时解除。</w:t>
      </w:r>
    </w:p>
    <w:p w14:paraId="4C2ECF7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第五条 灌木和花卉管理标准:</w:t>
      </w:r>
    </w:p>
    <w:p w14:paraId="4EE2599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1、观赏特性要求</w:t>
      </w:r>
    </w:p>
    <w:p w14:paraId="76FBEF5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（1）灌木</w:t>
      </w:r>
    </w:p>
    <w:p w14:paraId="612361A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长势良好，枝多叶茂，下部不光秃，无枯枝残叶，植株整齐一致。</w:t>
      </w:r>
    </w:p>
    <w:p w14:paraId="1567C9D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（2）绿地花卉</w:t>
      </w:r>
    </w:p>
    <w:p w14:paraId="79E4A70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时开花，花多色艳。花坛轮廓清晰，无残缺，灌木丛中无垃圾、无病枝枯枝和落叶堆积。花谢后及时将残花残枝剪去，常年开花植物要有目的地培养花枝，延长花期。灌木和花坛整形效果要与周围环境协调，增强园林美化效果。</w:t>
      </w:r>
    </w:p>
    <w:p w14:paraId="2825287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（3）绿篱、色块</w:t>
      </w:r>
    </w:p>
    <w:p w14:paraId="2FACFD0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植株生长健壮，枝叶繁茂；修剪及时，整齐一致，轮廓清晰，线条流畅，层次分明，无死株断垄现象。</w:t>
      </w:r>
    </w:p>
    <w:p w14:paraId="0435FC0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（4）露地花卉（街景花卉布置）</w:t>
      </w:r>
    </w:p>
    <w:p w14:paraId="3408EC2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生长健壮，整齐一致，无病虫害，无残花败叶。适时开花，适时更换，保证景观效果。</w:t>
      </w:r>
    </w:p>
    <w:p w14:paraId="36D0FE7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477711E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（1）灌溉</w:t>
      </w:r>
    </w:p>
    <w:p w14:paraId="2FF651E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要根据植物的生长及开花特性进行合理灌溉。在雨水缺少的季节，适时灌溉。</w:t>
      </w:r>
    </w:p>
    <w:p w14:paraId="25E9320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（2）施肥</w:t>
      </w:r>
    </w:p>
    <w:p w14:paraId="45E34FC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一般在每年春、秋季结合除草松土重点施肥 2-3 次。促进花芽分化，花芽分化后要适当追施磷、钾肥，使花多色艳花期长。肥料不能裸露，可采用埋施或水施等不同方法。埋施可先挖穴或开沟，施肥后要回填土、踏实、淋足水，不能裸露。</w:t>
      </w:r>
    </w:p>
    <w:p w14:paraId="3CE2A5F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3、修剪及除杂</w:t>
      </w:r>
    </w:p>
    <w:p w14:paraId="487A3EA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（1）除杂、松土</w:t>
      </w:r>
    </w:p>
    <w:p w14:paraId="7CFE28B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灌木丛周边无杂草，松土深度不小于10厘米，并低于周围表土5厘米。除杂松土时要保护根系，不能伤根及造成根系裸露，更不能造成黄土裸露。</w:t>
      </w:r>
    </w:p>
    <w:p w14:paraId="096EF0F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（2）修剪</w:t>
      </w:r>
    </w:p>
    <w:p w14:paraId="1231B9F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灌木和花卉的修剪做到既造型美观又能适时开花，年修剪次数不得少于8次。花灌木和草本花卉在花芽分化前进行修剪，应避免把花芽剪掉；对于大型灌木应根据生长情况组织冬秋季修剪。</w:t>
      </w:r>
    </w:p>
    <w:p w14:paraId="57F9BF3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绿篱、色块不得出现失修现象，枝条冒顶高度不得高于10cm；灌木球应按照造型要求进行修剪，不得出现失修及冒顶现象其他植物根据不同生态习性及景观要求，及时去除不符合造型的枝条。</w:t>
      </w:r>
    </w:p>
    <w:p w14:paraId="0B3B99D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（3）补植、更换</w:t>
      </w:r>
    </w:p>
    <w:p w14:paraId="026F219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出现死苗，要在清理当天及时补植。补植回原来的种类并力求规格与原来植株接近，以保证优良的景观效果。补植按照种植规范进行，施足基肥并加强浇水等保养措施， 保证成活率达98％以上。对已呈老化或明显与周围环境不协调的灌木和花卉应及时进行更换，更换品种要事先征得绿化主管部门的批准。</w:t>
      </w:r>
    </w:p>
    <w:p w14:paraId="6F23636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第六条 草坪及地被植物管理标准：</w:t>
      </w:r>
    </w:p>
    <w:p w14:paraId="02A5E25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1、观赏特性要求</w:t>
      </w:r>
    </w:p>
    <w:p w14:paraId="018BBFB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势旺盛，叶片健壮，叶色浓绿，无枯黄叶。修剪及时，高度适宜，无病虫害。覆盖率不低于99%，无明显杂草。草坪绿色期：冷季型草不少于280天，暖季型草不少于260天。坪地平整，无坑洼积水，无秃斑，无板结现象。</w:t>
      </w:r>
    </w:p>
    <w:p w14:paraId="7520BC8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2、水肥及日常管理</w:t>
      </w:r>
    </w:p>
    <w:p w14:paraId="53D7F89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（1）灌溉</w:t>
      </w:r>
    </w:p>
    <w:p w14:paraId="0B46B36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根据草坪植物的生长需要加强淋水和施肥，保证水肥充足，施用肥料的方法和用量要科学，防止过量或不均匀引起肥伤。在雨水缺少的季节，适时灌溉。景观草坪春秋季应在每周进行一次浇灌，夏季应在两天进行一次浇灌。保证土壤表层5～7cm范围内土壤墒情良好。在春季应对景观草坪浇灌返青水；冬季必须对景观草坪浇灌防冻水。</w:t>
      </w:r>
    </w:p>
    <w:p w14:paraId="1E67DEC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（2）施肥</w:t>
      </w:r>
    </w:p>
    <w:p w14:paraId="65A8576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在植物休眠期及返青期间应增加淋水施肥，适当进行根外追肥，使草坪保持优良的长势。</w:t>
      </w:r>
    </w:p>
    <w:p w14:paraId="26948EA2">
      <w:pPr>
        <w:widowControl/>
        <w:numPr>
          <w:ilvl w:val="0"/>
          <w:numId w:val="1"/>
        </w:numPr>
        <w:shd w:val="clear"/>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除草、松土</w:t>
      </w:r>
    </w:p>
    <w:p w14:paraId="61E0597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及时清除杂草，方法合理彻底。草坪纯度标准为每平方米不超过10株非目的草种。由于植物生长、受践踏、土壤板结等需要松土的，要采用打孔疏松、切割等措施，利于草坪生长，景观草坪每年不少于2 次。</w:t>
      </w:r>
    </w:p>
    <w:p w14:paraId="4A1F8BD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（4）补植</w:t>
      </w:r>
    </w:p>
    <w:p w14:paraId="40B37DF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对破坏或其它原因引起死亡的草坪植物应及时补植，使草坪保持完整，无裸露地。补植要补与原草坪相同的草种，适当密植，补植后加强保养，保证一个月内覆盖率达98％以上。</w:t>
      </w:r>
    </w:p>
    <w:p w14:paraId="4C93256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3、植物修剪</w:t>
      </w:r>
    </w:p>
    <w:p w14:paraId="2AAB2D6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观花地被植物，须在开花后适当压低，或者结合种子采收，适当修剪；草坪要考虑季节特点和草种的生长发育特性，使草的高度一致，边缘整齐，枯黄叶片要及时清理。草地与路(花)基、色块的分界宽度不超过8厘米；分车绿化带的草坪植物不得超出路基外缘；对于已经老化部分经予以更换。</w:t>
      </w:r>
    </w:p>
    <w:p w14:paraId="50FBC24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第七条 藤本、攀缘植物管理标准：</w:t>
      </w:r>
    </w:p>
    <w:p w14:paraId="3989102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w:t>
      </w:r>
    </w:p>
    <w:p w14:paraId="6DE4A4E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植株生长健壮，适时采取相应的牵引、设置网架等技术措施；视攀缘植物生长习性，覆盖率不低于90%；观花的攀缘植物适时开花，花繁色艳。</w:t>
      </w:r>
    </w:p>
    <w:p w14:paraId="2EC38FF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2、整形修剪</w:t>
      </w:r>
    </w:p>
    <w:p w14:paraId="1394B29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植物生理特性进行牵引和翻蔓；严格按照自然生长规律对植物进行修剪整形；及时去除老化植株；藤本植物的修剪应以促进分枝为主，并剪除徒长枝和下垂枝；多年生的藤本植物应定期翻蔓，清除枯枝，疏删老弱藤蔓；每年常规修剪1次，每隔2-3年应理藤1次，理顺分布方向，使叶蔓分布均匀、厚度相等，并应依不同类型及生长状况及时牵引。</w:t>
      </w:r>
    </w:p>
    <w:p w14:paraId="607A1B9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3、水肥管理</w:t>
      </w:r>
    </w:p>
    <w:p w14:paraId="2FFCE32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（1）灌溉</w:t>
      </w:r>
    </w:p>
    <w:p w14:paraId="4CC5821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要根据植物的生长及开花特性进行合理灌溉。在雨水缺少的季节，适时灌溉。</w:t>
      </w:r>
    </w:p>
    <w:p w14:paraId="4700DF6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（2）施肥</w:t>
      </w:r>
    </w:p>
    <w:p w14:paraId="7824AFC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春、秋季结合除草松土重点施肥2-3次。促进花芽分化，花芽分化后要适当追施磷、钾肥，使花多色艳花期长。肥料不能裸露，可采用埋施或水施等不同方法。埋施可先挖穴或开沟，施肥后要回填土、踏实、淋足水，不能裸露。</w:t>
      </w:r>
    </w:p>
    <w:p w14:paraId="4B4D3F7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第八条 水生植物管理标准：</w:t>
      </w:r>
    </w:p>
    <w:p w14:paraId="06FFAC6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w:t>
      </w:r>
    </w:p>
    <w:p w14:paraId="40A93CB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株生长正常，无大量缺失，植物造型优美，无病虫植物，对死亡植株清理及时，无倒伏现象。水面上水生植物的覆盖度应小于水域面积的30％，漂浮植物或浮水植物应进行围合，固定其位置和范围。因繁殖而密度过大时，应剔除部分老弱植株。</w:t>
      </w:r>
    </w:p>
    <w:p w14:paraId="12F0808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4B7711D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于冬季对栽植区进行有机肥料增施，严禁随意使用化肥。沿岸或挺水植物，每年至少应施肥1次。施肥应以腐熟的有机肥为主，应用可分解的纸袋装肥或用泥做成团施入泥中定期对水域进行换水，防止水质变差影响景观效果。在水生植物群落营造前期和幼苗期，应加强人工维护，去除该群落中生长的其他品种的水生植物和杂草。</w:t>
      </w:r>
    </w:p>
    <w:p w14:paraId="069F242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3、日常管理</w:t>
      </w:r>
    </w:p>
    <w:p w14:paraId="6EADBB4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水生植物应随着立叶或浮叶的生长调节水位。为避免蚊虫孳生或水质恶化，当用水发生混浊时，即必须换水，夏季则须增加换水次数。</w:t>
      </w:r>
    </w:p>
    <w:p w14:paraId="5D33782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第九条 竹类管理标准：</w:t>
      </w:r>
    </w:p>
    <w:p w14:paraId="3F8DF28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1、景观特性</w:t>
      </w:r>
    </w:p>
    <w:p w14:paraId="6D1EE80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生长正常，竹干疏密有间，无病虫害。</w:t>
      </w:r>
    </w:p>
    <w:p w14:paraId="647E924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42C69CA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竹类浇水要抓住关键季节，春季出笋前要浇足催笋水，5、6月要浇拔节水，夏季雨水充沛可不浇或少浇，秋季浇孕笋水，冬季过于干旱的可适当喷水。施肥以有机肥为主，时间以11-12月为宜。</w:t>
      </w:r>
    </w:p>
    <w:p w14:paraId="1C3A388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3、日常管理及其他</w:t>
      </w:r>
    </w:p>
    <w:p w14:paraId="5B43D2C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竹林要每年培土，厚度以5厘米为宜，时间利用冬季。及时做好病虫害的防治工作，加强抚育管理，合理砍伐，使林内通风透光，及早砍除病竹烧毁。</w:t>
      </w:r>
    </w:p>
    <w:p w14:paraId="4DEF3AF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第十条 植物保护及其它工作：</w:t>
      </w:r>
    </w:p>
    <w:p w14:paraId="30740DC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1、工作原则</w:t>
      </w:r>
    </w:p>
    <w:p w14:paraId="29B64E4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日常精心养护，增强植物抗病虫害能力。要及时做好病虫害的防治工作，坚持预防为主，防治结合的植保方针。早发现早处理，采取综合防治、化学防治、物理人工防治和生物防治等方法防止病虫害蔓延和影响植物生长。尽量采用生物防治的办法，以减少对环境的污染。用化学方法防治时，喷药一般要在晚上进行；药物品种、药剂用量及对环境的影响，要符合环保的要求和标准。同时严格按照工作流程进行， 严禁无防护措施进行化学防治操作。</w:t>
      </w:r>
    </w:p>
    <w:p w14:paraId="44978D0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2、作业要求</w:t>
      </w:r>
    </w:p>
    <w:p w14:paraId="3C67896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（1）植物枝、干、叶均无明显病虫害危害痕迹。</w:t>
      </w:r>
    </w:p>
    <w:p w14:paraId="47FB21C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（2）根据测报制定长期及短期防治方案。及时、准确、彻底防治病虫害发生。</w:t>
      </w:r>
    </w:p>
    <w:p w14:paraId="7198136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（3）全年病虫发生率控制在5％以下；不得出现病虫害大规模爆发现象。</w:t>
      </w:r>
    </w:p>
    <w:p w14:paraId="0D8B6C0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（4）严禁出现因管理不善而造成的生理性病害（例如：缺水或受涝造成的植物枯死；缺肥或施肥不当造成的生理性黄叶、落叶、小叶等；农药药害造成的枯叶、黄叶、落叶）。</w:t>
      </w:r>
    </w:p>
    <w:p w14:paraId="28CEDFA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（5）对于不耐寒植物必须进行必要的防护措施。</w:t>
      </w:r>
    </w:p>
    <w:p w14:paraId="45CB816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（6）禁止使用高毒农药，药剂配比必须符合规范。喷药时应该设立警示标志，道路绿地警示标志设立密度应在50米-100米范围为宜。</w:t>
      </w:r>
    </w:p>
    <w:p w14:paraId="704C2A2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（7）冬季对于植物上积雪应立即清除；对于倒伏树木应加以支撑。</w:t>
      </w:r>
    </w:p>
    <w:p w14:paraId="10884A7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（8）日常养护人员必须身着工装，并且严格按安全生产规范进行操作。日常养护操作过程中，应按照安全操作要求配备警示及安全防护设备。</w:t>
      </w:r>
    </w:p>
    <w:p w14:paraId="49D8A36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（9）园内各单位应有科学合理的养护计划，并于每周的周五；每月的28号；每年12月5号前；向主管单位报送详细的养护工作计划及总结。</w:t>
      </w:r>
    </w:p>
    <w:p w14:paraId="54396C1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（10）出现因为外力造成的植物损伤、倒伏等现象，管护单位应及时发现， 及时处理，不得拖延。</w:t>
      </w:r>
    </w:p>
    <w:p w14:paraId="195CFD4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第十一条 绿地设施维护要求：</w:t>
      </w:r>
    </w:p>
    <w:p w14:paraId="227DA2B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绿地设施包括喷灌、照明、音响系统和园路、护栏、坐凳、喷泉、雕塑、移动花钵等景观设施。</w:t>
      </w:r>
    </w:p>
    <w:p w14:paraId="0731F88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1、喷灌设施</w:t>
      </w:r>
    </w:p>
    <w:p w14:paraId="66B9677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保护绿化供水设施，保持喷洒正常、开关灵活、管道无漏水。</w:t>
      </w:r>
    </w:p>
    <w:p w14:paraId="3BC940D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2、园林照明、音响设施</w:t>
      </w:r>
    </w:p>
    <w:p w14:paraId="1BF76EB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绿地上的灯光、音响，要经常进行检修，发现线路破损、灯泡烧毁、灯罩破损、音箱损坏的要及时进行修复、更换，保持设备正常运作。</w:t>
      </w:r>
    </w:p>
    <w:p w14:paraId="0ECBA9F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3、水池喷泉</w:t>
      </w:r>
    </w:p>
    <w:p w14:paraId="3AA7E20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保持水面及水池内外清洁，水质良好，水量适度，喷泉运作正常。池壁美观，不漏水，设施完好无损；要求及时清除杂物，定时清洗水池。</w:t>
      </w:r>
    </w:p>
    <w:p w14:paraId="44ED48B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4、护栏</w:t>
      </w:r>
    </w:p>
    <w:p w14:paraId="7EC2071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护栏要保持整洁完整,定期清理，不能有倾斜的现象，被</w:t>
      </w:r>
      <w:r>
        <w:rPr>
          <w:rFonts w:hint="eastAsia" w:ascii="宋体" w:hAnsi="宋体" w:eastAsia="宋体" w:cs="宋体"/>
          <w:color w:val="auto"/>
          <w:sz w:val="21"/>
          <w:szCs w:val="21"/>
          <w:highlight w:val="none"/>
          <w:lang w:val="en-US" w:eastAsia="zh-CN"/>
        </w:rPr>
        <w:t>损坏</w:t>
      </w:r>
      <w:r>
        <w:rPr>
          <w:rFonts w:hint="eastAsia" w:ascii="宋体" w:hAnsi="宋体" w:eastAsia="宋体" w:cs="宋体"/>
          <w:color w:val="auto"/>
          <w:sz w:val="21"/>
          <w:szCs w:val="21"/>
          <w:highlight w:val="none"/>
        </w:rPr>
        <w:t>的要及时修补。遇到节日庆典和大型活动应派专人定时定点进行清洗和维护.</w:t>
      </w:r>
    </w:p>
    <w:p w14:paraId="64A51A8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5、园路</w:t>
      </w:r>
    </w:p>
    <w:p w14:paraId="04C75C0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绿地内园路要保持清洁、美观，完好无损。要及时清除路面垃圾杂物，修补破损并保持完好。</w:t>
      </w:r>
    </w:p>
    <w:p w14:paraId="68BE07F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6、园林雕塑</w:t>
      </w:r>
    </w:p>
    <w:p w14:paraId="0007BF2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园林雕塑要保持整洁、美观，完好无损，对其上的乱涂、乱画、乱张贴要及时清理干净，以增强园林美化效果。</w:t>
      </w:r>
    </w:p>
    <w:p w14:paraId="26AD09F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7、移动花钵</w:t>
      </w:r>
    </w:p>
    <w:p w14:paraId="50F4345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花钵内的植物生长旺盛，株形优美，叶片、叶色正常，无病虫害，开花植物要及时清理残花和残枝。花钵表面整洁无垃圾和杂物，钵体无乱划、乱画等现象。</w:t>
      </w:r>
    </w:p>
    <w:p w14:paraId="084D0E2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第十二条 绿地保护工作要求：</w:t>
      </w:r>
    </w:p>
    <w:p w14:paraId="20D3ABA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依法严格执行绿化管理条例，加强人员巡查，规划线内绿地不被侵占，绿地完整。保护绿地内的花草树木不受损害，对任何侵占和破坏行为要加以制止并及时报告绿化管理部门。</w:t>
      </w:r>
    </w:p>
    <w:p w14:paraId="6C1AD59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十三、西安浐灞国际港绿化养护工作打分标准：</w:t>
      </w:r>
    </w:p>
    <w:p w14:paraId="6C970BC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西安浐灞国际港绿地养护管理工作月度考核标准表》进行打分，绿化养护管理考核由考核评分小组按月以100分为满分进行计扣，对全部考核组成员评分按照加权平均后计算最终平均分值。得分95以上属于合理扣分范围，不扣除当月绿化养护费用；95-90分之间，每1分扣除当月绿化养护费用金额100元；90-85分之间，每1分扣除当月绿化养护费用金额200元；85-75分之间，每1分扣除当月绿化养护费用金额300元；低于75分以下将按违约考虑，按所签订绿化养护合同总金额的10%予以扣除并处以警告。各绿化养护单位得分情况每月定期以通知形式公布，每季度进行汇总评比。</w:t>
      </w:r>
    </w:p>
    <w:p w14:paraId="761909A5">
      <w:pPr>
        <w:widowControl/>
        <w:shd w:val="clea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附件三：本项目的人员配置情况表</w:t>
      </w:r>
    </w:p>
    <w:tbl>
      <w:tblPr>
        <w:tblStyle w:val="5"/>
        <w:tblW w:w="9285" w:type="dxa"/>
        <w:tblInd w:w="65" w:type="dxa"/>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913"/>
        <w:gridCol w:w="1086"/>
        <w:gridCol w:w="748"/>
        <w:gridCol w:w="750"/>
        <w:gridCol w:w="748"/>
        <w:gridCol w:w="750"/>
        <w:gridCol w:w="1488"/>
        <w:gridCol w:w="1671"/>
        <w:gridCol w:w="1131"/>
      </w:tblGrid>
      <w:tr w14:paraId="7F2A3A3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913" w:type="dxa"/>
            <w:noWrap w:val="0"/>
            <w:vAlign w:val="center"/>
          </w:tcPr>
          <w:p w14:paraId="7AE2C2B6">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086" w:type="dxa"/>
            <w:noWrap w:val="0"/>
            <w:vAlign w:val="center"/>
          </w:tcPr>
          <w:p w14:paraId="5D715C06">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姓名</w:t>
            </w:r>
          </w:p>
        </w:tc>
        <w:tc>
          <w:tcPr>
            <w:tcW w:w="748" w:type="dxa"/>
            <w:noWrap w:val="0"/>
            <w:vAlign w:val="center"/>
          </w:tcPr>
          <w:p w14:paraId="457839F9">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年龄</w:t>
            </w:r>
          </w:p>
        </w:tc>
        <w:tc>
          <w:tcPr>
            <w:tcW w:w="750" w:type="dxa"/>
            <w:noWrap w:val="0"/>
            <w:vAlign w:val="center"/>
          </w:tcPr>
          <w:p w14:paraId="59D07A33">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性别</w:t>
            </w:r>
          </w:p>
        </w:tc>
        <w:tc>
          <w:tcPr>
            <w:tcW w:w="748" w:type="dxa"/>
            <w:noWrap w:val="0"/>
            <w:vAlign w:val="center"/>
          </w:tcPr>
          <w:p w14:paraId="6D40289F">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学历</w:t>
            </w:r>
          </w:p>
        </w:tc>
        <w:tc>
          <w:tcPr>
            <w:tcW w:w="750" w:type="dxa"/>
            <w:noWrap w:val="0"/>
            <w:vAlign w:val="center"/>
          </w:tcPr>
          <w:p w14:paraId="0E54B6A5">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专业</w:t>
            </w:r>
          </w:p>
        </w:tc>
        <w:tc>
          <w:tcPr>
            <w:tcW w:w="1488" w:type="dxa"/>
            <w:noWrap w:val="0"/>
            <w:vAlign w:val="center"/>
          </w:tcPr>
          <w:p w14:paraId="17B75D1E">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职称 /职务</w:t>
            </w:r>
          </w:p>
        </w:tc>
        <w:tc>
          <w:tcPr>
            <w:tcW w:w="1671" w:type="dxa"/>
            <w:noWrap w:val="0"/>
            <w:vAlign w:val="center"/>
          </w:tcPr>
          <w:p w14:paraId="2317060E">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拟承担职务</w:t>
            </w:r>
          </w:p>
        </w:tc>
        <w:tc>
          <w:tcPr>
            <w:tcW w:w="1131" w:type="dxa"/>
            <w:noWrap w:val="0"/>
            <w:vAlign w:val="center"/>
          </w:tcPr>
          <w:p w14:paraId="0831C053">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2118467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7E35D710">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7174AE1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514C2A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26C78DB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1C5F590">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54965F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17E0A1E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3B3A455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1F917A8D">
            <w:pPr>
              <w:shd w:val="clear"/>
              <w:spacing w:line="360" w:lineRule="auto"/>
              <w:jc w:val="center"/>
              <w:outlineLvl w:val="9"/>
              <w:rPr>
                <w:rFonts w:hint="eastAsia" w:ascii="宋体" w:hAnsi="宋体" w:eastAsia="宋体" w:cs="宋体"/>
                <w:color w:val="auto"/>
                <w:sz w:val="24"/>
                <w:szCs w:val="24"/>
                <w:highlight w:val="none"/>
              </w:rPr>
            </w:pPr>
          </w:p>
        </w:tc>
      </w:tr>
      <w:tr w14:paraId="4B30F0D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913" w:type="dxa"/>
            <w:noWrap w:val="0"/>
            <w:vAlign w:val="center"/>
          </w:tcPr>
          <w:p w14:paraId="1352AE33">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350497F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70E909F2">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02A6D64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6B4242D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070E2A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AD52336">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351020A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0D6B628F">
            <w:pPr>
              <w:shd w:val="clear"/>
              <w:spacing w:line="360" w:lineRule="auto"/>
              <w:jc w:val="center"/>
              <w:outlineLvl w:val="9"/>
              <w:rPr>
                <w:rFonts w:hint="eastAsia" w:ascii="宋体" w:hAnsi="宋体" w:eastAsia="宋体" w:cs="宋体"/>
                <w:color w:val="auto"/>
                <w:sz w:val="24"/>
                <w:szCs w:val="24"/>
                <w:highlight w:val="none"/>
              </w:rPr>
            </w:pPr>
          </w:p>
        </w:tc>
      </w:tr>
      <w:tr w14:paraId="37ECBDD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913" w:type="dxa"/>
            <w:noWrap w:val="0"/>
            <w:vAlign w:val="center"/>
          </w:tcPr>
          <w:p w14:paraId="5CAC8468">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356D1E89">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B092325">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E4BB4C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6856EB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E38AF4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199DE713">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6814F7C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28669211">
            <w:pPr>
              <w:shd w:val="clear"/>
              <w:spacing w:line="360" w:lineRule="auto"/>
              <w:jc w:val="center"/>
              <w:outlineLvl w:val="9"/>
              <w:rPr>
                <w:rFonts w:hint="eastAsia" w:ascii="宋体" w:hAnsi="宋体" w:eastAsia="宋体" w:cs="宋体"/>
                <w:color w:val="auto"/>
                <w:sz w:val="24"/>
                <w:szCs w:val="24"/>
                <w:highlight w:val="none"/>
              </w:rPr>
            </w:pPr>
          </w:p>
        </w:tc>
      </w:tr>
      <w:tr w14:paraId="72A427E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3BF7D1CB">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735BF5C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54AC5D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352B6A42">
            <w:pPr>
              <w:shd w:val="clear"/>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3503752">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AA1F26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0BBC742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19E11D9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1AE46306">
            <w:pPr>
              <w:shd w:val="clear"/>
              <w:spacing w:line="360" w:lineRule="auto"/>
              <w:jc w:val="center"/>
              <w:outlineLvl w:val="9"/>
              <w:rPr>
                <w:rFonts w:hint="eastAsia" w:ascii="宋体" w:hAnsi="宋体" w:eastAsia="宋体" w:cs="宋体"/>
                <w:color w:val="auto"/>
                <w:sz w:val="24"/>
                <w:szCs w:val="24"/>
                <w:highlight w:val="none"/>
              </w:rPr>
            </w:pPr>
          </w:p>
        </w:tc>
      </w:tr>
      <w:tr w14:paraId="1524D24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22A0C87A">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6143071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37ACE57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4AB0EA3">
            <w:pPr>
              <w:shd w:val="clear"/>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2CA85500">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380444E6">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24ED954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7587F62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34005E91">
            <w:pPr>
              <w:shd w:val="clear"/>
              <w:spacing w:line="360" w:lineRule="auto"/>
              <w:jc w:val="center"/>
              <w:outlineLvl w:val="9"/>
              <w:rPr>
                <w:rFonts w:hint="eastAsia" w:ascii="宋体" w:hAnsi="宋体" w:eastAsia="宋体" w:cs="宋体"/>
                <w:color w:val="auto"/>
                <w:sz w:val="24"/>
                <w:szCs w:val="24"/>
                <w:highlight w:val="none"/>
              </w:rPr>
            </w:pPr>
          </w:p>
        </w:tc>
      </w:tr>
      <w:tr w14:paraId="7A502CA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3CE7C2F9">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65DAEDE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3E9928D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A1C6E1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9CFD65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9465E6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342432B5">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2C948B4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6F4CACE6">
            <w:pPr>
              <w:shd w:val="clear"/>
              <w:spacing w:line="360" w:lineRule="auto"/>
              <w:jc w:val="center"/>
              <w:outlineLvl w:val="9"/>
              <w:rPr>
                <w:rFonts w:hint="eastAsia" w:ascii="宋体" w:hAnsi="宋体" w:eastAsia="宋体" w:cs="宋体"/>
                <w:color w:val="auto"/>
                <w:sz w:val="24"/>
                <w:szCs w:val="24"/>
                <w:highlight w:val="none"/>
              </w:rPr>
            </w:pPr>
          </w:p>
        </w:tc>
      </w:tr>
      <w:tr w14:paraId="46A3F6C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7297B366">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6C1E914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6D6F94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4F4177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0E92AC1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EB88CF9">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13E17ED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71D298A5">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4F8940B6">
            <w:pPr>
              <w:shd w:val="clear"/>
              <w:spacing w:line="360" w:lineRule="auto"/>
              <w:jc w:val="center"/>
              <w:outlineLvl w:val="9"/>
              <w:rPr>
                <w:rFonts w:hint="eastAsia" w:ascii="宋体" w:hAnsi="宋体" w:eastAsia="宋体" w:cs="宋体"/>
                <w:color w:val="auto"/>
                <w:sz w:val="24"/>
                <w:szCs w:val="24"/>
                <w:highlight w:val="none"/>
              </w:rPr>
            </w:pPr>
          </w:p>
        </w:tc>
      </w:tr>
      <w:tr w14:paraId="5A14162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24EA33EC">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5C9EE1D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E1F33B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ABBC5F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656C11F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E4E39C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495A51C0">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3B20952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751B9771">
            <w:pPr>
              <w:shd w:val="clear"/>
              <w:spacing w:line="360" w:lineRule="auto"/>
              <w:jc w:val="center"/>
              <w:outlineLvl w:val="9"/>
              <w:rPr>
                <w:rFonts w:hint="eastAsia" w:ascii="宋体" w:hAnsi="宋体" w:eastAsia="宋体" w:cs="宋体"/>
                <w:color w:val="auto"/>
                <w:sz w:val="24"/>
                <w:szCs w:val="24"/>
                <w:highlight w:val="none"/>
              </w:rPr>
            </w:pPr>
          </w:p>
        </w:tc>
      </w:tr>
      <w:tr w14:paraId="42368DF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42F4864D">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6A954446">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6091AA7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A63D496">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08C6785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2E3089D5">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0B1AAA73">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19CD8945">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4A9ECA1D">
            <w:pPr>
              <w:shd w:val="clear"/>
              <w:spacing w:line="360" w:lineRule="auto"/>
              <w:jc w:val="center"/>
              <w:outlineLvl w:val="9"/>
              <w:rPr>
                <w:rFonts w:hint="eastAsia" w:ascii="宋体" w:hAnsi="宋体" w:eastAsia="宋体" w:cs="宋体"/>
                <w:color w:val="auto"/>
                <w:sz w:val="24"/>
                <w:szCs w:val="24"/>
                <w:highlight w:val="none"/>
              </w:rPr>
            </w:pPr>
          </w:p>
        </w:tc>
      </w:tr>
    </w:tbl>
    <w:p w14:paraId="09E5EDEA">
      <w:pPr>
        <w:widowControl/>
        <w:shd w:val="clea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附件四：投入机械设备情况表</w:t>
      </w:r>
    </w:p>
    <w:tbl>
      <w:tblPr>
        <w:tblStyle w:val="5"/>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890"/>
        <w:gridCol w:w="1242"/>
        <w:gridCol w:w="827"/>
        <w:gridCol w:w="1792"/>
        <w:gridCol w:w="1104"/>
        <w:gridCol w:w="1649"/>
      </w:tblGrid>
      <w:tr w14:paraId="1AFCB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084BD8F0">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1.拟投入本项目的洒水车（清洗车）；</w:t>
            </w:r>
          </w:p>
        </w:tc>
      </w:tr>
      <w:tr w14:paraId="21A3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1D119774">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5207F99D">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41512B0F">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316CD844">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5D04370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133CC0E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6F192D92">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4464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7A3EF32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63CEF473">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26797093">
            <w:pPr>
              <w:shd w:val="clear"/>
              <w:spacing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3753179B">
            <w:pPr>
              <w:shd w:val="clear"/>
              <w:spacing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0A9F2E9A">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5E6C5122">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51CF34D1">
            <w:pPr>
              <w:shd w:val="clear"/>
              <w:spacing w:line="360" w:lineRule="auto"/>
              <w:outlineLvl w:val="9"/>
              <w:rPr>
                <w:rFonts w:hint="eastAsia" w:ascii="宋体" w:hAnsi="宋体" w:eastAsia="宋体" w:cs="宋体"/>
                <w:color w:val="auto"/>
                <w:sz w:val="21"/>
                <w:szCs w:val="21"/>
                <w:highlight w:val="none"/>
              </w:rPr>
            </w:pPr>
          </w:p>
        </w:tc>
      </w:tr>
      <w:tr w14:paraId="208A1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199548F6">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5C0970F2">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36C60BAD">
            <w:pPr>
              <w:shd w:val="clear"/>
              <w:spacing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31864DED">
            <w:pPr>
              <w:shd w:val="clear"/>
              <w:spacing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64903CBE">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0ED7A434">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0ADE4676">
            <w:pPr>
              <w:shd w:val="clear"/>
              <w:spacing w:line="360" w:lineRule="auto"/>
              <w:outlineLvl w:val="9"/>
              <w:rPr>
                <w:rFonts w:hint="eastAsia" w:ascii="宋体" w:hAnsi="宋体" w:eastAsia="宋体" w:cs="宋体"/>
                <w:color w:val="auto"/>
                <w:sz w:val="21"/>
                <w:szCs w:val="21"/>
                <w:highlight w:val="none"/>
              </w:rPr>
            </w:pPr>
          </w:p>
        </w:tc>
      </w:tr>
      <w:tr w14:paraId="77FF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6C075745">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2.拟投入本项目的病虫害打药机具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绿篱机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油锯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树枝粉碎机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割草机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高枝剪/高枝锯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落叶吹风机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割灌机</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shd w:val="clear" w:color="auto" w:fill="FFFFFF"/>
              </w:rPr>
              <w:t>；</w:t>
            </w:r>
          </w:p>
        </w:tc>
      </w:tr>
      <w:tr w14:paraId="024B7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695E3149">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75319E4F">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5FD0B31D">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23398CE8">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04969BD9">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3E23B75A">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6414A37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1C322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31CE491B">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68CC1BF6">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6FA29306">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1D74BF6B">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57417C96">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46E17D62">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79DE0E0F">
            <w:pPr>
              <w:shd w:val="clear"/>
              <w:spacing w:line="360" w:lineRule="auto"/>
              <w:jc w:val="center"/>
              <w:outlineLvl w:val="9"/>
              <w:rPr>
                <w:rFonts w:hint="eastAsia" w:ascii="宋体" w:hAnsi="宋体" w:eastAsia="宋体" w:cs="宋体"/>
                <w:color w:val="auto"/>
                <w:sz w:val="21"/>
                <w:szCs w:val="21"/>
                <w:highlight w:val="none"/>
              </w:rPr>
            </w:pPr>
          </w:p>
        </w:tc>
      </w:tr>
      <w:tr w14:paraId="78D73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5DAF7F37">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32EC83A3">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136847AD">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614830B4">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1165BB06">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6B995EDA">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547756BF">
            <w:pPr>
              <w:shd w:val="clear"/>
              <w:spacing w:line="360" w:lineRule="auto"/>
              <w:jc w:val="center"/>
              <w:outlineLvl w:val="9"/>
              <w:rPr>
                <w:rFonts w:hint="eastAsia" w:ascii="宋体" w:hAnsi="宋体" w:eastAsia="宋体" w:cs="宋体"/>
                <w:color w:val="auto"/>
                <w:sz w:val="21"/>
                <w:szCs w:val="21"/>
                <w:highlight w:val="none"/>
              </w:rPr>
            </w:pPr>
          </w:p>
        </w:tc>
      </w:tr>
      <w:tr w14:paraId="11B37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536BA24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890" w:type="dxa"/>
            <w:noWrap w:val="0"/>
            <w:vAlign w:val="center"/>
          </w:tcPr>
          <w:p w14:paraId="2174191A">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48BDBEE8">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30A01325">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2E6B65D9">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01A446CB">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565333CC">
            <w:pPr>
              <w:shd w:val="clear"/>
              <w:spacing w:line="360" w:lineRule="auto"/>
              <w:jc w:val="center"/>
              <w:outlineLvl w:val="9"/>
              <w:rPr>
                <w:rFonts w:hint="eastAsia" w:ascii="宋体" w:hAnsi="宋体" w:eastAsia="宋体" w:cs="宋体"/>
                <w:color w:val="auto"/>
                <w:sz w:val="21"/>
                <w:szCs w:val="21"/>
                <w:highlight w:val="none"/>
              </w:rPr>
            </w:pPr>
          </w:p>
        </w:tc>
      </w:tr>
      <w:tr w14:paraId="5BE6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1F6B12AD">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890" w:type="dxa"/>
            <w:noWrap w:val="0"/>
            <w:vAlign w:val="center"/>
          </w:tcPr>
          <w:p w14:paraId="025986C4">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308A05CF">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5B19566D">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3D60C74A">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3A927A0B">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6A51AC2D">
            <w:pPr>
              <w:shd w:val="clear"/>
              <w:spacing w:line="360" w:lineRule="auto"/>
              <w:jc w:val="center"/>
              <w:outlineLvl w:val="9"/>
              <w:rPr>
                <w:rFonts w:hint="eastAsia" w:ascii="宋体" w:hAnsi="宋体" w:eastAsia="宋体" w:cs="宋体"/>
                <w:color w:val="auto"/>
                <w:sz w:val="21"/>
                <w:szCs w:val="21"/>
                <w:highlight w:val="none"/>
              </w:rPr>
            </w:pPr>
          </w:p>
        </w:tc>
      </w:tr>
      <w:tr w14:paraId="5D1F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0A4FB0F9">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890" w:type="dxa"/>
            <w:noWrap w:val="0"/>
            <w:vAlign w:val="center"/>
          </w:tcPr>
          <w:p w14:paraId="06E9252D">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13134EC4">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1B6662C2">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0874512E">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162F92A7">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469C564B">
            <w:pPr>
              <w:shd w:val="clear"/>
              <w:spacing w:line="360" w:lineRule="auto"/>
              <w:jc w:val="center"/>
              <w:outlineLvl w:val="9"/>
              <w:rPr>
                <w:rFonts w:hint="eastAsia" w:ascii="宋体" w:hAnsi="宋体" w:eastAsia="宋体" w:cs="宋体"/>
                <w:color w:val="auto"/>
                <w:sz w:val="21"/>
                <w:szCs w:val="21"/>
                <w:highlight w:val="none"/>
              </w:rPr>
            </w:pPr>
          </w:p>
        </w:tc>
      </w:tr>
      <w:tr w14:paraId="0AD3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062FC45A">
            <w:pPr>
              <w:shd w:val="clear"/>
              <w:spacing w:line="360" w:lineRule="auto"/>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1890" w:type="dxa"/>
            <w:noWrap w:val="0"/>
            <w:vAlign w:val="center"/>
          </w:tcPr>
          <w:p w14:paraId="41AE0CE7">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2E8AA7F4">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44477E9E">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75F1CD44">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077C6652">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545930C2">
            <w:pPr>
              <w:shd w:val="clear"/>
              <w:spacing w:line="360" w:lineRule="auto"/>
              <w:jc w:val="center"/>
              <w:outlineLvl w:val="9"/>
              <w:rPr>
                <w:rFonts w:hint="eastAsia" w:ascii="宋体" w:hAnsi="宋体" w:eastAsia="宋体" w:cs="宋体"/>
                <w:color w:val="auto"/>
                <w:sz w:val="21"/>
                <w:szCs w:val="21"/>
                <w:highlight w:val="none"/>
              </w:rPr>
            </w:pPr>
          </w:p>
        </w:tc>
      </w:tr>
      <w:tr w14:paraId="052C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5EDC896F">
            <w:pPr>
              <w:shd w:val="clear"/>
              <w:spacing w:line="360" w:lineRule="auto"/>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1890" w:type="dxa"/>
            <w:noWrap w:val="0"/>
            <w:vAlign w:val="center"/>
          </w:tcPr>
          <w:p w14:paraId="07671FD8">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06F5DE1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730DE917">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6B654182">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42FBF045">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23E490C4">
            <w:pPr>
              <w:shd w:val="clear"/>
              <w:spacing w:line="360" w:lineRule="auto"/>
              <w:jc w:val="center"/>
              <w:outlineLvl w:val="9"/>
              <w:rPr>
                <w:rFonts w:hint="eastAsia" w:ascii="宋体" w:hAnsi="宋体" w:eastAsia="宋体" w:cs="宋体"/>
                <w:color w:val="auto"/>
                <w:sz w:val="21"/>
                <w:szCs w:val="21"/>
                <w:highlight w:val="none"/>
              </w:rPr>
            </w:pPr>
          </w:p>
        </w:tc>
      </w:tr>
      <w:tr w14:paraId="53DB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3206B55D">
            <w:pPr>
              <w:shd w:val="clear"/>
              <w:spacing w:line="360" w:lineRule="auto"/>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1890" w:type="dxa"/>
            <w:noWrap w:val="0"/>
            <w:vAlign w:val="center"/>
          </w:tcPr>
          <w:p w14:paraId="71AA199C">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32F8174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48F2F95E">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7EE43787">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10465A10">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40358D7B">
            <w:pPr>
              <w:shd w:val="clear"/>
              <w:spacing w:line="360" w:lineRule="auto"/>
              <w:jc w:val="center"/>
              <w:outlineLvl w:val="9"/>
              <w:rPr>
                <w:rFonts w:hint="eastAsia" w:ascii="宋体" w:hAnsi="宋体" w:eastAsia="宋体" w:cs="宋体"/>
                <w:color w:val="auto"/>
                <w:sz w:val="21"/>
                <w:szCs w:val="21"/>
                <w:highlight w:val="none"/>
              </w:rPr>
            </w:pPr>
          </w:p>
        </w:tc>
      </w:tr>
      <w:tr w14:paraId="4318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3C7DAE8E">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shd w:val="clear" w:color="auto" w:fill="FFFFFF"/>
              </w:rPr>
              <w:t>拟投入本项目的</w:t>
            </w:r>
            <w:r>
              <w:rPr>
                <w:rFonts w:hint="eastAsia" w:ascii="宋体" w:hAnsi="宋体" w:eastAsia="宋体" w:cs="宋体"/>
                <w:color w:val="auto"/>
                <w:sz w:val="21"/>
                <w:szCs w:val="21"/>
                <w:highlight w:val="none"/>
                <w:shd w:val="clear" w:color="auto" w:fill="FFFFFF"/>
                <w:lang w:val="en-US" w:eastAsia="zh-CN"/>
              </w:rPr>
              <w:t>垃圾清运车、新能源巡查车</w:t>
            </w:r>
            <w:r>
              <w:rPr>
                <w:rFonts w:hint="eastAsia" w:ascii="宋体" w:hAnsi="宋体" w:eastAsia="宋体" w:cs="宋体"/>
                <w:color w:val="auto"/>
                <w:sz w:val="21"/>
                <w:szCs w:val="21"/>
                <w:highlight w:val="none"/>
                <w:shd w:val="clear" w:color="auto" w:fill="FFFFFF"/>
              </w:rPr>
              <w:t>；</w:t>
            </w:r>
          </w:p>
        </w:tc>
      </w:tr>
      <w:tr w14:paraId="3C13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15E42EBB">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4FF27D86">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059F75A8">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7D1A0B43">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658DAFD4">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0691BB13">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09DD51AC">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13FB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3CAAED0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2DFEDFF0">
            <w:pPr>
              <w:shd w:val="clear"/>
              <w:spacing w:line="360" w:lineRule="auto"/>
              <w:outlineLvl w:val="9"/>
              <w:rPr>
                <w:rFonts w:hint="eastAsia" w:ascii="宋体" w:hAnsi="宋体" w:eastAsia="宋体" w:cs="宋体"/>
                <w:color w:val="auto"/>
                <w:sz w:val="21"/>
                <w:szCs w:val="21"/>
                <w:highlight w:val="none"/>
              </w:rPr>
            </w:pPr>
          </w:p>
        </w:tc>
        <w:tc>
          <w:tcPr>
            <w:tcW w:w="1242" w:type="dxa"/>
            <w:noWrap w:val="0"/>
            <w:vAlign w:val="center"/>
          </w:tcPr>
          <w:p w14:paraId="54F62094">
            <w:pPr>
              <w:shd w:val="clear"/>
              <w:spacing w:line="360" w:lineRule="auto"/>
              <w:outlineLvl w:val="9"/>
              <w:rPr>
                <w:rFonts w:hint="eastAsia" w:ascii="宋体" w:hAnsi="宋体" w:eastAsia="宋体" w:cs="宋体"/>
                <w:color w:val="auto"/>
                <w:sz w:val="21"/>
                <w:szCs w:val="21"/>
                <w:highlight w:val="none"/>
              </w:rPr>
            </w:pPr>
          </w:p>
        </w:tc>
        <w:tc>
          <w:tcPr>
            <w:tcW w:w="827" w:type="dxa"/>
            <w:noWrap w:val="0"/>
            <w:vAlign w:val="center"/>
          </w:tcPr>
          <w:p w14:paraId="63C7D6F4">
            <w:pPr>
              <w:shd w:val="clear"/>
              <w:spacing w:line="360" w:lineRule="auto"/>
              <w:outlineLvl w:val="9"/>
              <w:rPr>
                <w:rFonts w:hint="eastAsia" w:ascii="宋体" w:hAnsi="宋体" w:eastAsia="宋体" w:cs="宋体"/>
                <w:color w:val="auto"/>
                <w:sz w:val="21"/>
                <w:szCs w:val="21"/>
                <w:highlight w:val="none"/>
              </w:rPr>
            </w:pPr>
          </w:p>
        </w:tc>
        <w:tc>
          <w:tcPr>
            <w:tcW w:w="1792" w:type="dxa"/>
            <w:noWrap w:val="0"/>
            <w:vAlign w:val="center"/>
          </w:tcPr>
          <w:p w14:paraId="082FB87D">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1A18E0CB">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0AC0791E">
            <w:pPr>
              <w:shd w:val="clear"/>
              <w:spacing w:line="360" w:lineRule="auto"/>
              <w:outlineLvl w:val="9"/>
              <w:rPr>
                <w:rFonts w:hint="eastAsia" w:ascii="宋体" w:hAnsi="宋体" w:eastAsia="宋体" w:cs="宋体"/>
                <w:color w:val="auto"/>
                <w:sz w:val="21"/>
                <w:szCs w:val="21"/>
                <w:highlight w:val="none"/>
              </w:rPr>
            </w:pPr>
          </w:p>
        </w:tc>
      </w:tr>
      <w:tr w14:paraId="5F885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0316795E">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76C07B15">
            <w:pPr>
              <w:shd w:val="clear"/>
              <w:spacing w:line="360" w:lineRule="auto"/>
              <w:outlineLvl w:val="9"/>
              <w:rPr>
                <w:rFonts w:hint="eastAsia" w:ascii="宋体" w:hAnsi="宋体" w:eastAsia="宋体" w:cs="宋体"/>
                <w:color w:val="auto"/>
                <w:sz w:val="21"/>
                <w:szCs w:val="21"/>
                <w:highlight w:val="none"/>
              </w:rPr>
            </w:pPr>
          </w:p>
        </w:tc>
        <w:tc>
          <w:tcPr>
            <w:tcW w:w="1242" w:type="dxa"/>
            <w:noWrap w:val="0"/>
            <w:vAlign w:val="center"/>
          </w:tcPr>
          <w:p w14:paraId="5EB859BA">
            <w:pPr>
              <w:shd w:val="clear"/>
              <w:spacing w:line="360" w:lineRule="auto"/>
              <w:outlineLvl w:val="9"/>
              <w:rPr>
                <w:rFonts w:hint="eastAsia" w:ascii="宋体" w:hAnsi="宋体" w:eastAsia="宋体" w:cs="宋体"/>
                <w:color w:val="auto"/>
                <w:sz w:val="21"/>
                <w:szCs w:val="21"/>
                <w:highlight w:val="none"/>
              </w:rPr>
            </w:pPr>
          </w:p>
        </w:tc>
        <w:tc>
          <w:tcPr>
            <w:tcW w:w="827" w:type="dxa"/>
            <w:noWrap w:val="0"/>
            <w:vAlign w:val="center"/>
          </w:tcPr>
          <w:p w14:paraId="3570C0D5">
            <w:pPr>
              <w:shd w:val="clear"/>
              <w:spacing w:line="360" w:lineRule="auto"/>
              <w:outlineLvl w:val="9"/>
              <w:rPr>
                <w:rFonts w:hint="eastAsia" w:ascii="宋体" w:hAnsi="宋体" w:eastAsia="宋体" w:cs="宋体"/>
                <w:color w:val="auto"/>
                <w:sz w:val="21"/>
                <w:szCs w:val="21"/>
                <w:highlight w:val="none"/>
              </w:rPr>
            </w:pPr>
          </w:p>
        </w:tc>
        <w:tc>
          <w:tcPr>
            <w:tcW w:w="1792" w:type="dxa"/>
            <w:noWrap w:val="0"/>
            <w:vAlign w:val="center"/>
          </w:tcPr>
          <w:p w14:paraId="74B94A52">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127FCF75">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3C7CC3BE">
            <w:pPr>
              <w:shd w:val="clear"/>
              <w:spacing w:line="360" w:lineRule="auto"/>
              <w:outlineLvl w:val="9"/>
              <w:rPr>
                <w:rFonts w:hint="eastAsia" w:ascii="宋体" w:hAnsi="宋体" w:eastAsia="宋体" w:cs="宋体"/>
                <w:color w:val="auto"/>
                <w:sz w:val="21"/>
                <w:szCs w:val="21"/>
                <w:highlight w:val="none"/>
              </w:rPr>
            </w:pPr>
          </w:p>
        </w:tc>
      </w:tr>
      <w:tr w14:paraId="6D59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4F8AD11D">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4.拟投入的与养护有关的其余设备、器材、工具如(发电机、随车吊、乔木修剪车、打药车)等；</w:t>
            </w:r>
          </w:p>
        </w:tc>
      </w:tr>
      <w:tr w14:paraId="3D7E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43A4F669">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0D22D28F">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687C1EEB">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3F225CDC">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7B36FE9C">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14B3CCB6">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0D70039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30F28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0ECE9B2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4CFB461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72A964C6">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1ADACFF4">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60CEAF4A">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1891015A">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651AF03A">
            <w:pPr>
              <w:shd w:val="clear"/>
              <w:spacing w:line="360" w:lineRule="auto"/>
              <w:jc w:val="center"/>
              <w:outlineLvl w:val="9"/>
              <w:rPr>
                <w:rFonts w:hint="eastAsia" w:ascii="宋体" w:hAnsi="宋体" w:eastAsia="宋体" w:cs="宋体"/>
                <w:color w:val="auto"/>
                <w:sz w:val="21"/>
                <w:szCs w:val="21"/>
                <w:highlight w:val="none"/>
              </w:rPr>
            </w:pPr>
          </w:p>
        </w:tc>
      </w:tr>
      <w:tr w14:paraId="794E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5C52F5D5">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382C5063">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6C533EBC">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082B832E">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06DF9936">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525B6F82">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363AD4A2">
            <w:pPr>
              <w:shd w:val="clear"/>
              <w:spacing w:line="360" w:lineRule="auto"/>
              <w:jc w:val="center"/>
              <w:outlineLvl w:val="9"/>
              <w:rPr>
                <w:rFonts w:hint="eastAsia" w:ascii="宋体" w:hAnsi="宋体" w:eastAsia="宋体" w:cs="宋体"/>
                <w:color w:val="auto"/>
                <w:sz w:val="21"/>
                <w:szCs w:val="21"/>
                <w:highlight w:val="none"/>
              </w:rPr>
            </w:pPr>
          </w:p>
        </w:tc>
      </w:tr>
      <w:tr w14:paraId="78B02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199CD07E">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890" w:type="dxa"/>
            <w:noWrap w:val="0"/>
            <w:vAlign w:val="center"/>
          </w:tcPr>
          <w:p w14:paraId="260F4001">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2E274A4E">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231E8AC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0518D896">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3CF4A198">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2ECFF796">
            <w:pPr>
              <w:shd w:val="clear"/>
              <w:spacing w:line="360" w:lineRule="auto"/>
              <w:jc w:val="center"/>
              <w:outlineLvl w:val="9"/>
              <w:rPr>
                <w:rFonts w:hint="eastAsia" w:ascii="宋体" w:hAnsi="宋体" w:eastAsia="宋体" w:cs="宋体"/>
                <w:color w:val="auto"/>
                <w:sz w:val="21"/>
                <w:szCs w:val="21"/>
                <w:highlight w:val="none"/>
              </w:rPr>
            </w:pPr>
          </w:p>
        </w:tc>
      </w:tr>
      <w:tr w14:paraId="573C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056E654A">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890" w:type="dxa"/>
            <w:noWrap w:val="0"/>
            <w:vAlign w:val="center"/>
          </w:tcPr>
          <w:p w14:paraId="7D80E210">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557FA37F">
            <w:pPr>
              <w:shd w:val="clear"/>
              <w:spacing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046A8487">
            <w:pPr>
              <w:shd w:val="clear"/>
              <w:spacing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5B499A68">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4B9B6C1A">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3029078C">
            <w:pPr>
              <w:shd w:val="clear"/>
              <w:spacing w:line="360" w:lineRule="auto"/>
              <w:jc w:val="center"/>
              <w:outlineLvl w:val="9"/>
              <w:rPr>
                <w:rFonts w:hint="eastAsia" w:ascii="宋体" w:hAnsi="宋体" w:eastAsia="宋体" w:cs="宋体"/>
                <w:color w:val="auto"/>
                <w:sz w:val="21"/>
                <w:szCs w:val="21"/>
                <w:highlight w:val="none"/>
              </w:rPr>
            </w:pPr>
          </w:p>
        </w:tc>
      </w:tr>
    </w:tbl>
    <w:p w14:paraId="76EA7CEB">
      <w:pPr>
        <w:widowControl/>
        <w:shd w:val="clea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附件五：西安浐灞国际港绿地管护工作考评办法</w:t>
      </w:r>
    </w:p>
    <w:p w14:paraId="350A0C67">
      <w:pPr>
        <w:shd w:val="clear"/>
        <w:spacing w:before="240"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西安浐灞国际港绿地管护工作考评办法</w:t>
      </w:r>
    </w:p>
    <w:p w14:paraId="7BDEAB20">
      <w:pPr>
        <w:shd w:val="clear"/>
        <w:spacing w:line="360" w:lineRule="auto"/>
        <w:ind w:firstLine="420" w:firstLineChars="200"/>
        <w:outlineLvl w:val="9"/>
        <w:rPr>
          <w:rFonts w:hint="eastAsia" w:ascii="宋体" w:hAnsi="宋体" w:eastAsia="宋体" w:cs="宋体"/>
          <w:color w:val="auto"/>
          <w:sz w:val="21"/>
          <w:szCs w:val="21"/>
          <w:highlight w:val="none"/>
        </w:rPr>
      </w:pPr>
    </w:p>
    <w:p w14:paraId="01CBA2A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为了进一步规范绿化管理工作，促进全区养护管理工作规范化、科学化、长效化管理水平不断提高， 全面、客观考评各单位园林绿化管理工作开展情况，特制定本暂行办法。</w:t>
      </w:r>
    </w:p>
    <w:p w14:paraId="65E880F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一、考评对象</w:t>
      </w:r>
    </w:p>
    <w:p w14:paraId="1C45336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园区绿化养护标段。</w:t>
      </w:r>
    </w:p>
    <w:p w14:paraId="28A1153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二、考评范围</w:t>
      </w:r>
    </w:p>
    <w:p w14:paraId="10FA582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西安浐灞国际港内建成绿地养护管理工作。</w:t>
      </w:r>
    </w:p>
    <w:p w14:paraId="03552BF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三、考评机构</w:t>
      </w:r>
    </w:p>
    <w:p w14:paraId="37C3428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加强考评工作的组织领导，西安浐灞国际港生态环境局成立专项工作领导小组，负责统筹有关工作的组织协调、实施推进和督促检查。领导小组组长由西安浐灞国际港生态环境局副局长担任，副组长由负责养护管理业务干部担任，成员由绿化养护监理人员、各养护单位项目管理人员担任。副组长与各成员为考评工作人员，为确保考核工作公正考评组人数需在三人以上，具体负责日常检查考评评分工作。组长对考评工作进行督查，确保考评及时、客观、公正。</w:t>
      </w:r>
    </w:p>
    <w:p w14:paraId="2F7B9E6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四、考评方式</w:t>
      </w:r>
    </w:p>
    <w:p w14:paraId="46E63E8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（一）月度考评</w:t>
      </w:r>
    </w:p>
    <w:p w14:paraId="1F41F97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下旬实地到每个绿化标段进行检查，并按照月度考评打分及处罚标准（详见附件）考核。每月月初考评小组需对各单位的月度检查考评及处罚情况进行汇总，对养护单元养护情况给出优、良、差的评价等级，并报西安浐灞国际港生态环境局审核，审核通过后，进行通报。</w:t>
      </w:r>
    </w:p>
    <w:p w14:paraId="7AB4755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 年度考评</w:t>
      </w:r>
    </w:p>
    <w:p w14:paraId="061D3E4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西安浐灞国际港生态环境局年底综合全年管理工作的总体情况，对各单位进行年度评分和排名。年度评分内容包括管理工作得分、上级考核工作得分、额外奖励加分。</w:t>
      </w:r>
    </w:p>
    <w:p w14:paraId="39F7EE3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工作得分是指考评小组依据月度考评情况，评出的各单位园林绿化管理工作年度总分。上级检查得分是指考评小组依据市级领导及相关部门、市局检查考核情况，评出的各单位管护项目园林绿化管理年度总分。额外奖励加分是指考评小组在确定各单位管理工作得分和上级考核工作得分后，对在养护管理、工作措施、技术应用方面创新工作取得显著成效的、某项工作具有全区示范意义或落实临时重大任务成绩突出的单位酌情予以额外加分。</w:t>
      </w:r>
    </w:p>
    <w:p w14:paraId="125BE0F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度考评总分为100分，一般情况由管理工作分值和上级考核工作得分组成，管理工作分值占年度考评分值的比例为80%，上级考核工作得分分值占年度考评分值的比例为20%。无上级检查得分者则以管理工作分值为考评总分。</w:t>
      </w:r>
    </w:p>
    <w:p w14:paraId="7EDEBC7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五、结果运用</w:t>
      </w:r>
    </w:p>
    <w:p w14:paraId="47C6A78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月度考核：每月对各养护标段，根据《西安浐灞国际港园林绿化管理工作月度考评及处罚标准》（见附表）进行打分、考核、排名和处罚工作，对结果进行通报，处罚费用在当季养护费用中扣除。对考评中第一次出现排名后三且考评为差（月度考评成绩70分以下）的养护单元，对项目单位公司领导及项目经理进行约谈，对养护单元管理负责人及主要管理人员进行提醒警告。累计两次出现排名后三且考评为差（月度考评成绩70分以下）的养护单元要求更换管理负责人及主要管理人员。累计三次排名后三且考评为差（月度考评成绩70分以下）的养护单元，解除该养护单元养护关系，委托其它单位负责该区域养护工作。</w:t>
      </w:r>
    </w:p>
    <w:p w14:paraId="7FA5248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年度考核：年度内月度考核评价累计三次为差的标段，扣除养护单位年度护质保金，对各养护标段园林绿化管理工作的考评结果，做如下运用:一是根据考核分值按月统计，按照考核结果支付养护费用；二是作为园区养护管理单位的评价推选依据；三是作为向管委会领导通告有关企业管理水平优劣的基础和依据；四是作为进行各类责任追究的基础性依据。</w:t>
      </w:r>
    </w:p>
    <w:p w14:paraId="13D6A1FB">
      <w:pPr>
        <w:shd w:val="clear"/>
        <w:spacing w:line="360" w:lineRule="auto"/>
        <w:outlineLvl w:val="9"/>
        <w:rPr>
          <w:rFonts w:hint="eastAsia" w:ascii="宋体" w:hAnsi="宋体" w:eastAsia="宋体" w:cs="宋体"/>
          <w:color w:val="auto"/>
          <w:sz w:val="24"/>
          <w:szCs w:val="24"/>
          <w:highlight w:val="none"/>
        </w:rPr>
        <w:sectPr>
          <w:footerReference r:id="rId10" w:type="first"/>
          <w:footerReference r:id="rId8" w:type="default"/>
          <w:footerReference r:id="rId9" w:type="even"/>
          <w:pgSz w:w="11905" w:h="16838"/>
          <w:pgMar w:top="1304" w:right="1134" w:bottom="1304" w:left="1247" w:header="850" w:footer="992" w:gutter="0"/>
          <w:pgNumType w:fmt="numberInDash" w:start="1"/>
          <w:cols w:space="720" w:num="1"/>
          <w:titlePg/>
          <w:docGrid w:linePitch="323" w:charSpace="0"/>
        </w:sectPr>
      </w:pPr>
    </w:p>
    <w:p w14:paraId="7DFD5B9F">
      <w:pPr>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附件一：西安浐灞国际港园林绿化工作考核标准表（西安浐灞国际港绿地养护管理工作月度考核标准表）</w:t>
      </w:r>
    </w:p>
    <w:tbl>
      <w:tblPr>
        <w:tblStyle w:val="5"/>
        <w:tblW w:w="5009"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68"/>
        <w:gridCol w:w="1267"/>
        <w:gridCol w:w="1850"/>
        <w:gridCol w:w="6160"/>
        <w:gridCol w:w="3402"/>
        <w:gridCol w:w="719"/>
      </w:tblGrid>
      <w:tr w14:paraId="5374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noWrap w:val="0"/>
            <w:vAlign w:val="center"/>
          </w:tcPr>
          <w:p w14:paraId="38931D65">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44" w:type="pct"/>
            <w:noWrap w:val="0"/>
            <w:vAlign w:val="center"/>
          </w:tcPr>
          <w:p w14:paraId="0E109F2E">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类别</w:t>
            </w:r>
          </w:p>
        </w:tc>
        <w:tc>
          <w:tcPr>
            <w:tcW w:w="648" w:type="pct"/>
            <w:noWrap w:val="0"/>
            <w:vAlign w:val="center"/>
          </w:tcPr>
          <w:p w14:paraId="35571F40">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考核项目</w:t>
            </w:r>
          </w:p>
        </w:tc>
        <w:tc>
          <w:tcPr>
            <w:tcW w:w="2158" w:type="pct"/>
            <w:noWrap w:val="0"/>
            <w:vAlign w:val="center"/>
          </w:tcPr>
          <w:p w14:paraId="058DE907">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扣分标准</w:t>
            </w:r>
          </w:p>
        </w:tc>
        <w:tc>
          <w:tcPr>
            <w:tcW w:w="1192" w:type="pct"/>
            <w:noWrap w:val="0"/>
            <w:vAlign w:val="center"/>
          </w:tcPr>
          <w:p w14:paraId="27781111">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扣款标准</w:t>
            </w:r>
          </w:p>
        </w:tc>
        <w:tc>
          <w:tcPr>
            <w:tcW w:w="252" w:type="pct"/>
            <w:noWrap w:val="0"/>
            <w:vAlign w:val="center"/>
          </w:tcPr>
          <w:p w14:paraId="2D34088B">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1E9EC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3F2353E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44" w:type="pct"/>
            <w:vMerge w:val="restart"/>
            <w:noWrap w:val="0"/>
            <w:vAlign w:val="center"/>
          </w:tcPr>
          <w:p w14:paraId="01B2435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绿化养护（50分）</w:t>
            </w:r>
          </w:p>
        </w:tc>
        <w:tc>
          <w:tcPr>
            <w:tcW w:w="648" w:type="pct"/>
            <w:noWrap w:val="0"/>
            <w:vAlign w:val="center"/>
          </w:tcPr>
          <w:p w14:paraId="421F4D9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足额配备现场管理人员绿化养护工</w:t>
            </w:r>
          </w:p>
        </w:tc>
        <w:tc>
          <w:tcPr>
            <w:tcW w:w="2158" w:type="pct"/>
            <w:noWrap w:val="0"/>
            <w:vAlign w:val="top"/>
          </w:tcPr>
          <w:p w14:paraId="5DA8B55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1、养护工配置标准为现场工人公园、一级养护绿地</w:t>
            </w:r>
            <w:r>
              <w:rPr>
                <w:rFonts w:hint="eastAsia" w:ascii="宋体" w:hAnsi="宋体" w:eastAsia="宋体" w:cs="宋体"/>
                <w:color w:val="auto"/>
                <w:sz w:val="21"/>
                <w:szCs w:val="21"/>
                <w:highlight w:val="none"/>
                <w:lang w:val="en-US" w:eastAsia="zh-CN"/>
              </w:rPr>
              <w:t>10000</w:t>
            </w:r>
            <w:r>
              <w:rPr>
                <w:rFonts w:hint="eastAsia" w:ascii="宋体" w:hAnsi="宋体" w:eastAsia="宋体" w:cs="宋体"/>
                <w:color w:val="auto"/>
                <w:sz w:val="21"/>
                <w:szCs w:val="21"/>
                <w:highlight w:val="none"/>
              </w:rPr>
              <w:t>㎡/人，二级养护绿地1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000㎡/人，防护林带20000㎡/人，未按规定足额配备每少1人扣2分；</w:t>
            </w:r>
          </w:p>
          <w:p w14:paraId="6187C06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2、养护人员未按规定着装每人扣1分；</w:t>
            </w:r>
          </w:p>
          <w:p w14:paraId="41E2E56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养护单位现场负责人员管理人员要求园林绿化相关专业大专以上文凭，具有3年从事绿化工作经验。养护标段现场技术负责人需具有绿化养护高级工应具备的相关要求、知识、技能及3年以上工作经验，现场标段负责人及技术负责人缺岗，每次扣5分，资质不达标每次扣3分。</w:t>
            </w:r>
          </w:p>
          <w:p w14:paraId="312C5EEF">
            <w:pPr>
              <w:shd w:val="clea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4、技术工人需有5年以上养护工作经验，养护工人中技术工的占比为总人数的30%。按规定未足额配备每少1人扣5分。</w:t>
            </w:r>
          </w:p>
          <w:p w14:paraId="446BE8A7">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5、强化人员专业培训提升，</w:t>
            </w:r>
            <w:r>
              <w:rPr>
                <w:rFonts w:hint="eastAsia" w:ascii="宋体" w:hAnsi="宋体" w:eastAsia="宋体" w:cs="宋体"/>
                <w:color w:val="auto"/>
                <w:sz w:val="21"/>
                <w:szCs w:val="21"/>
                <w:highlight w:val="none"/>
                <w:lang w:val="en-US" w:eastAsia="zh-CN"/>
              </w:rPr>
              <w:t>定期进行</w:t>
            </w:r>
            <w:r>
              <w:rPr>
                <w:rFonts w:hint="eastAsia" w:ascii="宋体" w:hAnsi="宋体" w:eastAsia="宋体" w:cs="宋体"/>
                <w:color w:val="auto"/>
                <w:sz w:val="21"/>
                <w:szCs w:val="21"/>
                <w:highlight w:val="none"/>
              </w:rPr>
              <w:t>每周一课</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月度培训</w:t>
            </w:r>
            <w:r>
              <w:rPr>
                <w:rFonts w:hint="eastAsia" w:ascii="宋体" w:hAnsi="宋体" w:eastAsia="宋体" w:cs="宋体"/>
                <w:color w:val="auto"/>
                <w:sz w:val="21"/>
                <w:szCs w:val="21"/>
                <w:highlight w:val="none"/>
                <w:lang w:val="en-US" w:eastAsia="zh-CN"/>
              </w:rPr>
              <w:t>活动，其中每周一课年度不少于20次，月度培训年度不少于5次</w:t>
            </w:r>
            <w:r>
              <w:rPr>
                <w:rFonts w:hint="eastAsia" w:ascii="宋体" w:hAnsi="宋体" w:eastAsia="宋体" w:cs="宋体"/>
                <w:color w:val="auto"/>
                <w:sz w:val="21"/>
                <w:szCs w:val="21"/>
                <w:highlight w:val="none"/>
              </w:rPr>
              <w:t>。</w:t>
            </w:r>
          </w:p>
        </w:tc>
        <w:tc>
          <w:tcPr>
            <w:tcW w:w="1192" w:type="pct"/>
            <w:noWrap w:val="0"/>
            <w:vAlign w:val="top"/>
          </w:tcPr>
          <w:p w14:paraId="5D302060">
            <w:pPr>
              <w:shd w:val="clear"/>
              <w:rPr>
                <w:rFonts w:hint="eastAsia" w:ascii="宋体" w:hAnsi="宋体" w:eastAsia="宋体" w:cs="宋体"/>
                <w:color w:val="auto"/>
                <w:sz w:val="21"/>
                <w:szCs w:val="21"/>
                <w:highlight w:val="none"/>
              </w:rPr>
            </w:pPr>
          </w:p>
          <w:p w14:paraId="1D453834">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工人缺人1次按日工资3倍处罚，每月</w:t>
            </w:r>
            <w:r>
              <w:rPr>
                <w:rFonts w:hint="eastAsia" w:ascii="宋体" w:hAnsi="宋体" w:eastAsia="宋体" w:cs="宋体"/>
                <w:color w:val="auto"/>
                <w:sz w:val="21"/>
                <w:szCs w:val="21"/>
                <w:highlight w:val="none"/>
                <w:lang w:val="en-US" w:eastAsia="zh-CN"/>
              </w:rPr>
              <w:t>累计出现</w:t>
            </w:r>
            <w:r>
              <w:rPr>
                <w:rFonts w:hint="eastAsia" w:ascii="宋体" w:hAnsi="宋体" w:eastAsia="宋体" w:cs="宋体"/>
                <w:color w:val="auto"/>
                <w:sz w:val="21"/>
                <w:szCs w:val="21"/>
                <w:highlight w:val="none"/>
              </w:rPr>
              <w:t>三次以上缺人</w:t>
            </w:r>
            <w:r>
              <w:rPr>
                <w:rFonts w:hint="eastAsia" w:ascii="宋体" w:hAnsi="宋体" w:eastAsia="宋体" w:cs="宋体"/>
                <w:color w:val="auto"/>
                <w:sz w:val="21"/>
                <w:szCs w:val="21"/>
                <w:highlight w:val="none"/>
                <w:lang w:val="en-US" w:eastAsia="zh-CN"/>
              </w:rPr>
              <w:t>问题按照6</w:t>
            </w:r>
            <w:r>
              <w:rPr>
                <w:rFonts w:hint="eastAsia" w:ascii="宋体" w:hAnsi="宋体" w:eastAsia="宋体" w:cs="宋体"/>
                <w:color w:val="auto"/>
                <w:sz w:val="21"/>
                <w:szCs w:val="21"/>
                <w:highlight w:val="none"/>
              </w:rPr>
              <w:t>000元</w:t>
            </w:r>
            <w:r>
              <w:rPr>
                <w:rFonts w:hint="eastAsia" w:ascii="宋体" w:hAnsi="宋体" w:eastAsia="宋体" w:cs="宋体"/>
                <w:color w:val="auto"/>
                <w:sz w:val="21"/>
                <w:szCs w:val="21"/>
                <w:highlight w:val="none"/>
                <w:lang w:val="en-US" w:eastAsia="zh-CN"/>
              </w:rPr>
              <w:t>/人/月标准进行处罚</w:t>
            </w:r>
            <w:r>
              <w:rPr>
                <w:rFonts w:hint="eastAsia" w:ascii="宋体" w:hAnsi="宋体" w:eastAsia="宋体" w:cs="宋体"/>
                <w:color w:val="auto"/>
                <w:sz w:val="21"/>
                <w:szCs w:val="21"/>
                <w:highlight w:val="none"/>
              </w:rPr>
              <w:t>（如有请假、调岗需提前报备），</w:t>
            </w:r>
            <w:r>
              <w:rPr>
                <w:rFonts w:hint="eastAsia" w:ascii="宋体" w:hAnsi="宋体" w:eastAsia="宋体" w:cs="宋体"/>
                <w:color w:val="auto"/>
                <w:sz w:val="21"/>
                <w:szCs w:val="21"/>
                <w:highlight w:val="none"/>
                <w:lang w:val="en-US" w:eastAsia="zh-CN"/>
              </w:rPr>
              <w:t>对</w:t>
            </w:r>
            <w:r>
              <w:rPr>
                <w:rFonts w:hint="eastAsia" w:ascii="宋体" w:hAnsi="宋体" w:eastAsia="宋体" w:cs="宋体"/>
                <w:color w:val="auto"/>
                <w:sz w:val="21"/>
                <w:szCs w:val="21"/>
                <w:highlight w:val="none"/>
              </w:rPr>
              <w:t>资质不达标</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1500元</w:t>
            </w:r>
            <w:r>
              <w:rPr>
                <w:rFonts w:hint="eastAsia" w:ascii="宋体" w:hAnsi="宋体" w:eastAsia="宋体" w:cs="宋体"/>
                <w:color w:val="auto"/>
                <w:sz w:val="21"/>
                <w:szCs w:val="21"/>
                <w:highlight w:val="none"/>
                <w:lang w:val="en-US" w:eastAsia="zh-CN"/>
              </w:rPr>
              <w:t>/人/月标准进行处罚</w:t>
            </w:r>
            <w:r>
              <w:rPr>
                <w:rFonts w:hint="eastAsia" w:ascii="宋体" w:hAnsi="宋体" w:eastAsia="宋体" w:cs="宋体"/>
                <w:color w:val="auto"/>
                <w:sz w:val="21"/>
                <w:szCs w:val="21"/>
                <w:highlight w:val="none"/>
              </w:rPr>
              <w:t>；脱岗</w:t>
            </w:r>
            <w:r>
              <w:rPr>
                <w:rFonts w:hint="eastAsia" w:ascii="宋体" w:hAnsi="宋体" w:eastAsia="宋体" w:cs="宋体"/>
                <w:color w:val="auto"/>
                <w:sz w:val="21"/>
                <w:szCs w:val="21"/>
                <w:highlight w:val="none"/>
                <w:lang w:val="en-US" w:eastAsia="zh-CN"/>
              </w:rPr>
              <w:t>问题按照</w:t>
            </w:r>
            <w:r>
              <w:rPr>
                <w:rFonts w:hint="eastAsia" w:ascii="宋体" w:hAnsi="宋体" w:eastAsia="宋体" w:cs="宋体"/>
                <w:color w:val="auto"/>
                <w:sz w:val="21"/>
                <w:szCs w:val="21"/>
                <w:highlight w:val="none"/>
              </w:rPr>
              <w:t>500元</w:t>
            </w:r>
            <w:r>
              <w:rPr>
                <w:rFonts w:hint="eastAsia" w:ascii="宋体" w:hAnsi="宋体" w:eastAsia="宋体" w:cs="宋体"/>
                <w:color w:val="auto"/>
                <w:sz w:val="21"/>
                <w:szCs w:val="21"/>
                <w:highlight w:val="none"/>
                <w:lang w:val="en-US" w:eastAsia="zh-CN"/>
              </w:rPr>
              <w:t>/人/次标准进行处罚</w:t>
            </w:r>
            <w:r>
              <w:rPr>
                <w:rFonts w:hint="eastAsia" w:ascii="宋体" w:hAnsi="宋体" w:eastAsia="宋体" w:cs="宋体"/>
                <w:color w:val="auto"/>
                <w:sz w:val="21"/>
                <w:szCs w:val="21"/>
                <w:highlight w:val="none"/>
              </w:rPr>
              <w:t>，管理人员要求不达标的</w:t>
            </w:r>
            <w:r>
              <w:rPr>
                <w:rFonts w:hint="eastAsia" w:ascii="宋体" w:hAnsi="宋体" w:eastAsia="宋体" w:cs="宋体"/>
                <w:color w:val="auto"/>
                <w:sz w:val="21"/>
                <w:szCs w:val="21"/>
                <w:highlight w:val="none"/>
                <w:lang w:val="en-US" w:eastAsia="zh-CN"/>
              </w:rPr>
              <w:t>按照10</w:t>
            </w:r>
            <w:r>
              <w:rPr>
                <w:rFonts w:hint="eastAsia" w:ascii="宋体" w:hAnsi="宋体" w:eastAsia="宋体" w:cs="宋体"/>
                <w:color w:val="auto"/>
                <w:sz w:val="21"/>
                <w:szCs w:val="21"/>
                <w:highlight w:val="none"/>
              </w:rPr>
              <w:t>000元</w:t>
            </w:r>
            <w:r>
              <w:rPr>
                <w:rFonts w:hint="eastAsia" w:ascii="宋体" w:hAnsi="宋体" w:eastAsia="宋体" w:cs="宋体"/>
                <w:color w:val="auto"/>
                <w:sz w:val="21"/>
                <w:szCs w:val="21"/>
                <w:highlight w:val="none"/>
                <w:lang w:val="en-US" w:eastAsia="zh-CN"/>
              </w:rPr>
              <w:t>/人/月标准进行处罚</w:t>
            </w:r>
            <w:r>
              <w:rPr>
                <w:rFonts w:hint="eastAsia" w:ascii="宋体" w:hAnsi="宋体" w:eastAsia="宋体" w:cs="宋体"/>
                <w:color w:val="auto"/>
                <w:sz w:val="21"/>
                <w:szCs w:val="21"/>
                <w:highlight w:val="none"/>
              </w:rPr>
              <w:t>，未按要求</w:t>
            </w:r>
            <w:r>
              <w:rPr>
                <w:rFonts w:hint="eastAsia" w:ascii="宋体" w:hAnsi="宋体" w:eastAsia="宋体" w:cs="宋体"/>
                <w:color w:val="auto"/>
                <w:sz w:val="21"/>
                <w:szCs w:val="21"/>
                <w:highlight w:val="none"/>
                <w:lang w:val="en-US" w:eastAsia="zh-CN"/>
              </w:rPr>
              <w:t>足额配备</w:t>
            </w:r>
            <w:r>
              <w:rPr>
                <w:rFonts w:hint="eastAsia" w:ascii="宋体" w:hAnsi="宋体" w:eastAsia="宋体" w:cs="宋体"/>
                <w:color w:val="auto"/>
                <w:sz w:val="21"/>
                <w:szCs w:val="21"/>
                <w:highlight w:val="none"/>
              </w:rPr>
              <w:t>管理人员的</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15000元</w:t>
            </w:r>
            <w:r>
              <w:rPr>
                <w:rFonts w:hint="eastAsia" w:ascii="宋体" w:hAnsi="宋体" w:eastAsia="宋体" w:cs="宋体"/>
                <w:color w:val="auto"/>
                <w:sz w:val="21"/>
                <w:szCs w:val="21"/>
                <w:highlight w:val="none"/>
                <w:lang w:val="en-US" w:eastAsia="zh-CN"/>
              </w:rPr>
              <w:t>/人/月进行处罚</w:t>
            </w:r>
            <w:r>
              <w:rPr>
                <w:rFonts w:hint="eastAsia" w:ascii="宋体" w:hAnsi="宋体" w:eastAsia="宋体" w:cs="宋体"/>
                <w:color w:val="auto"/>
                <w:sz w:val="21"/>
                <w:szCs w:val="21"/>
                <w:highlight w:val="none"/>
              </w:rPr>
              <w:t>，未按要求开展培训的</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1万元</w:t>
            </w:r>
            <w:r>
              <w:rPr>
                <w:rFonts w:hint="eastAsia" w:ascii="宋体" w:hAnsi="宋体" w:eastAsia="宋体" w:cs="宋体"/>
                <w:color w:val="auto"/>
                <w:sz w:val="21"/>
                <w:szCs w:val="21"/>
                <w:highlight w:val="none"/>
                <w:lang w:val="en-US" w:eastAsia="zh-CN"/>
              </w:rPr>
              <w:t>/次标准进行处罚</w:t>
            </w:r>
          </w:p>
        </w:tc>
        <w:tc>
          <w:tcPr>
            <w:tcW w:w="252" w:type="pct"/>
            <w:noWrap w:val="0"/>
            <w:vAlign w:val="top"/>
          </w:tcPr>
          <w:p w14:paraId="526C0A55">
            <w:pPr>
              <w:shd w:val="clear"/>
              <w:rPr>
                <w:rFonts w:hint="eastAsia" w:ascii="宋体" w:hAnsi="宋体" w:eastAsia="宋体" w:cs="宋体"/>
                <w:color w:val="auto"/>
                <w:sz w:val="21"/>
                <w:szCs w:val="21"/>
                <w:highlight w:val="none"/>
              </w:rPr>
            </w:pPr>
          </w:p>
        </w:tc>
      </w:tr>
      <w:tr w14:paraId="678BC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1" w:hRule="atLeast"/>
        </w:trPr>
        <w:tc>
          <w:tcPr>
            <w:tcW w:w="304" w:type="pct"/>
            <w:vMerge w:val="continue"/>
            <w:noWrap w:val="0"/>
            <w:vAlign w:val="top"/>
          </w:tcPr>
          <w:p w14:paraId="2C39AB6A">
            <w:pPr>
              <w:shd w:val="clear"/>
              <w:rPr>
                <w:rFonts w:hint="eastAsia" w:ascii="宋体" w:hAnsi="宋体" w:eastAsia="宋体" w:cs="宋体"/>
                <w:color w:val="auto"/>
                <w:sz w:val="21"/>
                <w:szCs w:val="21"/>
                <w:highlight w:val="none"/>
              </w:rPr>
            </w:pPr>
          </w:p>
        </w:tc>
        <w:tc>
          <w:tcPr>
            <w:tcW w:w="444" w:type="pct"/>
            <w:vMerge w:val="continue"/>
            <w:noWrap w:val="0"/>
            <w:vAlign w:val="top"/>
          </w:tcPr>
          <w:p w14:paraId="6DF37281">
            <w:pPr>
              <w:shd w:val="clear"/>
              <w:rPr>
                <w:rFonts w:hint="eastAsia" w:ascii="宋体" w:hAnsi="宋体" w:eastAsia="宋体" w:cs="宋体"/>
                <w:color w:val="auto"/>
                <w:sz w:val="21"/>
                <w:szCs w:val="21"/>
                <w:highlight w:val="none"/>
              </w:rPr>
            </w:pPr>
          </w:p>
        </w:tc>
        <w:tc>
          <w:tcPr>
            <w:tcW w:w="648" w:type="pct"/>
            <w:noWrap w:val="0"/>
            <w:vAlign w:val="center"/>
          </w:tcPr>
          <w:p w14:paraId="7F25036B">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绿</w:t>
            </w:r>
            <w:r>
              <w:rPr>
                <w:rFonts w:hint="eastAsia" w:ascii="宋体" w:hAnsi="宋体" w:eastAsia="宋体" w:cs="宋体"/>
                <w:color w:val="auto"/>
                <w:sz w:val="21"/>
                <w:szCs w:val="21"/>
                <w:highlight w:val="none"/>
                <w:lang w:val="en-US" w:eastAsia="zh-CN"/>
              </w:rPr>
              <w:t>化带</w:t>
            </w:r>
            <w:r>
              <w:rPr>
                <w:rFonts w:hint="eastAsia" w:ascii="宋体" w:hAnsi="宋体" w:eastAsia="宋体" w:cs="宋体"/>
                <w:color w:val="auto"/>
                <w:sz w:val="21"/>
                <w:szCs w:val="21"/>
                <w:highlight w:val="none"/>
              </w:rPr>
              <w:t>清掏</w:t>
            </w:r>
            <w:r>
              <w:rPr>
                <w:rFonts w:hint="eastAsia" w:ascii="宋体" w:hAnsi="宋体" w:eastAsia="宋体" w:cs="宋体"/>
                <w:color w:val="auto"/>
                <w:sz w:val="21"/>
                <w:szCs w:val="21"/>
                <w:highlight w:val="none"/>
                <w:lang w:val="en-US" w:eastAsia="zh-CN"/>
              </w:rPr>
              <w:t>及绿地、园路、广场、游乐场等区域的保洁</w:t>
            </w:r>
          </w:p>
        </w:tc>
        <w:tc>
          <w:tcPr>
            <w:tcW w:w="2158" w:type="pct"/>
            <w:noWrap w:val="0"/>
            <w:vAlign w:val="top"/>
          </w:tcPr>
          <w:p w14:paraId="6AFD5F71">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1、绿化带内有白色垃圾或杂草的，垃圾每处扣1分，绿地杂草按照每平米扣1分；</w:t>
            </w:r>
          </w:p>
          <w:p w14:paraId="75F0CCF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2、绿化带清理、清掏出的垃圾要求人走垃圾清，沿途堆积的，每处扣2分。</w:t>
            </w:r>
          </w:p>
          <w:p w14:paraId="6D7B690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3、建立绿篱清掏常效化管理机制，每年早春与秋冬交替之际，组织两次彻底的清掏工作，确保绿化带土层低于道沿10公分（特殊情况除外），清掏工作不达标的，每㎡扣0.5分。</w:t>
            </w:r>
          </w:p>
          <w:p w14:paraId="36C307F5">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4、园路、广场、绿地等区域及时清扫，垃圾杂物及时捡拾，未开展清扫工作扣5分，未及时捡拾垃圾杂物的发现一处扣0.5分。</w:t>
            </w:r>
          </w:p>
          <w:p w14:paraId="1BC234F8">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5、公园广场内垃圾桶、果皮箱内垃圾及时清掏，无堆积垃圾，无恶臭异味，一处不达标扣1分。</w:t>
            </w:r>
          </w:p>
          <w:p w14:paraId="50B13EB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6、绿地区域内无乱贴乱画，乱打乱盖，擅自占用和堆放杂物现象，一次不达标标扣1分。                        7、绿地内护栏、座椅、垃圾桶等设施定期擦洗，干净整洁，未及时擦洗的每处扣0.5分。</w:t>
            </w:r>
          </w:p>
        </w:tc>
        <w:tc>
          <w:tcPr>
            <w:tcW w:w="1192" w:type="pct"/>
            <w:noWrap w:val="0"/>
            <w:vAlign w:val="top"/>
          </w:tcPr>
          <w:p w14:paraId="551953D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无保洁方案或方案不合格或未按照方案实施的按照1万元处罚，垃圾杂物每次检查5000㎡范围内超过5处的按照100元/处罚款；出现现场垃圾堆积，未及时清理（工完场清）的按照500元/堆进行处罚</w:t>
            </w:r>
          </w:p>
        </w:tc>
        <w:tc>
          <w:tcPr>
            <w:tcW w:w="252" w:type="pct"/>
            <w:noWrap w:val="0"/>
            <w:vAlign w:val="top"/>
          </w:tcPr>
          <w:p w14:paraId="5A3C04F0">
            <w:pPr>
              <w:shd w:val="clear"/>
              <w:rPr>
                <w:rFonts w:hint="eastAsia" w:ascii="宋体" w:hAnsi="宋体" w:eastAsia="宋体" w:cs="宋体"/>
                <w:color w:val="auto"/>
                <w:sz w:val="21"/>
                <w:szCs w:val="21"/>
                <w:highlight w:val="none"/>
              </w:rPr>
            </w:pPr>
          </w:p>
        </w:tc>
      </w:tr>
      <w:tr w14:paraId="5310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7AC01DC4">
            <w:pPr>
              <w:shd w:val="clear"/>
              <w:rPr>
                <w:rFonts w:hint="eastAsia" w:ascii="宋体" w:hAnsi="宋体" w:eastAsia="宋体" w:cs="宋体"/>
                <w:color w:val="auto"/>
                <w:sz w:val="21"/>
                <w:szCs w:val="21"/>
                <w:highlight w:val="none"/>
              </w:rPr>
            </w:pPr>
          </w:p>
        </w:tc>
        <w:tc>
          <w:tcPr>
            <w:tcW w:w="444" w:type="pct"/>
            <w:vMerge w:val="continue"/>
            <w:noWrap w:val="0"/>
            <w:vAlign w:val="top"/>
          </w:tcPr>
          <w:p w14:paraId="3AA64075">
            <w:pPr>
              <w:shd w:val="clear"/>
              <w:rPr>
                <w:rFonts w:hint="eastAsia" w:ascii="宋体" w:hAnsi="宋体" w:eastAsia="宋体" w:cs="宋体"/>
                <w:color w:val="auto"/>
                <w:sz w:val="21"/>
                <w:szCs w:val="21"/>
                <w:highlight w:val="none"/>
              </w:rPr>
            </w:pPr>
          </w:p>
        </w:tc>
        <w:tc>
          <w:tcPr>
            <w:tcW w:w="648" w:type="pct"/>
            <w:noWrap w:val="0"/>
            <w:vAlign w:val="center"/>
          </w:tcPr>
          <w:p w14:paraId="6CC4F4A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绿化带灌溉工作</w:t>
            </w:r>
          </w:p>
        </w:tc>
        <w:tc>
          <w:tcPr>
            <w:tcW w:w="2158" w:type="pct"/>
            <w:noWrap w:val="0"/>
            <w:vAlign w:val="top"/>
          </w:tcPr>
          <w:p w14:paraId="262E6082">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1、无浇灌台账、无浇灌实施方案扣10分；</w:t>
            </w:r>
          </w:p>
          <w:p w14:paraId="34C9A94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2、绿地要求每年在入冬和开春两季分开开展冬灌和返青两次灌溉工作，同时全年浇灌次数不少于12次。在连续半个月无有效降水的情况下，要开展抗旱工作。因苗木浇水次数不达标而造成苗木死亡每处扣5分；</w:t>
            </w:r>
          </w:p>
          <w:p w14:paraId="5BFA996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3、灌溉车辆在交通高峰期作业的，每车次扣2分。</w:t>
            </w:r>
          </w:p>
          <w:p w14:paraId="18AA478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4、道路绿地每半月对绿植进行一次冲洗，未实施每次扣5分。</w:t>
            </w:r>
          </w:p>
        </w:tc>
        <w:tc>
          <w:tcPr>
            <w:tcW w:w="1192" w:type="pct"/>
            <w:noWrap w:val="0"/>
            <w:vAlign w:val="top"/>
          </w:tcPr>
          <w:p w14:paraId="049829AB">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无浇灌方案或方案不合格的按照1万元扣除，未实施或绿地干旱验收不合格的绿地按照0.3元/㎡/次进行扣款</w:t>
            </w:r>
          </w:p>
        </w:tc>
        <w:tc>
          <w:tcPr>
            <w:tcW w:w="252" w:type="pct"/>
            <w:noWrap w:val="0"/>
            <w:vAlign w:val="top"/>
          </w:tcPr>
          <w:p w14:paraId="7742EAD0">
            <w:pPr>
              <w:shd w:val="clear"/>
              <w:rPr>
                <w:rFonts w:hint="eastAsia" w:ascii="宋体" w:hAnsi="宋体" w:eastAsia="宋体" w:cs="宋体"/>
                <w:color w:val="auto"/>
                <w:sz w:val="21"/>
                <w:szCs w:val="21"/>
                <w:highlight w:val="none"/>
              </w:rPr>
            </w:pPr>
          </w:p>
        </w:tc>
      </w:tr>
      <w:tr w14:paraId="0C03C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7DA119A0">
            <w:pPr>
              <w:shd w:val="clear"/>
              <w:rPr>
                <w:rFonts w:hint="eastAsia" w:ascii="宋体" w:hAnsi="宋体" w:eastAsia="宋体" w:cs="宋体"/>
                <w:color w:val="auto"/>
                <w:sz w:val="21"/>
                <w:szCs w:val="21"/>
                <w:highlight w:val="none"/>
              </w:rPr>
            </w:pPr>
          </w:p>
        </w:tc>
        <w:tc>
          <w:tcPr>
            <w:tcW w:w="444" w:type="pct"/>
            <w:vMerge w:val="continue"/>
            <w:noWrap w:val="0"/>
            <w:vAlign w:val="top"/>
          </w:tcPr>
          <w:p w14:paraId="215DAF63">
            <w:pPr>
              <w:shd w:val="clear"/>
              <w:rPr>
                <w:rFonts w:hint="eastAsia" w:ascii="宋体" w:hAnsi="宋体" w:eastAsia="宋体" w:cs="宋体"/>
                <w:color w:val="auto"/>
                <w:sz w:val="21"/>
                <w:szCs w:val="21"/>
                <w:highlight w:val="none"/>
              </w:rPr>
            </w:pPr>
          </w:p>
        </w:tc>
        <w:tc>
          <w:tcPr>
            <w:tcW w:w="648" w:type="pct"/>
            <w:noWrap w:val="0"/>
            <w:vAlign w:val="center"/>
          </w:tcPr>
          <w:p w14:paraId="7A8782A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苗木整形修剪、绿地乔木及行道树管理</w:t>
            </w:r>
          </w:p>
        </w:tc>
        <w:tc>
          <w:tcPr>
            <w:tcW w:w="2158" w:type="pct"/>
            <w:noWrap w:val="0"/>
            <w:vAlign w:val="top"/>
          </w:tcPr>
          <w:p w14:paraId="7A57AF0B">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1、无修剪实施方案、无修剪台账扣10分；</w:t>
            </w:r>
          </w:p>
          <w:p w14:paraId="5405E497">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草坪、绿篱春冬季每月修剪一次，夏秋季每半月修剪一次，草坪高度冷季型不得超过8㎝（暖季型不得超过5㎝），绿篱不得高前期修剪高度5㎝；落叶乔木每两个月修剪一次；常绿乔木每半年修剪一次；花灌木春冬季每季度修剪一次、夏秋季每季度修剪二次；未按以上规定作业的，每平米（每株）扣1分；</w:t>
            </w:r>
          </w:p>
          <w:p w14:paraId="7FD16BF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3、乔木枝叶疯长、灌木杂生乱长、造型无形，导致视线不通透、植物外形不美甚至制约苗木正常生长的每处扣2分。遮挡交通信号灯与交通标识牌的苗木未及时修剪的，每处扣2分；</w:t>
            </w:r>
          </w:p>
          <w:p w14:paraId="7661FD9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4、行道树乱贴乱挂，新栽行道树上草绳、保护被、塑料膜去除不及时，每处扣1分；</w:t>
            </w:r>
          </w:p>
          <w:p w14:paraId="4774473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5、支撑设施杂乱无章，不够规范统一的每处扣1分；</w:t>
            </w:r>
          </w:p>
        </w:tc>
        <w:tc>
          <w:tcPr>
            <w:tcW w:w="1192" w:type="pct"/>
            <w:noWrap w:val="0"/>
            <w:vAlign w:val="top"/>
          </w:tcPr>
          <w:p w14:paraId="39A19867">
            <w:pPr>
              <w:shd w:val="clear"/>
              <w:rPr>
                <w:rFonts w:hint="eastAsia" w:ascii="宋体" w:hAnsi="宋体" w:eastAsia="宋体" w:cs="宋体"/>
                <w:color w:val="auto"/>
                <w:sz w:val="21"/>
                <w:szCs w:val="21"/>
                <w:highlight w:val="none"/>
              </w:rPr>
            </w:pPr>
          </w:p>
          <w:p w14:paraId="621BAABE">
            <w:pPr>
              <w:shd w:val="clear"/>
              <w:rPr>
                <w:rFonts w:hint="eastAsia" w:ascii="宋体" w:hAnsi="宋体" w:eastAsia="宋体" w:cs="宋体"/>
                <w:color w:val="auto"/>
                <w:sz w:val="21"/>
                <w:szCs w:val="21"/>
                <w:highlight w:val="none"/>
              </w:rPr>
            </w:pPr>
          </w:p>
          <w:p w14:paraId="76ABE4C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无修剪方案或方案不合格的按照1万元处罚，草坪、绿篱修剪不及时或不合格，每平米扣除</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元/㎡；乔木、灌木修剪不及时或不合格，按照</w:t>
            </w:r>
            <w:r>
              <w:rPr>
                <w:rFonts w:hint="eastAsia" w:ascii="宋体" w:hAnsi="宋体" w:eastAsia="宋体" w:cs="宋体"/>
                <w:color w:val="auto"/>
                <w:sz w:val="21"/>
                <w:szCs w:val="21"/>
                <w:highlight w:val="none"/>
                <w:lang w:val="en-US" w:eastAsia="zh-CN"/>
              </w:rPr>
              <w:t>200</w:t>
            </w:r>
            <w:r>
              <w:rPr>
                <w:rFonts w:hint="eastAsia" w:ascii="宋体" w:hAnsi="宋体" w:eastAsia="宋体" w:cs="宋体"/>
                <w:color w:val="auto"/>
                <w:sz w:val="21"/>
                <w:szCs w:val="21"/>
                <w:highlight w:val="none"/>
              </w:rPr>
              <w:t>元/株进行处罚。</w:t>
            </w:r>
          </w:p>
        </w:tc>
        <w:tc>
          <w:tcPr>
            <w:tcW w:w="252" w:type="pct"/>
            <w:noWrap w:val="0"/>
            <w:vAlign w:val="top"/>
          </w:tcPr>
          <w:p w14:paraId="5C5B281E">
            <w:pPr>
              <w:shd w:val="clear"/>
              <w:rPr>
                <w:rFonts w:hint="eastAsia" w:ascii="宋体" w:hAnsi="宋体" w:eastAsia="宋体" w:cs="宋体"/>
                <w:color w:val="auto"/>
                <w:sz w:val="21"/>
                <w:szCs w:val="21"/>
                <w:highlight w:val="none"/>
              </w:rPr>
            </w:pPr>
          </w:p>
        </w:tc>
      </w:tr>
      <w:tr w14:paraId="01C8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39E149A">
            <w:pPr>
              <w:shd w:val="clear"/>
              <w:rPr>
                <w:rFonts w:hint="eastAsia" w:ascii="宋体" w:hAnsi="宋体" w:eastAsia="宋体" w:cs="宋体"/>
                <w:color w:val="auto"/>
                <w:sz w:val="21"/>
                <w:szCs w:val="21"/>
                <w:highlight w:val="none"/>
              </w:rPr>
            </w:pPr>
          </w:p>
        </w:tc>
        <w:tc>
          <w:tcPr>
            <w:tcW w:w="444" w:type="pct"/>
            <w:vMerge w:val="continue"/>
            <w:noWrap w:val="0"/>
            <w:vAlign w:val="top"/>
          </w:tcPr>
          <w:p w14:paraId="5E9FC2CD">
            <w:pPr>
              <w:shd w:val="clear"/>
              <w:rPr>
                <w:rFonts w:hint="eastAsia" w:ascii="宋体" w:hAnsi="宋体" w:eastAsia="宋体" w:cs="宋体"/>
                <w:color w:val="auto"/>
                <w:sz w:val="21"/>
                <w:szCs w:val="21"/>
                <w:highlight w:val="none"/>
              </w:rPr>
            </w:pPr>
          </w:p>
        </w:tc>
        <w:tc>
          <w:tcPr>
            <w:tcW w:w="648" w:type="pct"/>
            <w:noWrap w:val="0"/>
            <w:vAlign w:val="center"/>
          </w:tcPr>
          <w:p w14:paraId="69F98CA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树木扶正</w:t>
            </w:r>
          </w:p>
        </w:tc>
        <w:tc>
          <w:tcPr>
            <w:tcW w:w="2158" w:type="pct"/>
            <w:noWrap w:val="0"/>
            <w:vAlign w:val="top"/>
          </w:tcPr>
          <w:p w14:paraId="5908AE4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树木歪斜未及时扶正的扣2分</w:t>
            </w:r>
          </w:p>
        </w:tc>
        <w:tc>
          <w:tcPr>
            <w:tcW w:w="1192" w:type="pct"/>
            <w:noWrap w:val="0"/>
            <w:vAlign w:val="top"/>
          </w:tcPr>
          <w:p w14:paraId="58D9319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无方案或方案不合格的按照1万元/次扣除，苗木不正未在上一个绿化季扶正的</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00元/株进行扣除；遇极端天气或应急需要未按时限扶正的3000元/次扣除</w:t>
            </w:r>
          </w:p>
        </w:tc>
        <w:tc>
          <w:tcPr>
            <w:tcW w:w="252" w:type="pct"/>
            <w:noWrap w:val="0"/>
            <w:vAlign w:val="top"/>
          </w:tcPr>
          <w:p w14:paraId="3090AE40">
            <w:pPr>
              <w:shd w:val="clear"/>
              <w:rPr>
                <w:rFonts w:hint="eastAsia" w:ascii="宋体" w:hAnsi="宋体" w:eastAsia="宋体" w:cs="宋体"/>
                <w:color w:val="auto"/>
                <w:sz w:val="21"/>
                <w:szCs w:val="21"/>
                <w:highlight w:val="none"/>
              </w:rPr>
            </w:pPr>
          </w:p>
        </w:tc>
      </w:tr>
      <w:tr w14:paraId="57B4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328D2F6D">
            <w:pPr>
              <w:shd w:val="clear"/>
              <w:rPr>
                <w:rFonts w:hint="eastAsia" w:ascii="宋体" w:hAnsi="宋体" w:eastAsia="宋体" w:cs="宋体"/>
                <w:color w:val="auto"/>
                <w:sz w:val="21"/>
                <w:szCs w:val="21"/>
                <w:highlight w:val="none"/>
              </w:rPr>
            </w:pPr>
          </w:p>
        </w:tc>
        <w:tc>
          <w:tcPr>
            <w:tcW w:w="444" w:type="pct"/>
            <w:vMerge w:val="continue"/>
            <w:noWrap w:val="0"/>
            <w:vAlign w:val="top"/>
          </w:tcPr>
          <w:p w14:paraId="2A98B740">
            <w:pPr>
              <w:shd w:val="clear"/>
              <w:rPr>
                <w:rFonts w:hint="eastAsia" w:ascii="宋体" w:hAnsi="宋体" w:eastAsia="宋体" w:cs="宋体"/>
                <w:color w:val="auto"/>
                <w:sz w:val="21"/>
                <w:szCs w:val="21"/>
                <w:highlight w:val="none"/>
              </w:rPr>
            </w:pPr>
          </w:p>
        </w:tc>
        <w:tc>
          <w:tcPr>
            <w:tcW w:w="648" w:type="pct"/>
            <w:noWrap w:val="0"/>
            <w:vAlign w:val="center"/>
          </w:tcPr>
          <w:p w14:paraId="43FB6B2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苗木补栽</w:t>
            </w:r>
          </w:p>
        </w:tc>
        <w:tc>
          <w:tcPr>
            <w:tcW w:w="2158" w:type="pct"/>
            <w:noWrap w:val="0"/>
            <w:vAlign w:val="top"/>
          </w:tcPr>
          <w:p w14:paraId="00B5798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1、每年的春、秋两季组织两次苗木补栽工作，确保行道树无缺株，绿篱无断垄及斑秃现象。行道树和绿篱有缺株或断垄的，每处扣1分。</w:t>
            </w:r>
          </w:p>
          <w:p w14:paraId="5A0C5A1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2、草坪管理维护不精细，造成斑秃的每㎡扣2分。</w:t>
            </w:r>
          </w:p>
          <w:p w14:paraId="78A2D82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3、无修剪台账、无修剪实施方案扣10分；</w:t>
            </w:r>
          </w:p>
        </w:tc>
        <w:tc>
          <w:tcPr>
            <w:tcW w:w="1192" w:type="pct"/>
            <w:noWrap w:val="0"/>
            <w:vAlign w:val="top"/>
          </w:tcPr>
          <w:p w14:paraId="622387B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无方案的或方案不合格的按照1万元/次扣除，乔木、灌木按照3000元/株进行扣款，绿篱按照3000元/㎡进行扣款，地被、草坪按照500元/㎡进行扣款</w:t>
            </w:r>
          </w:p>
        </w:tc>
        <w:tc>
          <w:tcPr>
            <w:tcW w:w="252" w:type="pct"/>
            <w:noWrap w:val="0"/>
            <w:vAlign w:val="top"/>
          </w:tcPr>
          <w:p w14:paraId="011EA4B2">
            <w:pPr>
              <w:shd w:val="clear"/>
              <w:rPr>
                <w:rFonts w:hint="eastAsia" w:ascii="宋体" w:hAnsi="宋体" w:eastAsia="宋体" w:cs="宋体"/>
                <w:color w:val="auto"/>
                <w:sz w:val="21"/>
                <w:szCs w:val="21"/>
                <w:highlight w:val="none"/>
              </w:rPr>
            </w:pPr>
          </w:p>
        </w:tc>
      </w:tr>
      <w:tr w14:paraId="1267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2E6E0A1A">
            <w:pPr>
              <w:shd w:val="clear"/>
              <w:rPr>
                <w:rFonts w:hint="eastAsia" w:ascii="宋体" w:hAnsi="宋体" w:eastAsia="宋体" w:cs="宋体"/>
                <w:color w:val="auto"/>
                <w:sz w:val="21"/>
                <w:szCs w:val="21"/>
                <w:highlight w:val="none"/>
              </w:rPr>
            </w:pPr>
          </w:p>
        </w:tc>
        <w:tc>
          <w:tcPr>
            <w:tcW w:w="444" w:type="pct"/>
            <w:vMerge w:val="continue"/>
            <w:noWrap w:val="0"/>
            <w:vAlign w:val="top"/>
          </w:tcPr>
          <w:p w14:paraId="54ADA48B">
            <w:pPr>
              <w:shd w:val="clear"/>
              <w:rPr>
                <w:rFonts w:hint="eastAsia" w:ascii="宋体" w:hAnsi="宋体" w:eastAsia="宋体" w:cs="宋体"/>
                <w:color w:val="auto"/>
                <w:sz w:val="21"/>
                <w:szCs w:val="21"/>
                <w:highlight w:val="none"/>
              </w:rPr>
            </w:pPr>
          </w:p>
        </w:tc>
        <w:tc>
          <w:tcPr>
            <w:tcW w:w="648" w:type="pct"/>
            <w:noWrap w:val="0"/>
            <w:vAlign w:val="center"/>
          </w:tcPr>
          <w:p w14:paraId="7C3991D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施肥</w:t>
            </w:r>
          </w:p>
        </w:tc>
        <w:tc>
          <w:tcPr>
            <w:tcW w:w="2158" w:type="pct"/>
            <w:noWrap w:val="0"/>
            <w:vAlign w:val="top"/>
          </w:tcPr>
          <w:p w14:paraId="45EB375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无施肥方案、无完整台账扣5分；未按照方案实施扣5分；未及时组织人员施肥每次扣3分；无台账扣3分；</w:t>
            </w:r>
          </w:p>
        </w:tc>
        <w:tc>
          <w:tcPr>
            <w:tcW w:w="1192" w:type="pct"/>
            <w:noWrap w:val="0"/>
            <w:vAlign w:val="top"/>
          </w:tcPr>
          <w:p w14:paraId="3A13153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无方案或方案不合格的按照1万元扣除，未实施或验收不合格的乔木、灌木等按照</w:t>
            </w: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元/株进行扣款</w:t>
            </w:r>
          </w:p>
        </w:tc>
        <w:tc>
          <w:tcPr>
            <w:tcW w:w="252" w:type="pct"/>
            <w:noWrap w:val="0"/>
            <w:vAlign w:val="top"/>
          </w:tcPr>
          <w:p w14:paraId="27C6DDE5">
            <w:pPr>
              <w:shd w:val="clear"/>
              <w:rPr>
                <w:rFonts w:hint="eastAsia" w:ascii="宋体" w:hAnsi="宋体" w:eastAsia="宋体" w:cs="宋体"/>
                <w:color w:val="auto"/>
                <w:sz w:val="21"/>
                <w:szCs w:val="21"/>
                <w:highlight w:val="none"/>
              </w:rPr>
            </w:pPr>
          </w:p>
        </w:tc>
      </w:tr>
      <w:tr w14:paraId="7791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60488CA0">
            <w:pPr>
              <w:shd w:val="clear"/>
              <w:rPr>
                <w:rFonts w:hint="eastAsia" w:ascii="宋体" w:hAnsi="宋体" w:eastAsia="宋体" w:cs="宋体"/>
                <w:color w:val="auto"/>
                <w:sz w:val="21"/>
                <w:szCs w:val="21"/>
                <w:highlight w:val="none"/>
              </w:rPr>
            </w:pPr>
          </w:p>
        </w:tc>
        <w:tc>
          <w:tcPr>
            <w:tcW w:w="444" w:type="pct"/>
            <w:vMerge w:val="continue"/>
            <w:noWrap w:val="0"/>
            <w:vAlign w:val="top"/>
          </w:tcPr>
          <w:p w14:paraId="6800C9A8">
            <w:pPr>
              <w:shd w:val="clear"/>
              <w:rPr>
                <w:rFonts w:hint="eastAsia" w:ascii="宋体" w:hAnsi="宋体" w:eastAsia="宋体" w:cs="宋体"/>
                <w:color w:val="auto"/>
                <w:sz w:val="21"/>
                <w:szCs w:val="21"/>
                <w:highlight w:val="none"/>
              </w:rPr>
            </w:pPr>
          </w:p>
        </w:tc>
        <w:tc>
          <w:tcPr>
            <w:tcW w:w="648" w:type="pct"/>
            <w:noWrap w:val="0"/>
            <w:vAlign w:val="center"/>
          </w:tcPr>
          <w:p w14:paraId="24CE38B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病虫害防治</w:t>
            </w:r>
          </w:p>
        </w:tc>
        <w:tc>
          <w:tcPr>
            <w:tcW w:w="2158" w:type="pct"/>
            <w:noWrap w:val="0"/>
            <w:vAlign w:val="top"/>
          </w:tcPr>
          <w:p w14:paraId="1B3F86D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1、根据园林植物病虫害预测、预报信息，做好预案，以防为主、防治结合，做好病虫害的防治工作。没有病虫害防治预案的扣5分，未按照方案实施扣5分；无台账扣3分；</w:t>
            </w:r>
          </w:p>
          <w:p w14:paraId="1994933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2、出现病虫害未及时处理的扣10分。</w:t>
            </w:r>
          </w:p>
        </w:tc>
        <w:tc>
          <w:tcPr>
            <w:tcW w:w="1192" w:type="pct"/>
            <w:noWrap w:val="0"/>
            <w:vAlign w:val="top"/>
          </w:tcPr>
          <w:p w14:paraId="2AEB43EB">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无方案的或方案不合格的按照1万元扣除，防治不到位或未实施的，乔木、灌木按照3元/株进行扣款，绿篱、地被、草坪按照0.3元/㎡进行扣款</w:t>
            </w:r>
          </w:p>
        </w:tc>
        <w:tc>
          <w:tcPr>
            <w:tcW w:w="252" w:type="pct"/>
            <w:noWrap w:val="0"/>
            <w:vAlign w:val="top"/>
          </w:tcPr>
          <w:p w14:paraId="6508C7E0">
            <w:pPr>
              <w:shd w:val="clear"/>
              <w:rPr>
                <w:rFonts w:hint="eastAsia" w:ascii="宋体" w:hAnsi="宋体" w:eastAsia="宋体" w:cs="宋体"/>
                <w:color w:val="auto"/>
                <w:sz w:val="21"/>
                <w:szCs w:val="21"/>
                <w:highlight w:val="none"/>
              </w:rPr>
            </w:pPr>
          </w:p>
        </w:tc>
      </w:tr>
      <w:tr w14:paraId="0EA6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40ED13AC">
            <w:pPr>
              <w:shd w:val="clear"/>
              <w:rPr>
                <w:rFonts w:hint="eastAsia" w:ascii="宋体" w:hAnsi="宋体" w:eastAsia="宋体" w:cs="宋体"/>
                <w:color w:val="auto"/>
                <w:sz w:val="21"/>
                <w:szCs w:val="21"/>
                <w:highlight w:val="none"/>
              </w:rPr>
            </w:pPr>
          </w:p>
        </w:tc>
        <w:tc>
          <w:tcPr>
            <w:tcW w:w="444" w:type="pct"/>
            <w:vMerge w:val="continue"/>
            <w:noWrap w:val="0"/>
            <w:vAlign w:val="top"/>
          </w:tcPr>
          <w:p w14:paraId="5BC1CFB1">
            <w:pPr>
              <w:shd w:val="clear"/>
              <w:rPr>
                <w:rFonts w:hint="eastAsia" w:ascii="宋体" w:hAnsi="宋体" w:eastAsia="宋体" w:cs="宋体"/>
                <w:color w:val="auto"/>
                <w:sz w:val="21"/>
                <w:szCs w:val="21"/>
                <w:highlight w:val="none"/>
              </w:rPr>
            </w:pPr>
          </w:p>
        </w:tc>
        <w:tc>
          <w:tcPr>
            <w:tcW w:w="648" w:type="pct"/>
            <w:noWrap w:val="0"/>
            <w:vAlign w:val="center"/>
          </w:tcPr>
          <w:p w14:paraId="2B839529">
            <w:pPr>
              <w:shd w:val="clear"/>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rPr>
              <w:t>除杂、松土</w:t>
            </w:r>
          </w:p>
        </w:tc>
        <w:tc>
          <w:tcPr>
            <w:tcW w:w="2158" w:type="pct"/>
            <w:noWrap w:val="0"/>
            <w:vAlign w:val="top"/>
          </w:tcPr>
          <w:p w14:paraId="57BE6D72">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未及时编制除杂、松土方案，扣5分，现场土地板结未松土的按照2分/处标准进行扣分。</w:t>
            </w:r>
          </w:p>
        </w:tc>
        <w:tc>
          <w:tcPr>
            <w:tcW w:w="1192" w:type="pct"/>
            <w:noWrap w:val="0"/>
            <w:vAlign w:val="top"/>
          </w:tcPr>
          <w:p w14:paraId="1C5B256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无方案或方案不合格的按照1万元扣除，未实施或验收不合格的按照0.3元/㎡/次进行扣款</w:t>
            </w:r>
          </w:p>
        </w:tc>
        <w:tc>
          <w:tcPr>
            <w:tcW w:w="252" w:type="pct"/>
            <w:noWrap w:val="0"/>
            <w:vAlign w:val="top"/>
          </w:tcPr>
          <w:p w14:paraId="1B996920">
            <w:pPr>
              <w:shd w:val="clear"/>
              <w:rPr>
                <w:rFonts w:hint="eastAsia" w:ascii="宋体" w:hAnsi="宋体" w:eastAsia="宋体" w:cs="宋体"/>
                <w:color w:val="auto"/>
                <w:sz w:val="21"/>
                <w:szCs w:val="21"/>
                <w:highlight w:val="none"/>
              </w:rPr>
            </w:pPr>
          </w:p>
        </w:tc>
      </w:tr>
      <w:tr w14:paraId="484A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3D7AB4DB">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44" w:type="pct"/>
            <w:vMerge w:val="restart"/>
            <w:noWrap w:val="0"/>
            <w:vAlign w:val="center"/>
          </w:tcPr>
          <w:p w14:paraId="26864DA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设施维护管理（20分）</w:t>
            </w:r>
          </w:p>
        </w:tc>
        <w:tc>
          <w:tcPr>
            <w:tcW w:w="648" w:type="pct"/>
            <w:noWrap w:val="0"/>
            <w:vAlign w:val="center"/>
          </w:tcPr>
          <w:p w14:paraId="6241534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城市景观喷泉和绿化景观亮化设施管理工作</w:t>
            </w:r>
          </w:p>
        </w:tc>
        <w:tc>
          <w:tcPr>
            <w:tcW w:w="2158" w:type="pct"/>
            <w:noWrap w:val="0"/>
            <w:vAlign w:val="top"/>
          </w:tcPr>
          <w:p w14:paraId="5D68C7F5">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果皮箱、护栏、道牙、井盖、花基、园路及广场地面等设施维护良好，破损处及时维修或更换，发现问题未及时处理的一处扣1分。</w:t>
            </w:r>
          </w:p>
          <w:p w14:paraId="719FF81E">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2、各类标识牌、护栏、树池花池、亭廊、花架、景石、桌椅、灯饰、园林小品等设施按规定设置和使用，保持完好、整洁，损毁、缺失处及时维修或更换，发现问题未及时处理的一处扣1分。</w:t>
            </w:r>
          </w:p>
          <w:p w14:paraId="7D37ABBA">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3、公园内儿童游乐设施、健身器材定期巡检，发现问题及时上报、处理，对不能及时处理的进行封闭、警示，未及时上报、处理、警示的发现一处扣2分。</w:t>
            </w:r>
          </w:p>
          <w:p w14:paraId="584FDFDD">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4、绿化养护设施(喷灌设施等)完好，定期检查和维修保养，同时建立.台账，记录不完善的发现一次扣1分。</w:t>
            </w:r>
          </w:p>
        </w:tc>
        <w:tc>
          <w:tcPr>
            <w:tcW w:w="1192" w:type="pct"/>
            <w:vMerge w:val="restart"/>
            <w:noWrap w:val="0"/>
            <w:vAlign w:val="top"/>
          </w:tcPr>
          <w:p w14:paraId="43738C05">
            <w:pPr>
              <w:shd w:val="clear"/>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定期开展设施排查维修工作，未进行排查的问题每处扣500元，未按要求维护的每处扣除1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00元；</w:t>
            </w:r>
            <w:r>
              <w:rPr>
                <w:rFonts w:hint="eastAsia" w:ascii="宋体" w:hAnsi="宋体" w:eastAsia="宋体" w:cs="宋体"/>
                <w:color w:val="auto"/>
                <w:sz w:val="21"/>
                <w:szCs w:val="21"/>
                <w:highlight w:val="none"/>
                <w:lang w:val="en-US" w:eastAsia="zh-CN"/>
              </w:rPr>
              <w:t>因未及时维修造成安全事故的承担相应责任。</w:t>
            </w:r>
          </w:p>
        </w:tc>
        <w:tc>
          <w:tcPr>
            <w:tcW w:w="252" w:type="pct"/>
            <w:noWrap w:val="0"/>
            <w:vAlign w:val="top"/>
          </w:tcPr>
          <w:p w14:paraId="5F93161F">
            <w:pPr>
              <w:shd w:val="clear"/>
              <w:rPr>
                <w:rFonts w:hint="eastAsia" w:ascii="宋体" w:hAnsi="宋体" w:eastAsia="宋体" w:cs="宋体"/>
                <w:color w:val="auto"/>
                <w:sz w:val="21"/>
                <w:szCs w:val="21"/>
                <w:highlight w:val="none"/>
              </w:rPr>
            </w:pPr>
          </w:p>
        </w:tc>
      </w:tr>
      <w:tr w14:paraId="4671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01A444FB">
            <w:pPr>
              <w:shd w:val="clear"/>
              <w:rPr>
                <w:rFonts w:hint="eastAsia" w:ascii="宋体" w:hAnsi="宋体" w:eastAsia="宋体" w:cs="宋体"/>
                <w:color w:val="auto"/>
                <w:sz w:val="21"/>
                <w:szCs w:val="21"/>
                <w:highlight w:val="none"/>
              </w:rPr>
            </w:pPr>
          </w:p>
        </w:tc>
        <w:tc>
          <w:tcPr>
            <w:tcW w:w="444" w:type="pct"/>
            <w:vMerge w:val="continue"/>
            <w:noWrap w:val="0"/>
            <w:vAlign w:val="top"/>
          </w:tcPr>
          <w:p w14:paraId="685E9F25">
            <w:pPr>
              <w:shd w:val="clear"/>
              <w:rPr>
                <w:rFonts w:hint="eastAsia" w:ascii="宋体" w:hAnsi="宋体" w:eastAsia="宋体" w:cs="宋体"/>
                <w:color w:val="auto"/>
                <w:sz w:val="21"/>
                <w:szCs w:val="21"/>
                <w:highlight w:val="none"/>
              </w:rPr>
            </w:pPr>
          </w:p>
        </w:tc>
        <w:tc>
          <w:tcPr>
            <w:tcW w:w="648" w:type="pct"/>
            <w:noWrap w:val="0"/>
            <w:vAlign w:val="center"/>
          </w:tcPr>
          <w:p w14:paraId="770C8FA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绿化护栏维修及绿地冲洗</w:t>
            </w:r>
          </w:p>
        </w:tc>
        <w:tc>
          <w:tcPr>
            <w:tcW w:w="2158" w:type="pct"/>
            <w:noWrap w:val="0"/>
            <w:vAlign w:val="top"/>
          </w:tcPr>
          <w:p w14:paraId="531F6CB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1、绿化带护栏每周擦洗一次，每半月维护整修一次，遇重大节日和重大活动时，重点进行擦洗整修，保持护栏整洁美观。未按规定擦洗，每米扣1分（不足1米按1米计算）；破损未及时维修每处扣2分。</w:t>
            </w:r>
          </w:p>
          <w:p w14:paraId="7BD32BE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2、每次降雨后，绿化带护栏必须在一天内清洗完毕。未在规定时间完成任务的，每条道路扣5分；</w:t>
            </w:r>
          </w:p>
          <w:p w14:paraId="3ED636E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3、持续半个月无有效降水，要及时进行绿化带大冲洗，冲洗时间为晚22:00至次日7:00。每轮冲洗，必须在三天内完成所有管理道路的绿化带冲洗任务。未能按要求完成大冲洗的，每条路段扣3分。</w:t>
            </w:r>
          </w:p>
        </w:tc>
        <w:tc>
          <w:tcPr>
            <w:tcW w:w="1192" w:type="pct"/>
            <w:vMerge w:val="continue"/>
            <w:noWrap w:val="0"/>
            <w:vAlign w:val="top"/>
          </w:tcPr>
          <w:p w14:paraId="2DCD86A0">
            <w:pPr>
              <w:shd w:val="clear"/>
              <w:jc w:val="left"/>
              <w:rPr>
                <w:rFonts w:hint="eastAsia" w:ascii="宋体" w:hAnsi="宋体" w:eastAsia="宋体" w:cs="宋体"/>
                <w:color w:val="auto"/>
                <w:sz w:val="21"/>
                <w:szCs w:val="21"/>
                <w:highlight w:val="none"/>
              </w:rPr>
            </w:pPr>
          </w:p>
        </w:tc>
        <w:tc>
          <w:tcPr>
            <w:tcW w:w="252" w:type="pct"/>
            <w:noWrap w:val="0"/>
            <w:vAlign w:val="top"/>
          </w:tcPr>
          <w:p w14:paraId="14A83E3B">
            <w:pPr>
              <w:shd w:val="clear"/>
              <w:rPr>
                <w:rFonts w:hint="eastAsia" w:ascii="宋体" w:hAnsi="宋体" w:eastAsia="宋体" w:cs="宋体"/>
                <w:color w:val="auto"/>
                <w:sz w:val="21"/>
                <w:szCs w:val="21"/>
                <w:highlight w:val="none"/>
              </w:rPr>
            </w:pPr>
          </w:p>
        </w:tc>
      </w:tr>
      <w:tr w14:paraId="56FE0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27C3CDF6">
            <w:pPr>
              <w:shd w:val="clear"/>
              <w:rPr>
                <w:rFonts w:hint="eastAsia" w:ascii="宋体" w:hAnsi="宋体" w:eastAsia="宋体" w:cs="宋体"/>
                <w:color w:val="auto"/>
                <w:sz w:val="21"/>
                <w:szCs w:val="21"/>
                <w:highlight w:val="none"/>
              </w:rPr>
            </w:pPr>
          </w:p>
        </w:tc>
        <w:tc>
          <w:tcPr>
            <w:tcW w:w="444" w:type="pct"/>
            <w:vMerge w:val="continue"/>
            <w:noWrap w:val="0"/>
            <w:vAlign w:val="top"/>
          </w:tcPr>
          <w:p w14:paraId="7466CE26">
            <w:pPr>
              <w:shd w:val="clear"/>
              <w:rPr>
                <w:rFonts w:hint="eastAsia" w:ascii="宋体" w:hAnsi="宋体" w:eastAsia="宋体" w:cs="宋体"/>
                <w:color w:val="auto"/>
                <w:sz w:val="21"/>
                <w:szCs w:val="21"/>
                <w:highlight w:val="none"/>
              </w:rPr>
            </w:pPr>
          </w:p>
        </w:tc>
        <w:tc>
          <w:tcPr>
            <w:tcW w:w="648" w:type="pct"/>
            <w:noWrap w:val="0"/>
            <w:vAlign w:val="center"/>
          </w:tcPr>
          <w:p w14:paraId="13E563F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绿地巡查</w:t>
            </w:r>
          </w:p>
        </w:tc>
        <w:tc>
          <w:tcPr>
            <w:tcW w:w="2158" w:type="pct"/>
            <w:noWrap w:val="0"/>
            <w:vAlign w:val="top"/>
          </w:tcPr>
          <w:p w14:paraId="3481B3F3">
            <w:pPr>
              <w:numPr>
                <w:ilvl w:val="0"/>
                <w:numId w:val="2"/>
              </w:num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绿化单位加强巡查，做好日常巡查记录，发现问题及时处理。发现违规占用绿地或非法破坏绿地的情况要及时阻止并上报，随后将情况书面报送生态环境局，进行处理，未建立巡查记录的扣10分，未及时发现违规占用或非法破坏绿地的扣10分。</w:t>
            </w:r>
          </w:p>
          <w:p w14:paraId="30C08E22">
            <w:pPr>
              <w:numPr>
                <w:ilvl w:val="0"/>
                <w:numId w:val="2"/>
              </w:num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每12-15万㎡配备一名秩序维护人员，秩序维护人员应统一着装，仪容整洁，文明用语。及时制止和劝离违规垂钓、野泳、露天烧烤、乱倒垃圾、摆摊叫卖、流动商贩等行为，及时制止围垦河道（绿地）种菜等行为，及时劝导在河边游玩的市民，防范溺水，制止机动车辆进入绿道。未配备的没缺1人扣除5分。</w:t>
            </w:r>
          </w:p>
        </w:tc>
        <w:tc>
          <w:tcPr>
            <w:tcW w:w="1192" w:type="pct"/>
            <w:noWrap w:val="0"/>
            <w:vAlign w:val="top"/>
          </w:tcPr>
          <w:p w14:paraId="7C584AE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未建立巡查记录的每月扣除3000元，违规占用、破坏绿地未及时发现的每处扣款</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000元。</w:t>
            </w:r>
          </w:p>
        </w:tc>
        <w:tc>
          <w:tcPr>
            <w:tcW w:w="252" w:type="pct"/>
            <w:noWrap w:val="0"/>
            <w:vAlign w:val="top"/>
          </w:tcPr>
          <w:p w14:paraId="2DDE7D79">
            <w:pPr>
              <w:shd w:val="clear"/>
              <w:rPr>
                <w:rFonts w:hint="eastAsia" w:ascii="宋体" w:hAnsi="宋体" w:eastAsia="宋体" w:cs="宋体"/>
                <w:color w:val="auto"/>
                <w:sz w:val="21"/>
                <w:szCs w:val="21"/>
                <w:highlight w:val="none"/>
              </w:rPr>
            </w:pPr>
          </w:p>
        </w:tc>
      </w:tr>
      <w:tr w14:paraId="5373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72DC892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44" w:type="pct"/>
            <w:vMerge w:val="restart"/>
            <w:noWrap w:val="0"/>
            <w:vAlign w:val="center"/>
          </w:tcPr>
          <w:p w14:paraId="39EFE777">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其他（30分）</w:t>
            </w:r>
          </w:p>
        </w:tc>
        <w:tc>
          <w:tcPr>
            <w:tcW w:w="648" w:type="pct"/>
            <w:noWrap w:val="0"/>
            <w:vAlign w:val="center"/>
          </w:tcPr>
          <w:p w14:paraId="5604110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安全管理</w:t>
            </w:r>
          </w:p>
        </w:tc>
        <w:tc>
          <w:tcPr>
            <w:tcW w:w="2158" w:type="pct"/>
            <w:noWrap w:val="0"/>
            <w:vAlign w:val="top"/>
          </w:tcPr>
          <w:p w14:paraId="1B05E8B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1、养护工人及驾驶员上岗作业时，身体状况良好，无带病或疲劳作业；未达到发现一次扣2分；</w:t>
            </w:r>
          </w:p>
          <w:p w14:paraId="295C109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2、车体整洁完好，保养维护及时，驾驶员遵守交通规则，安全行驶作业，未达到发现一次扣2分；</w:t>
            </w:r>
          </w:p>
          <w:p w14:paraId="0F237BD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3、车辆临时停放整齐，无开车快猛急现象，未达到发现一次扣1分；</w:t>
            </w:r>
          </w:p>
          <w:p w14:paraId="6D1BD06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4、绿化车辆排气排污不达标的每辆扣5分；</w:t>
            </w:r>
          </w:p>
          <w:p w14:paraId="48DB04F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管理用房</w:t>
            </w:r>
            <w:r>
              <w:rPr>
                <w:rFonts w:hint="eastAsia" w:ascii="宋体" w:hAnsi="宋体" w:eastAsia="宋体" w:cs="宋体"/>
                <w:color w:val="auto"/>
                <w:sz w:val="21"/>
                <w:szCs w:val="21"/>
                <w:highlight w:val="none"/>
              </w:rPr>
              <w:t>内消防器材到位，线路设置整齐规范，无易燃易爆等危险品存放。未达到每处扣2分；</w:t>
            </w:r>
          </w:p>
          <w:p w14:paraId="7C49277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6、道路及附属绿地养护作业时未按规范要求隔离安全作业区扣2分；</w:t>
            </w:r>
          </w:p>
          <w:p w14:paraId="66791AD2">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7、绿地内临时用电不规范，存在安全隐患的每处扣2分；</w:t>
            </w:r>
          </w:p>
          <w:p w14:paraId="494F496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8、绿地有害生物预防所用农药未按规范管理和使用的扣10分；</w:t>
            </w:r>
          </w:p>
          <w:p w14:paraId="3C9F465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9、未制定安全生产应急预案扣10分；</w:t>
            </w:r>
          </w:p>
          <w:p w14:paraId="32A3C7D2">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10、员工未进行安全培训和应急培训扣10分。</w:t>
            </w:r>
          </w:p>
          <w:p w14:paraId="682D192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11、对遮挡交通指示牌的树枝、苗木清理不及时的每处扣3分。</w:t>
            </w:r>
          </w:p>
        </w:tc>
        <w:tc>
          <w:tcPr>
            <w:tcW w:w="1192" w:type="pct"/>
            <w:noWrap w:val="0"/>
            <w:vAlign w:val="center"/>
          </w:tcPr>
          <w:p w14:paraId="452761D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对管理中存在安全隐患整治不及时的每次扣款罚款1万元，对通报安全问题未按要求整改的每次罚款6万元。</w:t>
            </w:r>
          </w:p>
        </w:tc>
        <w:tc>
          <w:tcPr>
            <w:tcW w:w="252" w:type="pct"/>
            <w:noWrap w:val="0"/>
            <w:vAlign w:val="top"/>
          </w:tcPr>
          <w:p w14:paraId="3908E2BE">
            <w:pPr>
              <w:shd w:val="clear"/>
              <w:rPr>
                <w:rFonts w:hint="eastAsia" w:ascii="宋体" w:hAnsi="宋体" w:eastAsia="宋体" w:cs="宋体"/>
                <w:color w:val="auto"/>
                <w:sz w:val="21"/>
                <w:szCs w:val="21"/>
                <w:highlight w:val="none"/>
              </w:rPr>
            </w:pPr>
          </w:p>
        </w:tc>
      </w:tr>
      <w:tr w14:paraId="4710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2FFC5E13">
            <w:pPr>
              <w:shd w:val="clear"/>
              <w:rPr>
                <w:rFonts w:hint="eastAsia" w:ascii="宋体" w:hAnsi="宋体" w:eastAsia="宋体" w:cs="宋体"/>
                <w:color w:val="auto"/>
                <w:sz w:val="21"/>
                <w:szCs w:val="21"/>
                <w:highlight w:val="none"/>
              </w:rPr>
            </w:pPr>
          </w:p>
        </w:tc>
        <w:tc>
          <w:tcPr>
            <w:tcW w:w="444" w:type="pct"/>
            <w:vMerge w:val="continue"/>
            <w:noWrap w:val="0"/>
            <w:vAlign w:val="top"/>
          </w:tcPr>
          <w:p w14:paraId="6242B82B">
            <w:pPr>
              <w:shd w:val="clear"/>
              <w:rPr>
                <w:rFonts w:hint="eastAsia" w:ascii="宋体" w:hAnsi="宋体" w:eastAsia="宋体" w:cs="宋体"/>
                <w:color w:val="auto"/>
                <w:sz w:val="21"/>
                <w:szCs w:val="21"/>
                <w:highlight w:val="none"/>
              </w:rPr>
            </w:pPr>
          </w:p>
        </w:tc>
        <w:tc>
          <w:tcPr>
            <w:tcW w:w="648" w:type="pct"/>
            <w:noWrap w:val="0"/>
            <w:vAlign w:val="center"/>
          </w:tcPr>
          <w:p w14:paraId="1E64501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管护资料</w:t>
            </w:r>
          </w:p>
        </w:tc>
        <w:tc>
          <w:tcPr>
            <w:tcW w:w="2158" w:type="pct"/>
            <w:noWrap w:val="0"/>
            <w:vAlign w:val="top"/>
          </w:tcPr>
          <w:p w14:paraId="406782DD">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未按照要求上交本周、月、年养护计划、工作总结，未提交一次扣3分；</w:t>
            </w:r>
          </w:p>
          <w:p w14:paraId="42E662A5">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未设专人记录养护日志、不认真记录养护日志，发现一次扣2分；</w:t>
            </w:r>
          </w:p>
          <w:p w14:paraId="75054B09">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无完整养护技术台账，技术交底资料扣5分；</w:t>
            </w:r>
          </w:p>
          <w:p w14:paraId="309944CF">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无养护台账每次扣10分。</w:t>
            </w:r>
          </w:p>
          <w:p w14:paraId="566E15B0">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每月养护单位要对各标段养护情况进行自检工作，无自检报告的每次扣5分</w:t>
            </w:r>
          </w:p>
        </w:tc>
        <w:tc>
          <w:tcPr>
            <w:tcW w:w="1192" w:type="pct"/>
            <w:noWrap w:val="0"/>
            <w:vAlign w:val="top"/>
          </w:tcPr>
          <w:p w14:paraId="6145FFB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未报送或未按时报送周、月、年计划的一次扣3000元，计划调整两次不合格的一次扣2000元；无养护台账的每次扣除3000元，无养护日志的按照每天100元进行处罚；无自检报告每次扣5000元</w:t>
            </w:r>
          </w:p>
        </w:tc>
        <w:tc>
          <w:tcPr>
            <w:tcW w:w="252" w:type="pct"/>
            <w:noWrap w:val="0"/>
            <w:vAlign w:val="top"/>
          </w:tcPr>
          <w:p w14:paraId="38DD0109">
            <w:pPr>
              <w:shd w:val="clear"/>
              <w:rPr>
                <w:rFonts w:hint="eastAsia" w:ascii="宋体" w:hAnsi="宋体" w:eastAsia="宋体" w:cs="宋体"/>
                <w:color w:val="auto"/>
                <w:sz w:val="21"/>
                <w:szCs w:val="21"/>
                <w:highlight w:val="none"/>
              </w:rPr>
            </w:pPr>
          </w:p>
        </w:tc>
      </w:tr>
      <w:tr w14:paraId="346A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71DBF1C">
            <w:pPr>
              <w:shd w:val="clear"/>
              <w:rPr>
                <w:rFonts w:hint="eastAsia" w:ascii="宋体" w:hAnsi="宋体" w:eastAsia="宋体" w:cs="宋体"/>
                <w:color w:val="auto"/>
                <w:sz w:val="21"/>
                <w:szCs w:val="21"/>
                <w:highlight w:val="none"/>
              </w:rPr>
            </w:pPr>
          </w:p>
        </w:tc>
        <w:tc>
          <w:tcPr>
            <w:tcW w:w="444" w:type="pct"/>
            <w:vMerge w:val="continue"/>
            <w:noWrap w:val="0"/>
            <w:vAlign w:val="top"/>
          </w:tcPr>
          <w:p w14:paraId="02D8949F">
            <w:pPr>
              <w:shd w:val="clear"/>
              <w:rPr>
                <w:rFonts w:hint="eastAsia" w:ascii="宋体" w:hAnsi="宋体" w:eastAsia="宋体" w:cs="宋体"/>
                <w:color w:val="auto"/>
                <w:sz w:val="21"/>
                <w:szCs w:val="21"/>
                <w:highlight w:val="none"/>
              </w:rPr>
            </w:pPr>
          </w:p>
        </w:tc>
        <w:tc>
          <w:tcPr>
            <w:tcW w:w="648" w:type="pct"/>
            <w:noWrap w:val="0"/>
            <w:vAlign w:val="center"/>
          </w:tcPr>
          <w:p w14:paraId="6EDBF0B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执行力</w:t>
            </w:r>
          </w:p>
        </w:tc>
        <w:tc>
          <w:tcPr>
            <w:tcW w:w="2158" w:type="pct"/>
            <w:noWrap w:val="0"/>
            <w:vAlign w:val="top"/>
          </w:tcPr>
          <w:p w14:paraId="5C01AC19">
            <w:pPr>
              <w:widowControl/>
              <w:numPr>
                <w:ilvl w:val="0"/>
                <w:numId w:val="4"/>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群众投诉、媒体披露、领导及上级部门通报问题，整改不到位扣10分；</w:t>
            </w:r>
          </w:p>
          <w:p w14:paraId="16F0A2BC">
            <w:pPr>
              <w:widowControl/>
              <w:numPr>
                <w:ilvl w:val="0"/>
                <w:numId w:val="4"/>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对生态环境局及监理安排的日常工作不能够及时完成、有推诿扯皮现象扣5分。</w:t>
            </w:r>
          </w:p>
          <w:p w14:paraId="328FC67E">
            <w:pPr>
              <w:widowControl/>
              <w:numPr>
                <w:ilvl w:val="0"/>
                <w:numId w:val="4"/>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在重大活动、突发事件及其它临时性任务中，不能按时完成任务，扣15分；</w:t>
            </w:r>
          </w:p>
          <w:p w14:paraId="5C8EAD5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4、严格遵守市级园林绿化工作相关要求及行业管理规范，未落实或落实不到位每项扣10分。</w:t>
            </w:r>
          </w:p>
        </w:tc>
        <w:tc>
          <w:tcPr>
            <w:tcW w:w="1192" w:type="pct"/>
            <w:noWrap w:val="0"/>
            <w:vAlign w:val="top"/>
          </w:tcPr>
          <w:p w14:paraId="4980D22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建设单位、监理单位下发的指令不予执行或推诿扯皮的按照3000元/次标准进行处罚，被群众投诉、媒体披露、领导及上级部门通报问题，整改不力的按照10000元/次进行扣款；重大活动，项目经理现场未值守每次扣款5000元，对建设单位安排事项执行不力的每次扣款5000元。</w:t>
            </w:r>
          </w:p>
        </w:tc>
        <w:tc>
          <w:tcPr>
            <w:tcW w:w="252" w:type="pct"/>
            <w:noWrap w:val="0"/>
            <w:vAlign w:val="top"/>
          </w:tcPr>
          <w:p w14:paraId="58E11180">
            <w:pPr>
              <w:shd w:val="clear"/>
              <w:rPr>
                <w:rFonts w:hint="eastAsia" w:ascii="宋体" w:hAnsi="宋体" w:eastAsia="宋体" w:cs="宋体"/>
                <w:color w:val="auto"/>
                <w:sz w:val="21"/>
                <w:szCs w:val="21"/>
                <w:highlight w:val="none"/>
              </w:rPr>
            </w:pPr>
          </w:p>
        </w:tc>
      </w:tr>
      <w:tr w14:paraId="5FE8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8803FEA">
            <w:pPr>
              <w:shd w:val="clear"/>
              <w:rPr>
                <w:rFonts w:hint="eastAsia" w:ascii="宋体" w:hAnsi="宋体" w:eastAsia="宋体" w:cs="宋体"/>
                <w:color w:val="auto"/>
                <w:sz w:val="21"/>
                <w:szCs w:val="21"/>
                <w:highlight w:val="none"/>
              </w:rPr>
            </w:pPr>
          </w:p>
        </w:tc>
        <w:tc>
          <w:tcPr>
            <w:tcW w:w="444" w:type="pct"/>
            <w:vMerge w:val="continue"/>
            <w:noWrap w:val="0"/>
            <w:vAlign w:val="top"/>
          </w:tcPr>
          <w:p w14:paraId="5FFC2DF3">
            <w:pPr>
              <w:shd w:val="clear"/>
              <w:rPr>
                <w:rFonts w:hint="eastAsia" w:ascii="宋体" w:hAnsi="宋体" w:eastAsia="宋体" w:cs="宋体"/>
                <w:color w:val="auto"/>
                <w:sz w:val="21"/>
                <w:szCs w:val="21"/>
                <w:highlight w:val="none"/>
              </w:rPr>
            </w:pPr>
          </w:p>
        </w:tc>
        <w:tc>
          <w:tcPr>
            <w:tcW w:w="648" w:type="pct"/>
            <w:noWrap w:val="0"/>
            <w:vAlign w:val="center"/>
          </w:tcPr>
          <w:p w14:paraId="6B6684B2">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资产管理</w:t>
            </w:r>
          </w:p>
        </w:tc>
        <w:tc>
          <w:tcPr>
            <w:tcW w:w="2158" w:type="pct"/>
            <w:noWrap w:val="0"/>
            <w:vAlign w:val="center"/>
          </w:tcPr>
          <w:p w14:paraId="3EA7E392">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1、每年进行一次苗木盘点，做好绿苗木资产增减的登记工作，做好新接绿地苗木清单、绿地图纸等相关资料的保管工作。未登记的每次扣除5分，资料缺失的每次扣除3分。</w:t>
            </w:r>
          </w:p>
          <w:p w14:paraId="35D90FE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2、对主要景观树、胸径超过30公分大规格苗木实施建档、挂牌管理，未实施的每次扣5分。</w:t>
            </w:r>
          </w:p>
        </w:tc>
        <w:tc>
          <w:tcPr>
            <w:tcW w:w="1192" w:type="pct"/>
            <w:noWrap w:val="0"/>
            <w:vAlign w:val="top"/>
          </w:tcPr>
          <w:p w14:paraId="0CC89A3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1、未实施盘点的每次扣除2万元；资产增减登记缺失的每次扣除500元；资料缺失每次扣除5000元。对主景树、名贵树、规格较大（50cm以上）苗木未进行建档、挂牌的每株罚款500元。</w:t>
            </w:r>
          </w:p>
          <w:p w14:paraId="64DA552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2、规范养护物资供应，无养护物资采购方案或计划一次扣5000元，物资不足或采购缺失的按照缺失量的市场价格2倍处罚</w:t>
            </w:r>
          </w:p>
        </w:tc>
        <w:tc>
          <w:tcPr>
            <w:tcW w:w="252" w:type="pct"/>
            <w:noWrap w:val="0"/>
            <w:vAlign w:val="top"/>
          </w:tcPr>
          <w:p w14:paraId="49100C73">
            <w:pPr>
              <w:shd w:val="clear"/>
              <w:rPr>
                <w:rFonts w:hint="eastAsia" w:ascii="宋体" w:hAnsi="宋体" w:eastAsia="宋体" w:cs="宋体"/>
                <w:color w:val="auto"/>
                <w:sz w:val="21"/>
                <w:szCs w:val="21"/>
                <w:highlight w:val="none"/>
              </w:rPr>
            </w:pPr>
          </w:p>
        </w:tc>
      </w:tr>
    </w:tbl>
    <w:p w14:paraId="0608D1BD">
      <w:pPr>
        <w:shd w:val="clear"/>
        <w:bidi w:val="0"/>
        <w:rPr>
          <w:rFonts w:hint="eastAsia" w:ascii="宋体" w:hAnsi="宋体" w:eastAsia="宋体" w:cs="宋体"/>
          <w:color w:val="auto"/>
          <w:highlight w:val="none"/>
        </w:rPr>
      </w:pPr>
    </w:p>
    <w:p w14:paraId="3D05F493">
      <w:pPr>
        <w:widowControl/>
        <w:shd w:val="clear"/>
        <w:spacing w:line="360" w:lineRule="auto"/>
        <w:outlineLvl w:val="9"/>
        <w:rPr>
          <w:rFonts w:hint="eastAsia" w:ascii="宋体" w:hAnsi="宋体" w:eastAsia="宋体" w:cs="宋体"/>
          <w:color w:val="auto"/>
          <w:sz w:val="24"/>
          <w:szCs w:val="24"/>
          <w:highlight w:val="none"/>
        </w:rPr>
        <w:sectPr>
          <w:pgSz w:w="16838" w:h="11905" w:orient="landscape"/>
          <w:pgMar w:top="1304" w:right="1304" w:bottom="1134" w:left="1304" w:header="851" w:footer="992" w:gutter="0"/>
          <w:pgNumType w:fmt="numberInDash"/>
          <w:cols w:space="720" w:num="1"/>
          <w:titlePg/>
          <w:docGrid w:linePitch="323" w:charSpace="0"/>
        </w:sectPr>
      </w:pPr>
    </w:p>
    <w:p w14:paraId="6923433F">
      <w:pPr>
        <w:widowControl/>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附件六：西安浐灞国际港绿化养护管理手册</w:t>
      </w:r>
    </w:p>
    <w:p w14:paraId="748479F8">
      <w:pPr>
        <w:shd w:val="clear"/>
        <w:spacing w:line="360" w:lineRule="auto"/>
        <w:ind w:firstLine="482" w:firstLineChars="200"/>
        <w:jc w:val="center"/>
        <w:outlineLvl w:val="9"/>
        <w:rPr>
          <w:rFonts w:hint="eastAsia" w:ascii="宋体" w:hAnsi="宋体" w:eastAsia="宋体" w:cs="宋体"/>
          <w:b/>
          <w:color w:val="auto"/>
          <w:sz w:val="24"/>
          <w:szCs w:val="24"/>
          <w:highlight w:val="none"/>
        </w:rPr>
      </w:pPr>
    </w:p>
    <w:p w14:paraId="6C104AA9">
      <w:pPr>
        <w:shd w:val="clear"/>
        <w:spacing w:line="360" w:lineRule="auto"/>
        <w:ind w:firstLine="422" w:firstLineChars="200"/>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西安浐灞国际港绿化养护管理手册</w:t>
      </w:r>
    </w:p>
    <w:p w14:paraId="1210DCF6">
      <w:pPr>
        <w:shd w:val="clear"/>
        <w:spacing w:line="360" w:lineRule="auto"/>
        <w:ind w:firstLine="420" w:firstLineChars="200"/>
        <w:jc w:val="center"/>
        <w:outlineLvl w:val="9"/>
        <w:rPr>
          <w:rFonts w:hint="eastAsia" w:ascii="宋体" w:hAnsi="宋体" w:eastAsia="宋体" w:cs="宋体"/>
          <w:color w:val="auto"/>
          <w:sz w:val="21"/>
          <w:szCs w:val="21"/>
          <w:highlight w:val="none"/>
        </w:rPr>
      </w:pPr>
    </w:p>
    <w:p w14:paraId="0480D336">
      <w:pPr>
        <w:shd w:val="clear"/>
        <w:spacing w:line="360" w:lineRule="auto"/>
        <w:ind w:firstLine="420" w:firstLineChars="200"/>
        <w:jc w:val="center"/>
        <w:outlineLvl w:val="9"/>
        <w:rPr>
          <w:rFonts w:hint="eastAsia" w:ascii="宋体" w:hAnsi="宋体" w:eastAsia="宋体" w:cs="宋体"/>
          <w:color w:val="auto"/>
          <w:sz w:val="21"/>
          <w:szCs w:val="21"/>
          <w:highlight w:val="none"/>
        </w:rPr>
      </w:pPr>
    </w:p>
    <w:p w14:paraId="477AF2F0">
      <w:pPr>
        <w:shd w:val="clear"/>
        <w:spacing w:line="360" w:lineRule="auto"/>
        <w:ind w:firstLine="420" w:firstLineChars="20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    录</w:t>
      </w:r>
    </w:p>
    <w:p w14:paraId="1868007F">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1.项目部建设要求...............................................</w:t>
      </w:r>
    </w:p>
    <w:p w14:paraId="48EC0017">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2.养护进场交接标准.............................................</w:t>
      </w:r>
    </w:p>
    <w:p w14:paraId="341B63D5">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3.养护单元划分及管理人员配备标准...............................</w:t>
      </w:r>
    </w:p>
    <w:p w14:paraId="2CEB5F72">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4.养护队伍建设.................................................</w:t>
      </w:r>
    </w:p>
    <w:p w14:paraId="27844561">
      <w:pPr>
        <w:shd w:val="clear"/>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5.养护质量执行标准. ...........................................</w:t>
      </w:r>
    </w:p>
    <w:p w14:paraId="2F4C556D">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6.养护资料管理标准............................................</w:t>
      </w:r>
    </w:p>
    <w:p w14:paraId="41B73579">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7.精细化养护管理工作标准......................................</w:t>
      </w:r>
    </w:p>
    <w:p w14:paraId="132CB168">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8.绿地占用管理........................................ ........</w:t>
      </w:r>
    </w:p>
    <w:p w14:paraId="700F0912">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9.资产管理要求.................................................</w:t>
      </w:r>
    </w:p>
    <w:p w14:paraId="3BDBCD00">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10.绿化养护工作考核.......................................</w:t>
      </w:r>
    </w:p>
    <w:p w14:paraId="2451400F">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11.养护费用支付办理............................................</w:t>
      </w:r>
    </w:p>
    <w:p w14:paraId="382F3200">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12.绿地退场移交要求...........................................</w:t>
      </w:r>
    </w:p>
    <w:p w14:paraId="13866D32">
      <w:pPr>
        <w:shd w:val="clear"/>
        <w:spacing w:line="360" w:lineRule="auto"/>
        <w:ind w:firstLine="420" w:firstLineChars="200"/>
        <w:jc w:val="left"/>
        <w:outlineLvl w:val="9"/>
        <w:rPr>
          <w:rFonts w:hint="eastAsia" w:ascii="宋体" w:hAnsi="宋体" w:eastAsia="宋体" w:cs="宋体"/>
          <w:color w:val="auto"/>
          <w:sz w:val="21"/>
          <w:szCs w:val="21"/>
          <w:highlight w:val="none"/>
        </w:rPr>
      </w:pPr>
    </w:p>
    <w:p w14:paraId="62B6381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一、项目部建设要求</w:t>
      </w:r>
    </w:p>
    <w:p w14:paraId="5DA477F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养护单位必须按照合同形成独立建制，组建养护工程项目部，建立健全各项规章制度上墙；按照合同承诺配备项目部全员到岗到位；合理设置管理机构；健全质量、安全管理体系；设立专职巡查员制度；加强安全、技术交底工作；</w:t>
      </w:r>
    </w:p>
    <w:p w14:paraId="1F22BA0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接受建设单位、监理单位的指令；及时上报安全、措施、质量方案，经批准后实施；</w:t>
      </w:r>
    </w:p>
    <w:p w14:paraId="17810D2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二、养护进场交接标准</w:t>
      </w:r>
    </w:p>
    <w:p w14:paraId="4D5ED5E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1、资料交接：接收绿地基础资料档案：项目设计方案、竣工图纸（纸质版2套及电子版）、绿化苗木清单、土壤主要理化性状、如现场与竣工图出现较大差异需提供现场变更相关资料；</w:t>
      </w:r>
    </w:p>
    <w:p w14:paraId="730C430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现场交接：对照绿地竣工图纸、苗木清单及工程量清单对绿地苗木数量进行盘点、接收，对竣工图与现场进行核对、对设施完整及运行情况进行核对、对电源、水源进行交接，对照《园林绿化养护标准》及《园林绿化工程施工及验收规范》对现场问题进行梳理，对绿地接收绿地进行评价。</w:t>
      </w:r>
    </w:p>
    <w:p w14:paraId="08756F3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三、养护单元划分及管理人员配备标准</w:t>
      </w:r>
    </w:p>
    <w:p w14:paraId="69907FE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养护单位进场后，要科学划分养护单元，要求每养护单元面积约为</w:t>
      </w:r>
      <w:r>
        <w:rPr>
          <w:rFonts w:hint="eastAsia" w:ascii="宋体" w:hAnsi="宋体" w:eastAsia="宋体" w:cs="宋体"/>
          <w:color w:val="auto"/>
          <w:sz w:val="21"/>
          <w:szCs w:val="21"/>
          <w:highlight w:val="none"/>
          <w:lang w:val="en-US" w:eastAsia="zh-CN"/>
        </w:rPr>
        <w:t>40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0万㎡，并建立标段养护管理体系。</w:t>
      </w:r>
    </w:p>
    <w:p w14:paraId="7518F9B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单位应足额配备专业养护人员，绿化养护管理单位必须向项目部配备项目经理1名，标段技术负责1名，专职安全员1名，资料员1名。每一个养护单元配备1名单元负责人或单元技术负责人（负责单元日常管理和技术指导工作），配1名巡查人员（负责单元日常巡查工作），每</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万㎡配备1名养护组长（负责小组人员管理和工作落实）。一级养护绿地</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000㎡/人，二级养护绿地1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000㎡/人，防护林带20000㎡/人，要求养护工作人员年龄男工不得超过60岁，女工不超55岁，男女工人比例控制在</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比例，技术工人占比不低于总人数的1/3。</w:t>
      </w:r>
    </w:p>
    <w:p w14:paraId="40EDC1C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项目经理和标段技术负责人应有绿化养护中级工程师以上资质，单元负责人和技术负责人应具备高级绿化工应具备的绿化养护相关要求、知识、技能；养护组长应有具备中级绿化工应具备的绿化养护相关要求知识、技能；养护技术工人应具备园林行业职业技能标准中初级绿化工应具备的绿化养护相关知识。</w:t>
      </w:r>
    </w:p>
    <w:p w14:paraId="2DAEDDA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3.项目经理及项目技术人员对所承揽养护区域，做到每周巡查一次；专职安全员及专职管理员，做到每天巡查一次；养护项目部每周将巡查结果汇总上报建设单位及监理部。</w:t>
      </w:r>
    </w:p>
    <w:p w14:paraId="4F5731B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项目部经理、项目技术人员及主要管理人员每月在岗时间不得少于本月养护时间的80%；标段负责人每月在岗时间不得少于本月养护时间的90%；建设单位及监理部对现场巡视检查时，养护项目部管理人员接到通知后必须半小时到场。</w:t>
      </w:r>
    </w:p>
    <w:p w14:paraId="71C8F4B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机械配备：根据园林机械设备的安全性、适应性、可靠性、环保性等配备具备完成承揽的园林绿化养护项目所需的相关机械设备（枝剪、平剪、高枝剪、高空剪、油锯、铲、锄、梯子、打孔机、绿篱机、割灌机、草坪机、电动喷雾剂、洒水车、电动三轮高压冲洗车、快速保洁车、电动垃圾转运车、高空升降车、吊车、巡查车等），养护工具选用需优先选用电动、环保型工具。</w:t>
      </w:r>
    </w:p>
    <w:p w14:paraId="10C6355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要求项目部必须至少配备一辆高空升降车、吊车，每标段必须配备一辆巡查车。</w:t>
      </w:r>
    </w:p>
    <w:p w14:paraId="3924729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四、养护队伍建设</w:t>
      </w:r>
    </w:p>
    <w:p w14:paraId="7236E3C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单位应制定人员培训计划，每周针对工作中的重点、难点工作进行每周培训，让一线工作人员充分了解工作技术要点，作业标准到位；每月邀请专业人员或专业老师进行月度专业技能培训，提升整体队伍专业素养，并将培训计划纳入养护工作方案。</w:t>
      </w:r>
    </w:p>
    <w:p w14:paraId="247AA63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2.养护单位应认真贯彻、落实中央、省、市及管委会各类会议精神和文件要求，养护单位要加强人员教育，严禁工作人员出现违背国家政策、中央精神的言论、行为。</w:t>
      </w:r>
    </w:p>
    <w:p w14:paraId="1E81433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3.所有项目部及养护标段管理人员工作期间严谨溜岗、串岗，如有请假，需建设单位及监理审批，养护单元管理人员及班组长及工人请假由项目部审批并报监理进行报备。</w:t>
      </w:r>
    </w:p>
    <w:p w14:paraId="419F82A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五、养护质量执行标准</w:t>
      </w:r>
    </w:p>
    <w:p w14:paraId="572ED60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按照《园林绿化养护标准》CJJ287-2018、《西安市绿化养护管理标准养护》执行，公园广场、一级道路沿线绿地按照一级养护标准执行，二、按照二级养护标准执行，三级道路绿地按照三级养护标准执行，林带等偏远绿地按照林带养护标准执行。</w:t>
      </w:r>
    </w:p>
    <w:p w14:paraId="2255FB3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（一）一类绿地养护质量标准 </w:t>
      </w:r>
    </w:p>
    <w:p w14:paraId="261069B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1.绿化养护技术措施完善，管理得当，植物配置科学合理，达到黄土不露天。</w:t>
      </w:r>
    </w:p>
    <w:p w14:paraId="600B175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2.园林植物 </w:t>
      </w:r>
    </w:p>
    <w:p w14:paraId="6162583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园林树木树冠完整美观，分枝点合适，枝条粗壮，无枯枝死杈；主侧枝分布匀称、数量适宜、修剪科学合理；内膛不乱，通风透光。花灌木开花及时，株形丰满，花后修剪及时合理。绿篱、色块等修剪及时，枝叶茂密，整齐一致，整型树木造型雅观。行道树无缺株，绿地内无死树。</w:t>
      </w:r>
    </w:p>
    <w:p w14:paraId="79C8360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落叶树新梢生长健壮，叶片大小、颜色正常。在一般条件下，无黄叶、焦叶、卷叶，正常叶片保存率在95%以上。针叶树针叶宿存3年以上，结果枝条在10 %以下。  </w:t>
      </w:r>
    </w:p>
    <w:p w14:paraId="75A3329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（3）花坛、花带轮廓清晰，整齐美观，色彩艳丽，无残缺，无残花败叶。 </w:t>
      </w:r>
    </w:p>
    <w:p w14:paraId="7FD4773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（4）草坪及地被植物整齐，覆盖率99 %以上，草坪内无杂草。草坪绿色期：冷季型草不得少于300天；暖季型草不得少于270天。 </w:t>
      </w:r>
    </w:p>
    <w:p w14:paraId="3EA9966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（5）病虫害控制及时，园林树木无蛀干害虫的活卵、活虫；园林树木病虫害平均被害株数不得超过1％。叶片上无虫粪、虫网。被虫咬的叶片每株不得超过2%。 </w:t>
      </w:r>
    </w:p>
    <w:p w14:paraId="4696A62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3.垂直绿化应根据不同植物的攀缘特点，及时采取相应的牵引、设置网架等技术措施，视攀缘植物生长习性，覆盖率不得低于90%。开花的攀缘植物应适时开花，且花繁色艳。 </w:t>
      </w:r>
    </w:p>
    <w:p w14:paraId="3EE94A4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4.绿地整洁，无杂物、无白色污染（树挂），对绿化生产垃圾（如树枝、树叶、草屑等）、绿地内水面杂物，重点地区随产随清，其它地区日产日清，做到巡视保洁。 </w:t>
      </w:r>
    </w:p>
    <w:p w14:paraId="40E1E2E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5.栏杆、园路、桌椅、路灯、井盖和牌示等园林设施完整、安全，维护及时。 </w:t>
      </w:r>
    </w:p>
    <w:p w14:paraId="600F013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6.绿地完整，无堆物、堆料、搭棚，树干上无钉拴刻画等现象。 </w:t>
      </w:r>
    </w:p>
    <w:p w14:paraId="3583236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（二）二类绿地养护质量标准 </w:t>
      </w:r>
    </w:p>
    <w:p w14:paraId="19D22EA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1.绿化养护技术措施比较完善，管理基本得当，植物配置合理，基本达到黄土不露天。</w:t>
      </w:r>
    </w:p>
    <w:p w14:paraId="05D88C4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2.园林植物 </w:t>
      </w:r>
    </w:p>
    <w:p w14:paraId="02A9A48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（1）园林树木树冠基本完整，主侧枝分布均称、数量适宜、修剪合理，内膛不乱，通风透光。花灌木开花及时、正常，花后修剪及时。绿篱、色块枝叶正常，整齐一致。行道树无缺株，绿地内无死树。 </w:t>
      </w:r>
    </w:p>
    <w:p w14:paraId="07B36D8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（2）落叶树新梢生长正常，叶片大小、颜色正常，在一般条件下，黄叶、焦叶、卷叶和带虫尿、虫网的叶片不得超过5%，正常叶片保存率在90%以上。针叶树针叶宿存2年以上，结果枝条不超过20%。</w:t>
      </w:r>
    </w:p>
    <w:p w14:paraId="40A4418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 花坛、花带轮廓清晰，整齐美观，适时开花，无残缺 。 </w:t>
      </w:r>
    </w:p>
    <w:p w14:paraId="218AE96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（4）草坪及地被植物整齐一致，覆盖率95%以上，除缀花草坪外草坪内杂草率不得超过2%。草坪绿色期：冷季型草不得少于270天，暖季型草不得少于240天。 </w:t>
      </w:r>
    </w:p>
    <w:p w14:paraId="4B9EEA5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（5）病虫害控制及时，园林树木有蛀干害虫危害的株数不得超过1%；园林树木病虫害平均被害株数不得超过3％。叶上无虫粪，被虫咬的叶片每株不得超过5%。 </w:t>
      </w:r>
    </w:p>
    <w:p w14:paraId="47FA6B5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3.垂直绿化应根据不同植物的攀缘特点，采取相应的牵引、设置网架等技术措施，视攀缘植物生长习性，覆盖率不得低于80%，开花的攀缘植物能适时开花。 </w:t>
      </w:r>
    </w:p>
    <w:p w14:paraId="3F1F2A2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4.绿地整洁，无杂物、无白色污染（树挂），绿化生产垃圾（如树枝、树叶、草屑等）、绿地内水面杂物应日产日清，做到保洁及时。 </w:t>
      </w:r>
    </w:p>
    <w:p w14:paraId="24F9575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5.栏杆、园路、桌椅、路灯、井盖和牌示等园林设施完整、安全，基本做到维护及时。 </w:t>
      </w:r>
    </w:p>
    <w:p w14:paraId="2949498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6.绿地完整，无堆物、堆料、搭棚，树干上无钉拴刻画等现象。</w:t>
      </w:r>
    </w:p>
    <w:p w14:paraId="589AB2A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 三）三类绿地养护质量标准 </w:t>
      </w:r>
    </w:p>
    <w:p w14:paraId="6698AB3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1.绿化养护技术措施基本完善，植物配置基本合理，裸露土地不明显。</w:t>
      </w:r>
    </w:p>
    <w:p w14:paraId="231D1A7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园林植物 </w:t>
      </w:r>
    </w:p>
    <w:p w14:paraId="6F2B2AA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（1）生长正常。新建绿地各种植物四年内达到正常形态。 </w:t>
      </w:r>
    </w:p>
    <w:p w14:paraId="435244F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（2）园林树木树冠基本正常，修剪及时，无明显枯枝死叉。分枝点合适，枝条粗壮，行道树缺株率不超过1%，绿地内无死树。 </w:t>
      </w:r>
    </w:p>
    <w:p w14:paraId="4957666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（3）落叶树新梢生长基本正常，叶片大小、颜色正常，在正常条件下，有黄叶、焦叶、卷叶和带虫尿、虫网叶片的株数不得超过10%，正常叶片保存率在85%以上。针叶树针叶宿存1年以上，结果枝条不超过50%。</w:t>
      </w:r>
    </w:p>
    <w:p w14:paraId="44548A4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（4）花坛、花带轮廓基本清晰、整齐美观，无残缺。</w:t>
      </w:r>
    </w:p>
    <w:p w14:paraId="7856ECD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（5）草坪及地被植物整齐一致，覆盖率90%以上，除缀花草坪外草坪内杂草率不得超过5%。草坪绿色期：冷季型草不得少于240天，暖季型草不得少于210天。 </w:t>
      </w:r>
    </w:p>
    <w:p w14:paraId="7255ABD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6）病虫害控制比较及时，园林树木有蛀干害虫危害的竹数不得超过3%；在园林树木主干、主枝上平均每100c㎡介壳虫的活虫数不得超过3头，较细枝条上平均每30cm不得超过8头，且平均被害株数不得超过5％。被虫咬的叶片每株不得超过8%。 </w:t>
      </w:r>
    </w:p>
    <w:p w14:paraId="6606D2A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3.垂直绿化能根据不同植物的攀缘特点，采取相应的技术措施，视攀缘植物生长习性，覆盖率不得低于70%。开花的攀缘植物能适时开花。 </w:t>
      </w:r>
    </w:p>
    <w:p w14:paraId="0B8E0DA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 绿地基本整洁，无明显杂物，无白色污染（树挂），绿化生产垃圾（如树枝、树叶、草屑等）、绿地内水面杂物能日产日清，能做到保洁及时。 </w:t>
      </w:r>
    </w:p>
    <w:p w14:paraId="79F69D6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栏杆、园路、桌椅、路灯、井盖和牌示等园林设施基本完整，能进行维护。</w:t>
      </w:r>
    </w:p>
    <w:p w14:paraId="5CB44D9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 绿地基本完整，无明显堆物、堆料、搭棚、树干上无钉拴刻画等现象。行道树下距树干2米范围内无明显的堆物、堆料、圈栏或搭棚设摊等影响树木生长和养护管理的现象。 </w:t>
      </w:r>
    </w:p>
    <w:p w14:paraId="7E07DAC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（四）防护林带绿地养护质量标准</w:t>
      </w:r>
    </w:p>
    <w:p w14:paraId="3D1994B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1.绿化养护技术措施基本完善，裸露土地不明显。</w:t>
      </w:r>
    </w:p>
    <w:p w14:paraId="7197FD0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园林植物 </w:t>
      </w:r>
    </w:p>
    <w:p w14:paraId="09797C3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（1）园林树木树冠基本正常，修剪及时，无明显枯枝死叉。分枝点合适，枝条粗壮，绿地内无死树。 </w:t>
      </w:r>
    </w:p>
    <w:p w14:paraId="525BC98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（2）落叶树新梢生长基本正常，叶片大小、颜色正常，在正常条件下，有黄叶、焦叶、卷叶和带虫尿、虫网叶片的株数不得超过15%，正常叶片保存率在85%以上。针叶树针叶宿存1年以上，结果枝条不超过50%。</w:t>
      </w:r>
    </w:p>
    <w:p w14:paraId="0C3D2DF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（3）草坪及地被植物整齐一致，覆盖率90%以上，冷季型草不得少于240天。 </w:t>
      </w:r>
    </w:p>
    <w:p w14:paraId="6608E14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（4）病虫害控制比较及时，园林树木有蛀干害虫危害的数量不得超过5%；园林树木病虫害平均被害株数不得超过5％。被虫咬的叶片每株不得超过8%。 </w:t>
      </w:r>
    </w:p>
    <w:p w14:paraId="28A5AB6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 绿地基本整洁，无明显杂物，无白色污染（树挂），绿化生产垃圾（如树枝、树叶、草屑等）、绿地内水面杂物能日产日清，能做到保洁及时。 </w:t>
      </w:r>
    </w:p>
    <w:p w14:paraId="57D01F9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 绿地基本完整，无明显堆物、堆料、搭棚、树干上无钉拴刻画等现象。 </w:t>
      </w:r>
    </w:p>
    <w:p w14:paraId="0843F68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六、养护资料管理标准</w:t>
      </w:r>
    </w:p>
    <w:p w14:paraId="51F0EFA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应建立完成的绿地养护技术档案，档案包括绿地基本情况（面积、植物种类、规格、数量）、土壤主要理化性状、竣工图、养护日志（台账）、重大事件记录、新技术新工艺的应用，绿化养护方案、极端天气安全应急预案、安全生产管控及交底、养护技术交底、分项验收资料。</w:t>
      </w:r>
    </w:p>
    <w:p w14:paraId="154CDD1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七、精细化养护管理工作标准</w:t>
      </w:r>
    </w:p>
    <w:p w14:paraId="79776E8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养护单位应加强绿地精细化管理，建立巡查、发现、处置、反馈的闭合管理体系，项目经理负责对生态环境局、监理单位交办、巡查发现问题及自查问题整改过程进行跟踪、督办，工作要求应符合以下要求：</w:t>
      </w:r>
    </w:p>
    <w:p w14:paraId="4CF013E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1.城市公园绿地及附属设施维护</w:t>
      </w:r>
    </w:p>
    <w:p w14:paraId="32A6DE2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（1）死缺株植物补植</w:t>
      </w:r>
    </w:p>
    <w:p w14:paraId="1305859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时限要求：巡查发现问题后立即登记受理并立即采取植物补植，草坪、地被、绿篱自启动整改之日起3日内完成补植工作，问题销号。桥灌木根据苗木采购数量、品种、季节等因素合理确定补栽时限。</w:t>
      </w:r>
    </w:p>
    <w:p w14:paraId="05C0318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质量要求：补植后的种植密度、品种、规格与原绿化效果一致，不得随意变更。</w:t>
      </w:r>
    </w:p>
    <w:p w14:paraId="65D455D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道路绿化维护作业时，应有安全技术措施，确保施工人员安全；现场警示标志完整，易辨识，夜间施工设置警示灯等安全防护措施，保障行人、车辆行驶安全；现场苗木、设备整齐、有序，维护完成后及时清理环境卫生。</w:t>
      </w:r>
    </w:p>
    <w:p w14:paraId="254EC0D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2.行道树修剪</w:t>
      </w:r>
    </w:p>
    <w:p w14:paraId="67588A0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时限要求：行道树修剪工作应根据植物生长特效及年度修剪计划有序实施；</w:t>
      </w:r>
    </w:p>
    <w:p w14:paraId="3BD93FF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质量要求：树冠完整、规格整齐、分支点高度保持一致。</w:t>
      </w:r>
    </w:p>
    <w:p w14:paraId="4E23DCA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安全及文明施工要求：设置隔离设施，确保施工人员安全；现场施工人员应配备高空作业相关安全防范设备，修剪完成后及时清理绿化垃圾。</w:t>
      </w:r>
    </w:p>
    <w:p w14:paraId="5A6440E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（3）病虫害防治</w:t>
      </w:r>
    </w:p>
    <w:p w14:paraId="490CB36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时限要求：巡查发现问题后立即登记受理并立即采取防治措施，自启动整改之日起2日内完成防治工作，并持续跟踪记录防治效果，每周汇报防治情况。</w:t>
      </w:r>
    </w:p>
    <w:p w14:paraId="616EEEC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质量要求：基本无有害生物危害状、整体枝叶受害率≤8%、树干受害率≤5%。</w:t>
      </w:r>
    </w:p>
    <w:p w14:paraId="6049064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病虫害防治应采取生物防治及药物防治相结合的方式，道路绿化及行道树病虫害防治作业时应设置隔离设施，并避开早晚上下班高峰期实施确保行人及车辆安全，作业人员佩戴口罩、手套等防护措施。</w:t>
      </w:r>
    </w:p>
    <w:p w14:paraId="5BCC1C4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（4）时花补植更换</w:t>
      </w:r>
    </w:p>
    <w:p w14:paraId="02EFF5B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时限要求：巡查发现问题后立即登记受理并立即采取补植更换，自启动整改之日起2日内完成补植，问题销号；</w:t>
      </w:r>
    </w:p>
    <w:p w14:paraId="053B9FF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质量要求：缺株倒伏的花苗≤3%，基本无枯叶残花。</w:t>
      </w:r>
    </w:p>
    <w:p w14:paraId="2AA5F86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安全及文明施工要求：设置隔离设施，确保施工人员安全；现场警示标志完整易辨识，夜间施工设置警示灯；现场花卉、材料整齐有序。</w:t>
      </w:r>
    </w:p>
    <w:p w14:paraId="38E5A15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（5）公园绿地附属设施维护（游路、侧石、小品、雕塑、公园水电设施、灯具、标识牌等）</w:t>
      </w:r>
    </w:p>
    <w:p w14:paraId="3FCF0A0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巡查发现问题后立即登记受理并立即采取警示、维护等临时措施，日常小修维护自启动整改之日起1日内完成修复并开放交通，问题销号；中修、大修及改善工程根据设施类型及其他要求合理确定工期。</w:t>
      </w:r>
    </w:p>
    <w:p w14:paraId="3B8DC69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质量要求：修复后与原设施类型效果一致。</w:t>
      </w:r>
    </w:p>
    <w:p w14:paraId="2589526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安全及文明施工要求：设置隔离设施，确保施工人员安全；现场警示标志完整易辨识，夜间施工设置警示灯；现场材料、设备整齐有序。</w:t>
      </w:r>
    </w:p>
    <w:p w14:paraId="169FEE8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（6）绿地保洁（绿化生产垃圾及日常垃圾杂物捡拾）</w:t>
      </w:r>
    </w:p>
    <w:p w14:paraId="25EE4C2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时限要求：重点地段要求绿化生产垃圾随产随清，其它绿地日产日清；绿地落叶、杂物保洁每日1次；绿地内砖块、塑料袋等白色垃圾落地时间不超15分钟。</w:t>
      </w:r>
    </w:p>
    <w:p w14:paraId="27FEC18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质量要求：绿地干净整洁、垃圾捡拾及时</w:t>
      </w:r>
    </w:p>
    <w:p w14:paraId="3487308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安全及文明施工要求：工作人员穿反光背心、保洁车辆要求无损坏，符合安全使用要求。</w:t>
      </w:r>
    </w:p>
    <w:p w14:paraId="2FCAADF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（7）绿化应急管理工作（极端天气树木歪斜、树木断枝等影响安全问题）</w:t>
      </w:r>
    </w:p>
    <w:p w14:paraId="0F460E5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时限要求：出现极端大风天气1小时巡查一次，中雨、中风天气2小时巡查一次，发现突发情况30分钟到场处理。</w:t>
      </w:r>
    </w:p>
    <w:p w14:paraId="20DF206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安全及文明施工要求：设置隔离设施，确保施工人员安全；现场警示标志完整易辨识，夜间施工设置警示灯；现场材料、设备整齐有序。</w:t>
      </w:r>
    </w:p>
    <w:p w14:paraId="6FDDF87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（8）抗旱保苗应急工作</w:t>
      </w:r>
    </w:p>
    <w:p w14:paraId="04595D8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时限要求：启动抗旱应急工作2天内</w:t>
      </w:r>
    </w:p>
    <w:p w14:paraId="57357A3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工作要求：积极完善各类浇灌设施，增加节水浇灌设施，对无浇灌系统覆盖区域，按照3万平米绿地配备1辆8吨以上水车标准配备抗旱浇灌水车。</w:t>
      </w:r>
    </w:p>
    <w:p w14:paraId="4D6CE69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八、绿地占用管理</w:t>
      </w:r>
    </w:p>
    <w:p w14:paraId="2810409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任何单位或个人，临时或永久占用绿地需办理绿地占用手续或生态环境局下发的绿地占用通知，对于因市政应急强险的或安全应急需要占用绿地的可在占用同时向绿地行业主管部门电话报备，随后补办占用手续；</w:t>
      </w:r>
    </w:p>
    <w:p w14:paraId="00B590D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养护单位在收到占用绿地手续或占用通知后，需与占用单位办理场地移交单，明确占用范围，占用时间及苗木、设施数量，需要占用单位恢复的明确后续恢复要求、时限，绿地移交单需由绿地管理单位、生态环境局、绿地占用单位、占用工程行政管理部门四方签字盖章。</w:t>
      </w:r>
    </w:p>
    <w:p w14:paraId="60928A8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九、资产管理要求</w:t>
      </w:r>
    </w:p>
    <w:p w14:paraId="78A6F62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1、绿化养护单位负责责任绿地内，绿化苗木、设施资产管理工作；负责制定设施、设备年度维修计划；负责苗木移植的监管工作，做好数量统计和情况记录，确保绿化资产完整，苗木去向明确；</w:t>
      </w:r>
    </w:p>
    <w:p w14:paraId="37D3FBC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每年进行一次资产盘点，确保资产底数清楚；</w:t>
      </w:r>
    </w:p>
    <w:p w14:paraId="0A55134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2、因管理原因造成的苗木缺失，由养护单位负责赔偿，因管理缺失，设施设备破损、失修造成的设施无法使用的由由养护单位负责维修；</w:t>
      </w:r>
    </w:p>
    <w:p w14:paraId="566A226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植物组团内因长期生长过程中植物竞争，部分弱势苗木逐年退化的苗木或树木腐烂易造成安全隐患的，由养护单位负责排查，对确需清理的由养护单位申报，监理、生态环境局审批后，进行清理，并建立资产销毁台账，对清理、销毁过程资料进行留存。</w:t>
      </w:r>
    </w:p>
    <w:p w14:paraId="1F04E7A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4、对植物组团内因长期生长，植物相互影响，组团关系、层次混乱或绿地植物退化影响景观效果，养护单位负责排查，拿出移栽或更新调整方案，由监理、生态环境局审批后，派发工作任务单，予以实施。</w:t>
      </w:r>
    </w:p>
    <w:p w14:paraId="6E5F70F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十、绿化养护工作考核</w:t>
      </w:r>
    </w:p>
    <w:p w14:paraId="07AC497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生态环境局每月对养护单位各养护单元绿化养护工作检查、考评，并对考评结果及处罚情况进行通报，处罚扣款直接从季度养护费用中扣除，对考评中第一次出现排名后三且考评为差（月度考评成绩70分以下）的养护单元，对项目单位公司领导及项目经理进行约谈，对养护单元管理负责人及主要管理人员进行提醒警告。累计两次出现排名后三且考评为差（月度考评成绩70分以下）的养护单元要求更换管理负责人及主要管理人员。累计三次排名后三且考评为差（月度考评成绩70分以下）的养护单元，解除该养护单元养护关系，委托其它单位负责该区域养护工作。</w:t>
      </w:r>
    </w:p>
    <w:p w14:paraId="5CA4E4F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2、生态环境局每月初召开月度绿化养护例会会议，总结、通报考评结果、安排下一步工作。</w:t>
      </w:r>
    </w:p>
    <w:p w14:paraId="6503633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十一、养护费用支付办理</w:t>
      </w:r>
    </w:p>
    <w:p w14:paraId="78CBE42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养护单位应按照合同约定进行进度款支付申请，根据月度考核、工作完成情况及月度处罚情况，对支付费用进行审核，审核时间一般不超过3个工作日；</w:t>
      </w:r>
    </w:p>
    <w:p w14:paraId="583CA56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十二、绿地退场移交要求</w:t>
      </w:r>
    </w:p>
    <w:p w14:paraId="4AAF1F2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料移交：移交绿地基础资料包括：项目方案、竣工图纸（纸质版2套及电子版）、绿苗木清单、土壤主要理化性状、如现场与竣工图不符需提供现场变更相关资料、养护措施、养护日志（台账）、重大事件处理、新技术新工艺的应用；</w:t>
      </w:r>
    </w:p>
    <w:p w14:paraId="7D8E645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2、对照绿地竣工图纸、苗木清单及工程量清单对绿地苗木数量进行接收盘点、对竣工图与现场进行核对、对设施完整及运行情况进行核对、对电源、水源进行交接。</w:t>
      </w:r>
    </w:p>
    <w:p w14:paraId="494C1244">
      <w:pPr>
        <w:shd w:val="clear"/>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3、对照《园林绿化养护标准》及《园林绿化工程施工及验收规范》对现场养护情况进行交接检查，对绿地养护情况进行评价，对现场问题较大的由养护单位负责整改到位。</w:t>
      </w:r>
    </w:p>
    <w:p w14:paraId="4049849F">
      <w:pPr>
        <w:shd w:val="clea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br w:type="page"/>
      </w:r>
    </w:p>
    <w:p w14:paraId="440F2893">
      <w:pPr>
        <w:shd w:val="clear"/>
        <w:rPr>
          <w:rFonts w:hint="eastAsia" w:ascii="宋体" w:hAnsi="宋体" w:eastAsia="宋体" w:cs="宋体"/>
          <w:color w:val="auto"/>
          <w:highlight w:val="none"/>
        </w:rPr>
      </w:pPr>
    </w:p>
    <w:p w14:paraId="1C15298A">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lang w:val="en-US" w:eastAsia="zh-CN"/>
        </w:rPr>
        <w:t>2026-2027年浐灞渭河岸线绿化养护服务项目（</w:t>
      </w:r>
      <w:r>
        <w:rPr>
          <w:rFonts w:hint="eastAsia" w:ascii="宋体" w:hAnsi="宋体" w:eastAsia="宋体" w:cs="宋体"/>
          <w:b/>
          <w:bCs/>
          <w:color w:val="auto"/>
          <w:sz w:val="56"/>
          <w:szCs w:val="56"/>
          <w:highlight w:val="none"/>
          <w:lang w:val="en-US" w:eastAsia="zh-CN"/>
        </w:rPr>
        <w:t>合同包</w:t>
      </w:r>
      <w:r>
        <w:rPr>
          <w:rFonts w:hint="eastAsia" w:ascii="宋体" w:hAnsi="宋体" w:eastAsia="宋体" w:cs="宋体"/>
          <w:b/>
          <w:bCs/>
          <w:color w:val="auto"/>
          <w:sz w:val="56"/>
          <w:szCs w:val="56"/>
          <w:highlight w:val="none"/>
          <w:u w:val="single"/>
          <w:lang w:val="en-US" w:eastAsia="zh-CN"/>
        </w:rPr>
        <w:t xml:space="preserve"> 3 </w:t>
      </w:r>
      <w:r>
        <w:rPr>
          <w:rFonts w:hint="eastAsia" w:ascii="宋体" w:hAnsi="宋体" w:eastAsia="宋体" w:cs="宋体"/>
          <w:b/>
          <w:bCs/>
          <w:color w:val="auto"/>
          <w:sz w:val="52"/>
          <w:szCs w:val="52"/>
          <w:highlight w:val="none"/>
          <w:lang w:val="en-US" w:eastAsia="zh-CN"/>
        </w:rPr>
        <w:t>）</w:t>
      </w:r>
    </w:p>
    <w:p w14:paraId="26C3E28C">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6BECBE8E">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762AEFAD">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570BAB53">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7BFCF8D3">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68CB6634">
      <w:pPr>
        <w:pStyle w:val="3"/>
        <w:keepNext w:val="0"/>
        <w:keepLines w:val="0"/>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Cs w:val="24"/>
          <w:highlight w:val="none"/>
        </w:rPr>
      </w:pPr>
    </w:p>
    <w:p w14:paraId="233C7D42">
      <w:pPr>
        <w:keepNext w:val="0"/>
        <w:keepLines w:val="0"/>
        <w:pageBreakBefore w:val="0"/>
        <w:widowControl w:val="0"/>
        <w:shd w:val="clear"/>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合同</w:t>
      </w:r>
      <w:r>
        <w:rPr>
          <w:rFonts w:hint="eastAsia" w:ascii="宋体" w:hAnsi="宋体" w:eastAsia="宋体" w:cs="宋体"/>
          <w:b/>
          <w:bCs/>
          <w:color w:val="auto"/>
          <w:sz w:val="36"/>
          <w:szCs w:val="36"/>
          <w:highlight w:val="none"/>
          <w:lang w:eastAsia="zh-CN"/>
        </w:rPr>
        <w:t>参考格式</w:t>
      </w:r>
    </w:p>
    <w:p w14:paraId="2D89514D">
      <w:pPr>
        <w:pStyle w:val="3"/>
        <w:shd w:val="clear"/>
        <w:spacing w:line="360" w:lineRule="auto"/>
        <w:ind w:firstLine="420" w:firstLineChars="200"/>
        <w:rPr>
          <w:rFonts w:hint="eastAsia" w:ascii="宋体" w:hAnsi="宋体" w:eastAsia="宋体" w:cs="宋体"/>
          <w:color w:val="auto"/>
          <w:szCs w:val="24"/>
          <w:highlight w:val="none"/>
        </w:rPr>
      </w:pPr>
    </w:p>
    <w:p w14:paraId="6259E7F7">
      <w:pPr>
        <w:pStyle w:val="3"/>
        <w:shd w:val="clear"/>
        <w:spacing w:line="360" w:lineRule="auto"/>
        <w:ind w:firstLine="420" w:firstLineChars="200"/>
        <w:rPr>
          <w:rFonts w:hint="eastAsia" w:ascii="宋体" w:hAnsi="宋体" w:eastAsia="宋体" w:cs="宋体"/>
          <w:color w:val="auto"/>
          <w:szCs w:val="24"/>
          <w:highlight w:val="none"/>
        </w:rPr>
      </w:pPr>
    </w:p>
    <w:p w14:paraId="03FB7B4A">
      <w:pPr>
        <w:pStyle w:val="3"/>
        <w:shd w:val="clear"/>
        <w:spacing w:line="360" w:lineRule="auto"/>
        <w:rPr>
          <w:rFonts w:hint="eastAsia" w:ascii="宋体" w:hAnsi="宋体" w:eastAsia="宋体" w:cs="宋体"/>
          <w:color w:val="auto"/>
          <w:szCs w:val="24"/>
          <w:highlight w:val="none"/>
        </w:rPr>
      </w:pPr>
    </w:p>
    <w:p w14:paraId="6D544699">
      <w:pPr>
        <w:shd w:val="clear"/>
        <w:rPr>
          <w:rFonts w:hint="eastAsia" w:ascii="宋体" w:hAnsi="宋体" w:eastAsia="宋体" w:cs="宋体"/>
          <w:color w:val="auto"/>
          <w:highlight w:val="none"/>
        </w:rPr>
      </w:pPr>
    </w:p>
    <w:p w14:paraId="4B276C50">
      <w:pPr>
        <w:pStyle w:val="3"/>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合同编号：____________________</w:t>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r>
        <w:rPr>
          <w:rFonts w:hint="eastAsia" w:ascii="宋体" w:hAnsi="宋体" w:eastAsia="宋体" w:cs="宋体"/>
          <w:color w:val="auto"/>
          <w:szCs w:val="24"/>
          <w:highlight w:val="none"/>
        </w:rPr>
        <w:tab/>
      </w:r>
    </w:p>
    <w:p w14:paraId="53806AAC">
      <w:pPr>
        <w:pStyle w:val="3"/>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甲方：____________________(采购人名称)</w:t>
      </w:r>
    </w:p>
    <w:p w14:paraId="7461442C">
      <w:pPr>
        <w:pStyle w:val="3"/>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乙方：____________________(供应商名称)</w:t>
      </w:r>
    </w:p>
    <w:p w14:paraId="26440FDD">
      <w:pPr>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签订地点：</w:t>
      </w:r>
      <w:r>
        <w:rPr>
          <w:rFonts w:hint="eastAsia" w:ascii="宋体" w:hAnsi="宋体" w:eastAsia="宋体" w:cs="宋体"/>
          <w:color w:val="auto"/>
          <w:szCs w:val="24"/>
          <w:highlight w:val="none"/>
          <w:lang w:val="en-US" w:eastAsia="zh-CN"/>
        </w:rPr>
        <w:t>西安浐灞国际港</w:t>
      </w:r>
    </w:p>
    <w:p w14:paraId="7FC6531B">
      <w:pPr>
        <w:keepNext w:val="0"/>
        <w:keepLines w:val="0"/>
        <w:pageBreakBefore w:val="0"/>
        <w:widowControl/>
        <w:shd w:val="clear"/>
        <w:kinsoku/>
        <w:wordWrap/>
        <w:overflowPunct/>
        <w:topLinePunct w:val="0"/>
        <w:autoSpaceDE/>
        <w:autoSpaceDN/>
        <w:bidi w:val="0"/>
        <w:adjustRightInd/>
        <w:snapToGrid/>
        <w:spacing w:line="480" w:lineRule="auto"/>
        <w:ind w:firstLine="2310" w:firstLineChars="1100"/>
        <w:jc w:val="both"/>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签订日期：</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日</w:t>
      </w:r>
    </w:p>
    <w:p w14:paraId="78A79324">
      <w:pPr>
        <w:keepNext w:val="0"/>
        <w:keepLines w:val="0"/>
        <w:pageBreakBefore w:val="0"/>
        <w:shd w:val="clear"/>
        <w:kinsoku/>
        <w:wordWrap/>
        <w:overflowPunct/>
        <w:topLinePunct w:val="0"/>
        <w:autoSpaceDE/>
        <w:autoSpaceDN/>
        <w:bidi w:val="0"/>
        <w:adjustRightInd/>
        <w:spacing w:line="480" w:lineRule="auto"/>
        <w:jc w:val="center"/>
        <w:rPr>
          <w:rFonts w:hint="eastAsia" w:ascii="宋体" w:hAnsi="宋体" w:eastAsia="宋体" w:cs="宋体"/>
          <w:b/>
          <w:bCs/>
          <w:color w:val="auto"/>
          <w:sz w:val="28"/>
          <w:szCs w:val="28"/>
          <w:highlight w:val="none"/>
        </w:rPr>
      </w:pPr>
      <w:r>
        <w:rPr>
          <w:rFonts w:hint="eastAsia" w:ascii="宋体" w:hAnsi="宋体" w:eastAsia="宋体" w:cs="宋体"/>
          <w:color w:val="auto"/>
          <w:szCs w:val="24"/>
          <w:highlight w:val="none"/>
        </w:rPr>
        <w:br w:type="page"/>
      </w:r>
      <w:r>
        <w:rPr>
          <w:rFonts w:hint="eastAsia" w:ascii="宋体" w:hAnsi="宋体" w:eastAsia="宋体" w:cs="宋体"/>
          <w:b/>
          <w:bCs/>
          <w:color w:val="auto"/>
          <w:sz w:val="28"/>
          <w:szCs w:val="28"/>
          <w:highlight w:val="none"/>
        </w:rPr>
        <w:t>合同草案条款</w:t>
      </w:r>
    </w:p>
    <w:p w14:paraId="2C17F99C">
      <w:pPr>
        <w:keepNext w:val="0"/>
        <w:keepLines w:val="0"/>
        <w:pageBreakBefore w:val="0"/>
        <w:shd w:val="clear"/>
        <w:kinsoku/>
        <w:wordWrap/>
        <w:overflowPunct/>
        <w:topLinePunct w:val="0"/>
        <w:autoSpaceDE/>
        <w:autoSpaceDN/>
        <w:bidi w:val="0"/>
        <w:adjustRightInd/>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一、总    则</w:t>
      </w:r>
    </w:p>
    <w:p w14:paraId="319146B2">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甲方（采购人）：       </w:t>
      </w:r>
    </w:p>
    <w:p w14:paraId="5E875798">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住所地：</w:t>
      </w:r>
    </w:p>
    <w:p w14:paraId="736943A4">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乙方（供应商）：</w:t>
      </w:r>
      <w:r>
        <w:rPr>
          <w:rFonts w:hint="eastAsia" w:ascii="宋体" w:hAnsi="宋体" w:eastAsia="宋体" w:cs="宋体"/>
          <w:color w:val="auto"/>
          <w:sz w:val="21"/>
          <w:szCs w:val="21"/>
          <w:highlight w:val="none"/>
        </w:rPr>
        <w:t xml:space="preserve">       </w:t>
      </w:r>
    </w:p>
    <w:p w14:paraId="4FEA9032">
      <w:pPr>
        <w:keepNext w:val="0"/>
        <w:keepLines w:val="0"/>
        <w:pageBreakBefore w:val="0"/>
        <w:shd w:val="clear"/>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住所地：</w:t>
      </w:r>
    </w:p>
    <w:p w14:paraId="7BF786B5">
      <w:pPr>
        <w:keepNext w:val="0"/>
        <w:keepLines w:val="0"/>
        <w:pageBreakBefore w:val="0"/>
        <w:shd w:val="clear"/>
        <w:kinsoku/>
        <w:wordWrap/>
        <w:overflowPunct/>
        <w:topLinePunct w:val="0"/>
        <w:bidi w:val="0"/>
        <w:adjustRightInd w:val="0"/>
        <w:snapToGrid w:val="0"/>
        <w:spacing w:line="360" w:lineRule="auto"/>
        <w:ind w:firstLine="48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为确保西安浐灞国际港绿化养护工作整洁有序，不断改善人居环境，提升外在形象，依照《中华人民共和国民法典》及其他有关法律，行政法规，遵循平等、自愿、公平和诚实信用的原则，双方就本项目范围与相关服务事项协商一致，订立本合同。</w:t>
      </w:r>
    </w:p>
    <w:p w14:paraId="2CF23B41">
      <w:pPr>
        <w:keepNext w:val="0"/>
        <w:keepLines w:val="0"/>
        <w:pageBreakBefore w:val="0"/>
        <w:widowControl/>
        <w:shd w:val="clear"/>
        <w:kinsoku/>
        <w:wordWrap/>
        <w:overflowPunct/>
        <w:topLinePunct w:val="0"/>
        <w:autoSpaceDE w:val="0"/>
        <w:autoSpaceDN w:val="0"/>
        <w:bidi w:val="0"/>
        <w:adjustRightInd w:val="0"/>
        <w:snapToGrid w:val="0"/>
        <w:spacing w:line="360" w:lineRule="auto"/>
        <w:ind w:firstLine="422" w:firstLineChars="200"/>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bCs/>
          <w:color w:val="auto"/>
          <w:kern w:val="0"/>
          <w:sz w:val="21"/>
          <w:szCs w:val="21"/>
          <w:highlight w:val="none"/>
          <w:lang w:val="en-US" w:eastAsia="zh-CN" w:bidi="ar"/>
        </w:rPr>
        <w:t xml:space="preserve">第一条 项目概况 </w:t>
      </w:r>
    </w:p>
    <w:p w14:paraId="5FED025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u w:val="single"/>
          <w:lang w:val="en-US"/>
        </w:rPr>
      </w:pPr>
      <w:r>
        <w:rPr>
          <w:rFonts w:hint="eastAsia" w:ascii="宋体" w:hAnsi="宋体" w:eastAsia="宋体" w:cs="宋体"/>
          <w:color w:val="auto"/>
          <w:kern w:val="0"/>
          <w:sz w:val="21"/>
          <w:szCs w:val="21"/>
          <w:highlight w:val="none"/>
          <w:lang w:val="en-US" w:eastAsia="zh-CN" w:bidi="ar"/>
        </w:rPr>
        <w:t>1.项目名称：</w:t>
      </w:r>
      <w:r>
        <w:rPr>
          <w:rFonts w:hint="eastAsia" w:ascii="宋体" w:hAnsi="宋体" w:eastAsia="宋体" w:cs="宋体"/>
          <w:color w:val="auto"/>
          <w:kern w:val="0"/>
          <w:sz w:val="21"/>
          <w:szCs w:val="21"/>
          <w:highlight w:val="none"/>
          <w:u w:val="single"/>
          <w:lang w:val="en-US" w:eastAsia="zh-CN" w:bidi="ar"/>
        </w:rPr>
        <w:t xml:space="preserve">2026-2027年浐灞渭河岸线绿化养护服务项目（合同包3）  </w:t>
      </w:r>
    </w:p>
    <w:p w14:paraId="6298481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2.服务期：自合同签订之日起一年。自2026年 月  日起至2027年 月 日止。</w:t>
      </w:r>
    </w:p>
    <w:p w14:paraId="7CB55EA4">
      <w:pPr>
        <w:keepNext w:val="0"/>
        <w:keepLines w:val="0"/>
        <w:pageBreakBefore w:val="0"/>
        <w:widowControl/>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3.</w:t>
      </w:r>
      <w:r>
        <w:rPr>
          <w:rFonts w:hint="eastAsia" w:ascii="宋体" w:hAnsi="宋体" w:eastAsia="宋体" w:cs="宋体"/>
          <w:color w:val="auto"/>
          <w:sz w:val="21"/>
          <w:szCs w:val="21"/>
          <w:highlight w:val="none"/>
        </w:rPr>
        <w:t>绿</w:t>
      </w:r>
      <w:r>
        <w:rPr>
          <w:rFonts w:hint="eastAsia" w:ascii="宋体" w:hAnsi="宋体" w:eastAsia="宋体" w:cs="宋体"/>
          <w:color w:val="auto"/>
          <w:sz w:val="21"/>
          <w:szCs w:val="21"/>
          <w:highlight w:val="none"/>
          <w:lang w:val="en-US" w:eastAsia="zh-CN"/>
        </w:rPr>
        <w:t>地</w:t>
      </w:r>
      <w:r>
        <w:rPr>
          <w:rFonts w:hint="eastAsia" w:ascii="宋体" w:hAnsi="宋体" w:eastAsia="宋体" w:cs="宋体"/>
          <w:color w:val="auto"/>
          <w:sz w:val="21"/>
          <w:szCs w:val="21"/>
          <w:highlight w:val="none"/>
        </w:rPr>
        <w:t>养护管理范围</w:t>
      </w:r>
      <w:r>
        <w:rPr>
          <w:rFonts w:hint="eastAsia" w:ascii="宋体" w:hAnsi="宋体" w:eastAsia="宋体" w:cs="宋体"/>
          <w:color w:val="auto"/>
          <w:sz w:val="21"/>
          <w:szCs w:val="21"/>
          <w:highlight w:val="none"/>
          <w:lang w:val="en-US" w:eastAsia="zh-CN"/>
        </w:rPr>
        <w:t>及内容：2026-2027年浐灞渭河岸线绿化养护服务，主要包括：浐河两岸（欧亚一路至广安路）、浐河两岸（桃花潭至雁长交接）等区域约700000㎡绿地管理、养护工作。（详见附件一）。实施内容包括：（1）绿地浇水、除草、修剪、施肥、病虫害防治等日常养护工作；（2）绿地、园路、铺装广场的清扫保洁及养护范围内果皮箱、护栏、标牌等设施擦洗保洁工作；（3）绿地内果皮箱、护栏、标牌、健身器材、儿童游乐、桥梁等设施的巡检及维修、维护管理；（4）管理养护范围内的安全秩序巡查及应急抢险工作；（5）养护管理范围内其它相关工作。</w:t>
      </w:r>
    </w:p>
    <w:p w14:paraId="49E453E4">
      <w:pPr>
        <w:keepNext w:val="0"/>
        <w:keepLines w:val="0"/>
        <w:pageBreakBefore w:val="0"/>
        <w:widowControl/>
        <w:shd w:val="clear"/>
        <w:kinsoku/>
        <w:wordWrap/>
        <w:overflowPunct/>
        <w:topLinePunct w:val="0"/>
        <w:autoSpaceDE w:val="0"/>
        <w:autoSpaceDN w:val="0"/>
        <w:bidi w:val="0"/>
        <w:adjustRightInd w:val="0"/>
        <w:snapToGrid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 xml:space="preserve">第二条 </w:t>
      </w:r>
      <w:r>
        <w:rPr>
          <w:rFonts w:hint="eastAsia" w:ascii="宋体" w:hAnsi="宋体" w:eastAsia="宋体" w:cs="宋体"/>
          <w:b/>
          <w:color w:val="auto"/>
          <w:sz w:val="21"/>
          <w:szCs w:val="21"/>
          <w:highlight w:val="none"/>
        </w:rPr>
        <w:t>合同组成</w:t>
      </w:r>
    </w:p>
    <w:p w14:paraId="4B4AF657">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CN"/>
        </w:rPr>
        <w:t>下述文件是构成本合同不可分割的部分</w:t>
      </w:r>
      <w:r>
        <w:rPr>
          <w:rFonts w:hint="eastAsia" w:ascii="宋体" w:hAnsi="宋体" w:eastAsia="宋体" w:cs="宋体"/>
          <w:color w:val="auto"/>
          <w:sz w:val="21"/>
          <w:szCs w:val="21"/>
          <w:highlight w:val="none"/>
        </w:rPr>
        <w:t>:</w:t>
      </w:r>
    </w:p>
    <w:p w14:paraId="28C74DA7">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CN"/>
        </w:rPr>
        <w:t>本合同条款及其所有附件。</w:t>
      </w:r>
    </w:p>
    <w:p w14:paraId="2C20E4FB">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CN"/>
        </w:rPr>
        <w:t>甲方的</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及澄清文件。</w:t>
      </w:r>
    </w:p>
    <w:p w14:paraId="3F19E83B">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CN"/>
        </w:rPr>
        <w:t>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w:t>
      </w:r>
    </w:p>
    <w:p w14:paraId="1DD644D6">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lang w:val="zh-CN"/>
        </w:rPr>
        <w:t>通知书。</w:t>
      </w:r>
    </w:p>
    <w:p w14:paraId="6DDE0F7D">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zh-CN"/>
        </w:rPr>
        <w:t>法定代表人授权书。</w:t>
      </w:r>
    </w:p>
    <w:p w14:paraId="3B67B461">
      <w:pPr>
        <w:keepNext w:val="0"/>
        <w:keepLines w:val="0"/>
        <w:pageBreakBefore w:val="0"/>
        <w:shd w:val="clear"/>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（6）双方与合同有关的往来信函、传真经双方法定代表人或其授权代表签字并加盖单位公章确认后视为本合同的组成部分。</w:t>
      </w:r>
    </w:p>
    <w:p w14:paraId="062C80A4">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（7）经双方法定代表人或其授权代表签字并加盖单位公章确认的补充协议。</w:t>
      </w:r>
    </w:p>
    <w:p w14:paraId="1A4F6E6D">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CN"/>
        </w:rPr>
        <w:t>如果乙方的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文件及质疑解答文件内容违背或低于甲方</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要求或任何可能导致影响当次采购目的的情形，均应当被视为乙方自动放弃</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文件及质疑解答文件中相应部分而同意以</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相应内容为准。如果乙方的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文件及质疑解答文件内容高于甲方</w:t>
      </w:r>
      <w:r>
        <w:rPr>
          <w:rFonts w:hint="eastAsia" w:ascii="宋体" w:hAnsi="宋体" w:eastAsia="宋体" w:cs="宋体"/>
          <w:color w:val="auto"/>
          <w:sz w:val="21"/>
          <w:szCs w:val="21"/>
          <w:highlight w:val="none"/>
          <w:lang w:val="en-US" w:eastAsia="zh-CN"/>
        </w:rPr>
        <w:t>招标文件</w:t>
      </w:r>
      <w:r>
        <w:rPr>
          <w:rFonts w:hint="eastAsia" w:ascii="宋体" w:hAnsi="宋体" w:eastAsia="宋体" w:cs="宋体"/>
          <w:color w:val="auto"/>
          <w:sz w:val="21"/>
          <w:szCs w:val="21"/>
          <w:highlight w:val="none"/>
          <w:lang w:val="zh-CN"/>
        </w:rPr>
        <w:t>要求，则以乙方的</w:t>
      </w: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文件及质疑解答文件内容为准。如果合同条款与合同附件有矛盾之处，以合同条款内容为准。</w:t>
      </w:r>
      <w:r>
        <w:rPr>
          <w:rFonts w:hint="eastAsia" w:ascii="宋体" w:hAnsi="宋体" w:eastAsia="宋体" w:cs="宋体"/>
          <w:color w:val="auto"/>
          <w:sz w:val="21"/>
          <w:szCs w:val="21"/>
          <w:highlight w:val="none"/>
        </w:rPr>
        <w:t>如果合同附件之间有矛盾之处，以有利于甲方的附件内容为准。</w:t>
      </w:r>
    </w:p>
    <w:p w14:paraId="24D4601C">
      <w:pPr>
        <w:keepNext w:val="0"/>
        <w:keepLines w:val="0"/>
        <w:pageBreakBefore w:val="0"/>
        <w:shd w:val="clear"/>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76024BF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第三条 质量内容及质量标准</w:t>
      </w:r>
    </w:p>
    <w:p w14:paraId="0D9FCF4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绿化养护质量应达到国家及行业标准，并满足国家、省、市绿化养护相关文件标准及《西安浐灞国际港园林绿化养护管理标准》（附件二）、《西安浐灞国际港绿地管护工作考评办法》（附件五）</w:t>
      </w:r>
    </w:p>
    <w:p w14:paraId="6F873AAE">
      <w:pPr>
        <w:keepNext w:val="0"/>
        <w:keepLines w:val="0"/>
        <w:pageBreakBefore w:val="0"/>
        <w:widowControl/>
        <w:suppressLineNumbers w:val="0"/>
        <w:shd w:val="clear"/>
        <w:kinsoku/>
        <w:wordWrap/>
        <w:overflowPunct/>
        <w:topLinePunct w:val="0"/>
        <w:bidi w:val="0"/>
        <w:adjustRightInd w:val="0"/>
        <w:snapToGrid w:val="0"/>
        <w:spacing w:line="360" w:lineRule="auto"/>
        <w:ind w:firstLine="422"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第四条 合同价款</w:t>
      </w:r>
    </w:p>
    <w:p w14:paraId="52003385">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1.本合同暂定总价：小写(￥)：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元；大写（人民币）：</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元，包括养护费用总价款暂定为：小写(￥)：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元；大写（人民币）：</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元，预留金：</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w:t>
      </w:r>
    </w:p>
    <w:p w14:paraId="7698E824">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全费用单价：</w:t>
      </w:r>
      <w:r>
        <w:rPr>
          <w:rFonts w:hint="eastAsia" w:ascii="宋体" w:hAnsi="宋体" w:eastAsia="宋体" w:cs="宋体"/>
          <w:bCs w:val="0"/>
          <w:color w:val="auto"/>
          <w:kern w:val="0"/>
          <w:sz w:val="21"/>
          <w:szCs w:val="21"/>
          <w:highlight w:val="none"/>
          <w:lang w:val="en-US" w:eastAsia="zh-CN" w:bidi="ar-SA"/>
        </w:rPr>
        <w:t>一级：</w:t>
      </w:r>
      <w:r>
        <w:rPr>
          <w:rFonts w:hint="eastAsia" w:ascii="宋体" w:hAnsi="宋体" w:eastAsia="宋体" w:cs="宋体"/>
          <w:bCs w:val="0"/>
          <w:color w:val="auto"/>
          <w:kern w:val="0"/>
          <w:sz w:val="21"/>
          <w:szCs w:val="21"/>
          <w:highlight w:val="none"/>
          <w:u w:val="single"/>
          <w:lang w:val="en-US" w:eastAsia="zh-CN" w:bidi="ar-SA"/>
        </w:rPr>
        <w:t xml:space="preserve">     </w:t>
      </w:r>
      <w:r>
        <w:rPr>
          <w:rFonts w:hint="eastAsia" w:ascii="宋体" w:hAnsi="宋体" w:eastAsia="宋体" w:cs="宋体"/>
          <w:bCs w:val="0"/>
          <w:color w:val="auto"/>
          <w:kern w:val="0"/>
          <w:sz w:val="21"/>
          <w:szCs w:val="21"/>
          <w:highlight w:val="none"/>
          <w:lang w:val="en-US" w:eastAsia="zh-CN" w:bidi="ar-SA"/>
        </w:rPr>
        <w:t>元/㎡</w:t>
      </w:r>
      <w:r>
        <w:rPr>
          <w:rFonts w:hint="eastAsia" w:ascii="宋体" w:hAnsi="宋体" w:eastAsia="宋体" w:cs="宋体"/>
          <w:b w:val="0"/>
          <w:bCs w:val="0"/>
          <w:color w:val="auto"/>
          <w:kern w:val="0"/>
          <w:sz w:val="24"/>
          <w:szCs w:val="24"/>
          <w:highlight w:val="none"/>
          <w:u w:val="none"/>
          <w:lang w:val="en-US" w:eastAsia="zh-CN" w:bidi="ar"/>
        </w:rPr>
        <w:t>/年</w:t>
      </w:r>
      <w:r>
        <w:rPr>
          <w:rFonts w:hint="eastAsia" w:ascii="宋体" w:hAnsi="宋体" w:eastAsia="宋体" w:cs="宋体"/>
          <w:bCs w:val="0"/>
          <w:color w:val="auto"/>
          <w:kern w:val="0"/>
          <w:sz w:val="21"/>
          <w:szCs w:val="21"/>
          <w:highlight w:val="none"/>
          <w:lang w:val="en-US" w:eastAsia="zh-CN" w:bidi="ar-SA"/>
        </w:rPr>
        <w:t>；二级：</w:t>
      </w:r>
      <w:r>
        <w:rPr>
          <w:rFonts w:hint="eastAsia" w:ascii="宋体" w:hAnsi="宋体" w:eastAsia="宋体" w:cs="宋体"/>
          <w:bCs w:val="0"/>
          <w:color w:val="auto"/>
          <w:kern w:val="0"/>
          <w:sz w:val="21"/>
          <w:szCs w:val="21"/>
          <w:highlight w:val="none"/>
          <w:u w:val="single"/>
          <w:lang w:val="en-US" w:eastAsia="zh-CN" w:bidi="ar-SA"/>
        </w:rPr>
        <w:t xml:space="preserve">     </w:t>
      </w:r>
      <w:r>
        <w:rPr>
          <w:rFonts w:hint="eastAsia" w:ascii="宋体" w:hAnsi="宋体" w:eastAsia="宋体" w:cs="宋体"/>
          <w:bCs w:val="0"/>
          <w:color w:val="auto"/>
          <w:kern w:val="0"/>
          <w:sz w:val="21"/>
          <w:szCs w:val="21"/>
          <w:highlight w:val="none"/>
          <w:lang w:val="en-US" w:eastAsia="zh-CN" w:bidi="ar-SA"/>
        </w:rPr>
        <w:t>元/㎡</w:t>
      </w:r>
      <w:r>
        <w:rPr>
          <w:rFonts w:hint="eastAsia" w:ascii="宋体" w:hAnsi="宋体" w:eastAsia="宋体" w:cs="宋体"/>
          <w:b w:val="0"/>
          <w:bCs w:val="0"/>
          <w:color w:val="auto"/>
          <w:kern w:val="0"/>
          <w:sz w:val="24"/>
          <w:szCs w:val="24"/>
          <w:highlight w:val="none"/>
          <w:u w:val="none"/>
          <w:lang w:val="en-US" w:eastAsia="zh-CN" w:bidi="ar"/>
        </w:rPr>
        <w:t>/年</w:t>
      </w:r>
      <w:r>
        <w:rPr>
          <w:rFonts w:hint="eastAsia" w:ascii="宋体" w:hAnsi="宋体" w:eastAsia="宋体" w:cs="宋体"/>
          <w:b w:val="0"/>
          <w:bCs w:val="0"/>
          <w:color w:val="auto"/>
          <w:kern w:val="0"/>
          <w:sz w:val="21"/>
          <w:szCs w:val="21"/>
          <w:highlight w:val="none"/>
          <w:u w:val="none"/>
          <w:lang w:val="en-US" w:eastAsia="zh-CN" w:bidi="ar"/>
        </w:rPr>
        <w:t>。</w:t>
      </w:r>
    </w:p>
    <w:p w14:paraId="6C50548A">
      <w:pPr>
        <w:keepNext w:val="0"/>
        <w:keepLines w:val="0"/>
        <w:pageBreakBefore w:val="0"/>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2.合同形式：</w:t>
      </w:r>
      <w:r>
        <w:rPr>
          <w:rFonts w:hint="eastAsia" w:ascii="宋体" w:hAnsi="宋体" w:eastAsia="宋体" w:cs="宋体"/>
          <w:color w:val="auto"/>
          <w:sz w:val="21"/>
          <w:szCs w:val="21"/>
          <w:highlight w:val="none"/>
          <w:u w:val="none"/>
          <w:lang w:val="en-US" w:eastAsia="zh-CN"/>
        </w:rPr>
        <w:t xml:space="preserve">固定单价合同 </w:t>
      </w:r>
    </w:p>
    <w:p w14:paraId="61DC150E">
      <w:pPr>
        <w:keepNext w:val="0"/>
        <w:keepLines w:val="0"/>
        <w:pageBreakBefore w:val="0"/>
        <w:widowControl/>
        <w:shd w:val="clear"/>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单价为本次服务要求内容且验收合格的所有费用,报价包括招标范围内绿地养护费用：绿地、园路、铺装广场、果皮箱、护栏、标牌等设施保洁及垃圾清运费用、绿地巡查及日常管理费用、人工、材料、机械、管理费、招标代理服务费、利润、规费、税金及市场浮动风险等所需的全部费用。任何错报、漏报由供应商自行负责，结算时不再做任何调整，</w:t>
      </w:r>
      <w:r>
        <w:rPr>
          <w:rFonts w:hint="eastAsia" w:ascii="宋体" w:hAnsi="宋体" w:eastAsia="宋体" w:cs="宋体"/>
          <w:color w:val="auto"/>
          <w:kern w:val="0"/>
          <w:sz w:val="21"/>
          <w:szCs w:val="21"/>
          <w:highlight w:val="none"/>
          <w:lang w:val="en-US" w:eastAsia="zh-CN" w:bidi="ar"/>
        </w:rPr>
        <w:t>具体单价明细详见附件一。</w:t>
      </w:r>
    </w:p>
    <w:p w14:paraId="7A3FF56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3.本合同总价包括合同执行期间新增养护面积产生费用及其他费用。</w:t>
      </w:r>
    </w:p>
    <w:p w14:paraId="030D604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（1）新增面积：以甲方下发的进场通知单为准。新增费用：以进场通知单确定的时间、等级、标准，参照投标文件确定的价格，核定新增面积费用。</w:t>
      </w:r>
    </w:p>
    <w:p w14:paraId="78F81D2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2）其他费用：包括公园广场水电费、设施维修费、补栽苗木主材等,以甲方下发的派工单、通知单等其他文件为准，若有涉及相关工程类事项，单价采用固定全费用单价模式，费用按差价模式计算，按《陕西省建设工程工程量清单计价规则》（2009版）、《陕西省建筑工程、安装工程、装饰工程、市政工程、园林绿化工程消耗量定额》（2004版）及陕西省2009年价目表，人工、机械、管理费、利润、规费、税金等按当期最新计价文件规定执行，钢材、商品砼、砂浆、砂、石子、石灰、水泥、砌块采用投标当期《陕西工程造价信息》进行计算，其余材料及设备采用市场询价，双方共同确认。</w:t>
      </w:r>
    </w:p>
    <w:p w14:paraId="32345F3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第五条 付款方式及付款依据</w:t>
      </w:r>
    </w:p>
    <w:p w14:paraId="0508F56B">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1.结算方式:</w:t>
      </w:r>
    </w:p>
    <w:p w14:paraId="57EDA664">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1)预付款支付条款:无</w:t>
      </w:r>
    </w:p>
    <w:p w14:paraId="02E6231B">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2)剩余款项支付条款:</w:t>
      </w:r>
    </w:p>
    <w:p w14:paraId="53B89693">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每季度末，乙方向甲方申报本季度养护费用，包含既有面积养护、新增面积养护，甲方核定完成后，支付本次核定费用的90%。</w:t>
      </w:r>
    </w:p>
    <w:p w14:paraId="77741F04">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每半年乙方申报一次使用预留金的新增工作内容的费用，按照甲方出具的结算报告的金额100%支付。</w:t>
      </w:r>
    </w:p>
    <w:p w14:paraId="2292A6B4">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以上季度、半年计算方法为:自合同生效之日起，计算。如:2026年8月11日至2026年11月10日为一个季度。</w:t>
      </w:r>
    </w:p>
    <w:p w14:paraId="08B6F893">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合同期结束，甲乙双方对所有完成内容进行结算，并支付剩余费用。</w:t>
      </w:r>
    </w:p>
    <w:p w14:paraId="198F3CB9">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2.付款依据:</w:t>
      </w:r>
    </w:p>
    <w:p w14:paraId="173D348F">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default" w:ascii="宋体" w:hAnsi="宋体" w:eastAsia="宋体" w:cs="宋体"/>
          <w:i w:val="0"/>
          <w:iCs w:val="0"/>
          <w:caps w:val="0"/>
          <w:color w:val="auto"/>
          <w:spacing w:val="0"/>
          <w:kern w:val="0"/>
          <w:sz w:val="21"/>
          <w:szCs w:val="21"/>
          <w:highlight w:val="none"/>
          <w:u w:val="none"/>
          <w:lang w:val="en-US" w:eastAsia="zh-CN" w:bidi="ar-SA"/>
        </w:rPr>
        <w:t>①</w:t>
      </w:r>
      <w:r>
        <w:rPr>
          <w:rFonts w:hint="eastAsia" w:ascii="宋体" w:hAnsi="宋体" w:eastAsia="宋体" w:cs="宋体"/>
          <w:i w:val="0"/>
          <w:iCs w:val="0"/>
          <w:caps w:val="0"/>
          <w:color w:val="auto"/>
          <w:spacing w:val="0"/>
          <w:kern w:val="0"/>
          <w:sz w:val="21"/>
          <w:szCs w:val="21"/>
          <w:highlight w:val="none"/>
          <w:u w:val="none"/>
          <w:lang w:val="en-US" w:eastAsia="zh-CN" w:bidi="ar-SA"/>
        </w:rPr>
        <w:t>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383B39A8">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②甲方通过银行转账方式支付相应款项，乙方若变更收款账户的，应在甲方付款前至少提前15天以书面形式通知甲方，否则相关法律后果均由乙方自行承担。</w:t>
      </w:r>
    </w:p>
    <w:p w14:paraId="23256D8F">
      <w:pPr>
        <w:keepNext w:val="0"/>
        <w:keepLines w:val="0"/>
        <w:pageBreakBefore w:val="0"/>
        <w:widowControl/>
        <w:suppressLineNumbers w:val="0"/>
        <w:shd w:val="clear"/>
        <w:kinsoku/>
        <w:wordWrap/>
        <w:overflowPunct/>
        <w:topLinePunct w:val="0"/>
        <w:bidi w:val="0"/>
        <w:adjustRightInd w:val="0"/>
        <w:snapToGrid w:val="0"/>
        <w:spacing w:line="360" w:lineRule="auto"/>
        <w:ind w:firstLine="422" w:firstLineChars="200"/>
        <w:jc w:val="left"/>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第六条 其他约定</w:t>
      </w:r>
    </w:p>
    <w:p w14:paraId="4026F323">
      <w:pPr>
        <w:keepNext w:val="0"/>
        <w:keepLines w:val="0"/>
        <w:pageBreakBefore w:val="0"/>
        <w:widowControl/>
        <w:shd w:val="clear"/>
        <w:kinsoku/>
        <w:wordWrap/>
        <w:overflowPunct/>
        <w:topLinePunct w:val="0"/>
        <w:autoSpaceDE/>
        <w:autoSpaceDN/>
        <w:bidi w:val="0"/>
        <w:spacing w:line="360" w:lineRule="auto"/>
        <w:ind w:firstLine="420" w:firstLineChars="200"/>
        <w:rPr>
          <w:rFonts w:hint="eastAsia" w:ascii="宋体" w:hAnsi="宋体" w:eastAsia="宋体" w:cs="宋体"/>
          <w:i w:val="0"/>
          <w:iCs w:val="0"/>
          <w:caps w:val="0"/>
          <w:color w:val="auto"/>
          <w:spacing w:val="0"/>
          <w:kern w:val="0"/>
          <w:sz w:val="21"/>
          <w:szCs w:val="21"/>
          <w:highlight w:val="none"/>
          <w:u w:val="none"/>
          <w:lang w:val="en-US" w:eastAsia="zh-CN" w:bidi="ar-SA"/>
        </w:rPr>
      </w:pPr>
      <w:r>
        <w:rPr>
          <w:rFonts w:hint="eastAsia" w:ascii="宋体" w:hAnsi="宋体" w:eastAsia="宋体" w:cs="宋体"/>
          <w:i w:val="0"/>
          <w:iCs w:val="0"/>
          <w:caps w:val="0"/>
          <w:color w:val="auto"/>
          <w:spacing w:val="0"/>
          <w:kern w:val="0"/>
          <w:sz w:val="21"/>
          <w:szCs w:val="21"/>
          <w:highlight w:val="none"/>
          <w:u w:val="none"/>
          <w:lang w:val="en-US" w:eastAsia="zh-CN" w:bidi="ar-SA"/>
        </w:rPr>
        <w:t>合同期限届满后，双方进行结算审计，结算审计过程中，乙方须无条件配合，基本审计费由甲方承担，审计成果费由乙方承担，具体费用以造价咨询合同为准。</w:t>
      </w:r>
    </w:p>
    <w:p w14:paraId="7821B0A6">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第七条 合同双方的权利与义务 </w:t>
      </w:r>
    </w:p>
    <w:p w14:paraId="3B79697B">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（一）甲方权利与义务</w:t>
      </w:r>
    </w:p>
    <w:p w14:paraId="379DE2E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1.甲方有义务明确乙方工作责任范围。</w:t>
      </w:r>
    </w:p>
    <w:p w14:paraId="5BA6560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2.甲方按照《西安浐灞国际港园林绿化养护管理标准》对乙方绿地养护工作进行考核，乙方应按照甲方制定的标准开展相关工作。</w:t>
      </w:r>
    </w:p>
    <w:p w14:paraId="0B17862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3.甲方有权要求乙方制定相关管理计划、管理办法及管理制度等，切实做好本项目养护管理工作。</w:t>
      </w:r>
    </w:p>
    <w:p w14:paraId="71C66F8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4.甲方可随时对乙方绿化养护管理工作进行抽查，发现问题的，有权限期要求乙方整改。</w:t>
      </w:r>
    </w:p>
    <w:p w14:paraId="537FFE3B">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5.为使本合同顺利履行，在职责范围内协调解决乙方绿化养护工作所需的水、电等配套设施。</w:t>
      </w:r>
    </w:p>
    <w:p w14:paraId="373A2B2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6.负责指定专人对乙方工作进行监督和检查，及时组织验收。</w:t>
      </w:r>
    </w:p>
    <w:p w14:paraId="31D8CDFB">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7.在合同后期履行过程中，因养护标准、人数配置等发生变化的，甲方应据实增加相关费用，双方协商一致后，另行签订补充协议予以确定。 </w:t>
      </w:r>
    </w:p>
    <w:p w14:paraId="6F36CED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8.甲方有权对乙方提交的补栽、维修清单进行审核确认。</w:t>
      </w:r>
    </w:p>
    <w:p w14:paraId="3B1CA37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9.对于本合同约定范围外的工作内容，甲方应提前书面告知乙方，同时组织相关单位对现场进行移交，确定工作区域及标准，交接管护日期以甲方书面通知日期为准。</w:t>
      </w:r>
    </w:p>
    <w:p w14:paraId="5049F97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10.甲方按照合同约定及时向乙方付款。</w:t>
      </w:r>
    </w:p>
    <w:p w14:paraId="46FDDA6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sz w:val="21"/>
          <w:szCs w:val="21"/>
          <w:highlight w:val="none"/>
          <w:lang w:val="en-US"/>
        </w:rPr>
      </w:pPr>
      <w:r>
        <w:rPr>
          <w:rFonts w:hint="eastAsia" w:ascii="宋体" w:hAnsi="宋体" w:eastAsia="宋体" w:cs="宋体"/>
          <w:b/>
          <w:bCs/>
          <w:color w:val="auto"/>
          <w:kern w:val="0"/>
          <w:sz w:val="21"/>
          <w:szCs w:val="21"/>
          <w:highlight w:val="none"/>
          <w:lang w:val="en-US" w:eastAsia="zh-CN" w:bidi="ar"/>
        </w:rPr>
        <w:t>（二）乙方权利与义务</w:t>
      </w:r>
    </w:p>
    <w:p w14:paraId="18DA41B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1.乙方应严格按照《西安浐灞国际港园林绿化养护管理标准》，开展相关工作。</w:t>
      </w:r>
    </w:p>
    <w:p w14:paraId="2604B1CB">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2.乙方应加强日常管理，编制工作方案，制定工作计划，加强日常巡检对存在问题及时整改，对重点区域实行专人负责制。</w:t>
      </w:r>
    </w:p>
    <w:p w14:paraId="1B318B1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3.乙方应按照甲方的要求配合完成上级部门检查考核等工作。</w:t>
      </w:r>
    </w:p>
    <w:p w14:paraId="5C4FA2E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4.如遇市、区重大活动和节日庆典，乙方应无条件按照甲方要求，完成绿化养护保障相关工作。</w:t>
      </w:r>
    </w:p>
    <w:p w14:paraId="41E530EB">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乙方应确保合同约定范围内绿地的养护工作的正常进行，确保按时完成养护绿地范围内各类苗木的修剪、清掏、补栽、浇灌、施肥、病虫害防治等工作。及时清理死苗，在绿化季内进行补植，补种同类苗木，并加强养护管理措施，保证补植成活率。</w:t>
      </w:r>
    </w:p>
    <w:p w14:paraId="41D714F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6.乙方应做好绿地内座椅、园林绿化景观小品、广场硬铺装等公用设施的管护工作，确保干净整洁、无破损。如需更换维修的，需书面报送甲方同意后，再进行维修更换。</w:t>
      </w:r>
    </w:p>
    <w:p w14:paraId="6209183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7.乙方应按照市、区安全生产管理要求，履行安全生产主体责任，确保全年无重大安全事故。</w:t>
      </w:r>
    </w:p>
    <w:p w14:paraId="736DF6B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8.乙方应提供补栽、维修计划，待甲方确认后及时实施。</w:t>
      </w:r>
    </w:p>
    <w:p w14:paraId="52CFDA2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第八条 验收考核及处罚</w:t>
      </w:r>
    </w:p>
    <w:p w14:paraId="1CA6C98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1.甲方根据本合同第三条约定的质量标准进行验收、考核，验收、考核存在问题的，有权要求乙方限期整改。</w:t>
      </w:r>
    </w:p>
    <w:p w14:paraId="4373ED6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本合同期限内，甲方根据国家、省、市、区绿地养护相关文件、标准，按照《西安浐灞国际港绿地管护工作考评办法》（详见附件五）每月对乙方（按照《西安浐灞国际港绿化养护管理手册》管理要求划分养护单位）工作实施考核、验收，并对检查结果进行通报，相关考核扣款从当季进度款支付中扣除。</w:t>
      </w:r>
    </w:p>
    <w:p w14:paraId="3B2064B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乙方项目经理或管理人员在工作中出现推诿扯皮，态度消极，各项工作落实不及时不到位等不符合甲方要求的行为，甲方有权通知乙方更换项目经理及相关管理人员，乙方收到更换人员通知后10天内无条件完成更换，未按期更换的按照2万元/月/人的标准进行扣款，费用直接从当季进度款支付中扣除。</w:t>
      </w:r>
    </w:p>
    <w:p w14:paraId="6DD48B4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乙方项目经理要求人证合一，按时上岗，出现脱岗、顶岗的发现一次，单次处罚1万元，项目经理若有事外出须出示书面请假于甲方批准方可外出，对私自外出或离岗而未完成请假手续的个人每次1万元经济处罚。</w:t>
      </w:r>
    </w:p>
    <w:p w14:paraId="685CB9B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5.乙方项目经理及主要管理人员电话须保持24小时畅通，对电话无故失联的对失联人进行约谈警告，因失联造成应急、抢险等工作延误被相关部门督办的每次处罚2万元经济处罚并承担全部责任，处罚罚款在季度养护费用中扣除。同时启动更换项目经理流程。</w:t>
      </w:r>
    </w:p>
    <w:p w14:paraId="23E9BB4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6.乙方必须配备持证专职安全管理人员。严禁兼职挂靠，缺证缺人、对因缺证缺人造成的隐患投诉和安全事故发生处每次1至5万元的经济处罚，罚款在当季度进度中款扣除。</w:t>
      </w:r>
    </w:p>
    <w:p w14:paraId="238C6E4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7.在绿化养护月度考核验收中，第一次出现排名后三且考评为差（月度考评成绩70分以下）的养护单元，对乙方单位公司领导及项目经理进行约谈，对养护单元管理负责人及主要管理人员进行提醒警告。</w:t>
      </w:r>
    </w:p>
    <w:p w14:paraId="1E6D286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8.在绿化养护月度考核验收中，累计两次出现排名后三且考评为差（月度考评成绩70分以下）的养护单元，甲方可要求乙方更换养护单元管理负责人及主要管理人员。</w:t>
      </w:r>
    </w:p>
    <w:p w14:paraId="0D0AEFA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9.在绿化养护月度考核验收中，累计三次排名后三且考评为差（月度考评成绩70分以下）的养护单元，甲方有权单方解除该养护单元养护关系，委托其它单位负责该单元养护工作。</w:t>
      </w:r>
    </w:p>
    <w:p w14:paraId="3A8D6FD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kern w:val="0"/>
          <w:sz w:val="21"/>
          <w:szCs w:val="21"/>
          <w:highlight w:val="none"/>
          <w:lang w:val="en-US" w:eastAsia="zh-CN" w:bidi="ar"/>
        </w:rPr>
        <w:t>第九条 违约责任</w:t>
      </w:r>
    </w:p>
    <w:p w14:paraId="4AF33B7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1.乙方未按合同约定达到绿化养护工作目标，或养护管理不到位，养护质量不合格，未达到相应的工作考核要求的，甲方按照合同第十条进行考核及处罚。</w:t>
      </w:r>
    </w:p>
    <w:p w14:paraId="3C13818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第十条 合同解除条款 </w:t>
      </w:r>
    </w:p>
    <w:p w14:paraId="26FDD7A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1.本合同期限内，乙方有下列行为之一的，甲方有权单方解除本合同：</w:t>
      </w:r>
    </w:p>
    <w:p w14:paraId="24C1822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（1）因乙方原因造成社会不良影响的；</w:t>
      </w:r>
    </w:p>
    <w:p w14:paraId="7256EED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（2）因乙方原因造成社会不稳定因素的；</w:t>
      </w:r>
    </w:p>
    <w:p w14:paraId="1C0E47D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（3）乙方在重大活动或接待工作中不听甲方指挥安排的。</w:t>
      </w:r>
    </w:p>
    <w:p w14:paraId="1E35FC7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（4）乙方未按甲方要求或《西安浐灞国际港园林绿化养护管理标准》服务，经甲方提出后逾期整改或拒绝整改的；</w:t>
      </w:r>
    </w:p>
    <w:p w14:paraId="276F70E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color w:val="auto"/>
          <w:highlight w:val="none"/>
          <w:lang w:val="en-US" w:eastAsia="zh-CN"/>
        </w:rPr>
      </w:pPr>
      <w:r>
        <w:rPr>
          <w:rFonts w:hint="eastAsia" w:ascii="宋体" w:hAnsi="宋体" w:eastAsia="宋体" w:cs="宋体"/>
          <w:color w:val="auto"/>
          <w:kern w:val="0"/>
          <w:sz w:val="21"/>
          <w:szCs w:val="21"/>
          <w:highlight w:val="none"/>
          <w:lang w:val="en-US" w:eastAsia="zh-CN" w:bidi="ar"/>
        </w:rPr>
        <w:t>（5）未经甲方书面同意擅自分包或转包的；</w:t>
      </w:r>
    </w:p>
    <w:p w14:paraId="6EE3F3EC">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乙方具有上述行为之一的，应当在收到甲方《单方解除合同通知书》后，本合同自动解除。甲方应按照合同约定根据乙方实际工作情况据实结算并支付相应费用。</w:t>
      </w:r>
    </w:p>
    <w:p w14:paraId="4CA3C2FC">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合同期限内，任何一方的违约行为导致本合同解除，给守约方造成经济损失的，违约方应按照约定绿化养护管理费用总额的10%向守约方支付违约金，并赔偿由此造成的经济损失，赔偿范围包括但不限于诉讼费、鉴定费、执行费、律师服务费，以及守约方维权过程中所产生的交通食宿费等合理的经济损失。</w:t>
      </w:r>
    </w:p>
    <w:p w14:paraId="1AD0C939">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3.因一方违约或不可抗力导致本合同不能继续履行，另一方有权解除合同，并应在上述事项发生后三十天内书面通知对方，本合同在解除通知送达对方的同时自行解除。</w:t>
      </w:r>
    </w:p>
    <w:p w14:paraId="267A9BE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第十一条 争议解决条款</w:t>
      </w:r>
    </w:p>
    <w:p w14:paraId="6CD8A3B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本合同履行过程中发生争议的，双方应友好协商解决，协商不成的，任何一方均有权向合同履行地（西安市灞桥区）有管辖权的人民法院起诉。</w:t>
      </w:r>
    </w:p>
    <w:p w14:paraId="04F0F604">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第十二条 监督和管理 </w:t>
      </w:r>
    </w:p>
    <w:p w14:paraId="74673E7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1.政府采购合同履行中，甲方需追加与合同标的相同服务的，在不改变合同其他条款的前提下，可以与乙方协商签订补充合同，但所有补充合同的采购金额不得超过原合同采购金额的百分之十。 </w:t>
      </w:r>
    </w:p>
    <w:p w14:paraId="6E6395F5">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2.甲乙双方均应自觉配合有关监督管理部门对合同履行情况的监督检查，如实反映情况，提供有关资料；否则，将对有关单位、当事人按照有关规定予以处罚。</w:t>
      </w:r>
    </w:p>
    <w:p w14:paraId="78EED42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lang w:val="en-US" w:eastAsia="zh-CN" w:bidi="ar"/>
        </w:rPr>
        <w:t xml:space="preserve">第十三条 不可抗力 </w:t>
      </w:r>
    </w:p>
    <w:p w14:paraId="47BCB637">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w:t>
      </w:r>
    </w:p>
    <w:p w14:paraId="08EC78EA">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 xml:space="preserve">第十四条 合同订立 </w:t>
      </w:r>
    </w:p>
    <w:p w14:paraId="46EDF0C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1.订立时间：</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年</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月</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日。 </w:t>
      </w:r>
    </w:p>
    <w:p w14:paraId="035168B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2.订立地点：</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w:t>
      </w:r>
    </w:p>
    <w:p w14:paraId="5B6667F1">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3.本合同自双方签字、盖章之日起生效，合同文本一式</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份，甲乙双方各执</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份，具同等法律效力。</w:t>
      </w:r>
    </w:p>
    <w:p w14:paraId="126782D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4.本合同附件是本合同的组成部分，与本合同具有同等法律效力，包括：</w:t>
      </w:r>
    </w:p>
    <w:p w14:paraId="3DC2B2D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附件一：XX 年度绿化养护工作内容及费用明细</w:t>
      </w:r>
    </w:p>
    <w:p w14:paraId="1E8546AE">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附件二：西安浐灞国际港园林绿化养护管理标准</w:t>
      </w:r>
    </w:p>
    <w:p w14:paraId="311240F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附件三：本项目的人员配置情况表</w:t>
      </w:r>
    </w:p>
    <w:p w14:paraId="0CF89712">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附件四：投入机械设备情况表</w:t>
      </w:r>
    </w:p>
    <w:p w14:paraId="1E371453">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附件五：西安浐灞国际港绿地管护工作考评办法</w:t>
      </w:r>
    </w:p>
    <w:p w14:paraId="592593E8">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附件六：西安浐灞国际港绿化养护管理手册</w:t>
      </w:r>
    </w:p>
    <w:p w14:paraId="6772D480">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（以下无正文）</w:t>
      </w:r>
    </w:p>
    <w:p w14:paraId="09F4106D">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p>
    <w:p w14:paraId="2FEA957F">
      <w:pPr>
        <w:keepNext w:val="0"/>
        <w:keepLines w:val="0"/>
        <w:pageBreakBefore w:val="0"/>
        <w:widowControl/>
        <w:suppressLineNumbers w:val="0"/>
        <w:shd w:val="clear"/>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bidi="ar"/>
        </w:rPr>
      </w:pPr>
    </w:p>
    <w:tbl>
      <w:tblPr>
        <w:tblStyle w:val="5"/>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60278051">
        <w:tblPrEx>
          <w:tblCellMar>
            <w:top w:w="0" w:type="dxa"/>
            <w:left w:w="108" w:type="dxa"/>
            <w:bottom w:w="0" w:type="dxa"/>
            <w:right w:w="108" w:type="dxa"/>
          </w:tblCellMar>
        </w:tblPrEx>
        <w:trPr>
          <w:trHeight w:val="454" w:hRule="atLeast"/>
        </w:trPr>
        <w:tc>
          <w:tcPr>
            <w:tcW w:w="4201" w:type="dxa"/>
            <w:vAlign w:val="center"/>
          </w:tcPr>
          <w:p w14:paraId="179A91B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w:t>
            </w:r>
          </w:p>
        </w:tc>
        <w:tc>
          <w:tcPr>
            <w:tcW w:w="4202" w:type="dxa"/>
            <w:vAlign w:val="center"/>
          </w:tcPr>
          <w:p w14:paraId="4066EB8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  方</w:t>
            </w:r>
          </w:p>
        </w:tc>
      </w:tr>
      <w:tr w14:paraId="260F805D">
        <w:tblPrEx>
          <w:tblCellMar>
            <w:top w:w="0" w:type="dxa"/>
            <w:left w:w="108" w:type="dxa"/>
            <w:bottom w:w="0" w:type="dxa"/>
            <w:right w:w="108" w:type="dxa"/>
          </w:tblCellMar>
        </w:tblPrEx>
        <w:trPr>
          <w:trHeight w:val="454" w:hRule="atLeast"/>
        </w:trPr>
        <w:tc>
          <w:tcPr>
            <w:tcW w:w="4201" w:type="dxa"/>
            <w:vAlign w:val="center"/>
          </w:tcPr>
          <w:p w14:paraId="2E22D0A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c>
          <w:tcPr>
            <w:tcW w:w="4202" w:type="dxa"/>
            <w:vAlign w:val="center"/>
          </w:tcPr>
          <w:p w14:paraId="2B5B762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r>
      <w:tr w14:paraId="26860688">
        <w:tblPrEx>
          <w:tblCellMar>
            <w:top w:w="0" w:type="dxa"/>
            <w:left w:w="108" w:type="dxa"/>
            <w:bottom w:w="0" w:type="dxa"/>
            <w:right w:w="108" w:type="dxa"/>
          </w:tblCellMar>
        </w:tblPrEx>
        <w:trPr>
          <w:trHeight w:val="454" w:hRule="atLeast"/>
        </w:trPr>
        <w:tc>
          <w:tcPr>
            <w:tcW w:w="4201" w:type="dxa"/>
            <w:vAlign w:val="center"/>
          </w:tcPr>
          <w:p w14:paraId="0B0107F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p>
        </w:tc>
        <w:tc>
          <w:tcPr>
            <w:tcW w:w="4202" w:type="dxa"/>
            <w:vAlign w:val="center"/>
          </w:tcPr>
          <w:p w14:paraId="68D18DF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tc>
      </w:tr>
      <w:tr w14:paraId="681FEBBE">
        <w:tblPrEx>
          <w:tblCellMar>
            <w:top w:w="0" w:type="dxa"/>
            <w:left w:w="108" w:type="dxa"/>
            <w:bottom w:w="0" w:type="dxa"/>
            <w:right w:w="108" w:type="dxa"/>
          </w:tblCellMar>
        </w:tblPrEx>
        <w:trPr>
          <w:trHeight w:val="454" w:hRule="atLeast"/>
        </w:trPr>
        <w:tc>
          <w:tcPr>
            <w:tcW w:w="4201" w:type="dxa"/>
            <w:vAlign w:val="center"/>
          </w:tcPr>
          <w:p w14:paraId="4596C5C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c>
          <w:tcPr>
            <w:tcW w:w="4202" w:type="dxa"/>
            <w:vAlign w:val="center"/>
          </w:tcPr>
          <w:p w14:paraId="4AEE7AD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r>
      <w:tr w14:paraId="4ED465A9">
        <w:tblPrEx>
          <w:tblCellMar>
            <w:top w:w="0" w:type="dxa"/>
            <w:left w:w="108" w:type="dxa"/>
            <w:bottom w:w="0" w:type="dxa"/>
            <w:right w:w="108" w:type="dxa"/>
          </w:tblCellMar>
        </w:tblPrEx>
        <w:trPr>
          <w:trHeight w:val="454" w:hRule="atLeast"/>
        </w:trPr>
        <w:tc>
          <w:tcPr>
            <w:tcW w:w="4201" w:type="dxa"/>
            <w:vAlign w:val="center"/>
          </w:tcPr>
          <w:p w14:paraId="2C0215F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w:t>
            </w:r>
          </w:p>
        </w:tc>
        <w:tc>
          <w:tcPr>
            <w:tcW w:w="4202" w:type="dxa"/>
            <w:vAlign w:val="center"/>
          </w:tcPr>
          <w:p w14:paraId="15DB040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tc>
      </w:tr>
      <w:tr w14:paraId="466F44BC">
        <w:tblPrEx>
          <w:tblCellMar>
            <w:top w:w="0" w:type="dxa"/>
            <w:left w:w="108" w:type="dxa"/>
            <w:bottom w:w="0" w:type="dxa"/>
            <w:right w:w="108" w:type="dxa"/>
          </w:tblCellMar>
        </w:tblPrEx>
        <w:trPr>
          <w:trHeight w:val="454" w:hRule="atLeast"/>
        </w:trPr>
        <w:tc>
          <w:tcPr>
            <w:tcW w:w="4201" w:type="dxa"/>
            <w:vAlign w:val="center"/>
          </w:tcPr>
          <w:p w14:paraId="5C15B139">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tc>
        <w:tc>
          <w:tcPr>
            <w:tcW w:w="4202" w:type="dxa"/>
            <w:vAlign w:val="center"/>
          </w:tcPr>
          <w:p w14:paraId="4B6DBAF8">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tc>
      </w:tr>
      <w:tr w14:paraId="361655EF">
        <w:tblPrEx>
          <w:tblCellMar>
            <w:top w:w="0" w:type="dxa"/>
            <w:left w:w="108" w:type="dxa"/>
            <w:bottom w:w="0" w:type="dxa"/>
            <w:right w:w="108" w:type="dxa"/>
          </w:tblCellMar>
        </w:tblPrEx>
        <w:trPr>
          <w:trHeight w:val="454" w:hRule="atLeast"/>
        </w:trPr>
        <w:tc>
          <w:tcPr>
            <w:tcW w:w="4201" w:type="dxa"/>
            <w:vAlign w:val="center"/>
          </w:tcPr>
          <w:p w14:paraId="3262EAD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4202" w:type="dxa"/>
            <w:vAlign w:val="center"/>
          </w:tcPr>
          <w:p w14:paraId="5339DD1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r>
      <w:tr w14:paraId="666A8942">
        <w:tblPrEx>
          <w:tblCellMar>
            <w:top w:w="0" w:type="dxa"/>
            <w:left w:w="108" w:type="dxa"/>
            <w:bottom w:w="0" w:type="dxa"/>
            <w:right w:w="108" w:type="dxa"/>
          </w:tblCellMar>
        </w:tblPrEx>
        <w:trPr>
          <w:trHeight w:val="454" w:hRule="atLeast"/>
        </w:trPr>
        <w:tc>
          <w:tcPr>
            <w:tcW w:w="4201" w:type="dxa"/>
            <w:vAlign w:val="center"/>
          </w:tcPr>
          <w:p w14:paraId="5E6D350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c>
          <w:tcPr>
            <w:tcW w:w="4202" w:type="dxa"/>
            <w:vAlign w:val="center"/>
          </w:tcPr>
          <w:p w14:paraId="597C01C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r>
      <w:tr w14:paraId="112F4F16">
        <w:tblPrEx>
          <w:tblCellMar>
            <w:top w:w="0" w:type="dxa"/>
            <w:left w:w="108" w:type="dxa"/>
            <w:bottom w:w="0" w:type="dxa"/>
            <w:right w:w="108" w:type="dxa"/>
          </w:tblCellMar>
        </w:tblPrEx>
        <w:trPr>
          <w:trHeight w:val="454" w:hRule="atLeast"/>
        </w:trPr>
        <w:tc>
          <w:tcPr>
            <w:tcW w:w="4201" w:type="dxa"/>
            <w:vAlign w:val="center"/>
          </w:tcPr>
          <w:p w14:paraId="59A133F2">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4202" w:type="dxa"/>
            <w:vAlign w:val="center"/>
          </w:tcPr>
          <w:p w14:paraId="662E23EB">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49756002">
        <w:tblPrEx>
          <w:tblCellMar>
            <w:top w:w="0" w:type="dxa"/>
            <w:left w:w="108" w:type="dxa"/>
            <w:bottom w:w="0" w:type="dxa"/>
            <w:right w:w="108" w:type="dxa"/>
          </w:tblCellMar>
        </w:tblPrEx>
        <w:trPr>
          <w:trHeight w:val="454" w:hRule="atLeast"/>
        </w:trPr>
        <w:tc>
          <w:tcPr>
            <w:tcW w:w="4201" w:type="dxa"/>
            <w:vAlign w:val="center"/>
          </w:tcPr>
          <w:p w14:paraId="1A2414E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c>
          <w:tcPr>
            <w:tcW w:w="4202" w:type="dxa"/>
            <w:vAlign w:val="center"/>
          </w:tcPr>
          <w:p w14:paraId="02A11220">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r>
    </w:tbl>
    <w:p w14:paraId="027F3084">
      <w:pPr>
        <w:pStyle w:val="2"/>
        <w:shd w:val="clear"/>
        <w:spacing w:line="360" w:lineRule="auto"/>
        <w:rPr>
          <w:rFonts w:hint="eastAsia" w:ascii="宋体" w:hAnsi="宋体" w:eastAsia="宋体" w:cs="宋体"/>
          <w:color w:val="auto"/>
          <w:sz w:val="21"/>
          <w:szCs w:val="21"/>
          <w:highlight w:val="none"/>
        </w:rPr>
      </w:pPr>
    </w:p>
    <w:p w14:paraId="2519A08B">
      <w:pPr>
        <w:shd w:val="clear"/>
        <w:spacing w:line="360" w:lineRule="auto"/>
        <w:rPr>
          <w:rFonts w:hint="eastAsia" w:ascii="宋体" w:hAnsi="宋体" w:eastAsia="宋体" w:cs="宋体"/>
          <w:color w:val="auto"/>
          <w:sz w:val="21"/>
          <w:szCs w:val="21"/>
          <w:highlight w:val="none"/>
        </w:rPr>
      </w:pPr>
    </w:p>
    <w:p w14:paraId="6C1ECD97">
      <w:pPr>
        <w:shd w:val="clear"/>
        <w:spacing w:line="360" w:lineRule="auto"/>
        <w:rPr>
          <w:rFonts w:hint="eastAsia" w:ascii="宋体" w:hAnsi="宋体" w:eastAsia="宋体" w:cs="宋体"/>
          <w:color w:val="auto"/>
          <w:sz w:val="21"/>
          <w:szCs w:val="21"/>
          <w:highlight w:val="none"/>
        </w:rPr>
      </w:pPr>
    </w:p>
    <w:p w14:paraId="4523A62A">
      <w:pPr>
        <w:shd w:val="clear"/>
        <w:spacing w:line="360" w:lineRule="auto"/>
        <w:rPr>
          <w:rFonts w:hint="eastAsia" w:ascii="宋体" w:hAnsi="宋体" w:eastAsia="宋体" w:cs="宋体"/>
          <w:color w:val="auto"/>
          <w:sz w:val="21"/>
          <w:szCs w:val="21"/>
          <w:highlight w:val="none"/>
        </w:rPr>
      </w:pPr>
    </w:p>
    <w:p w14:paraId="427D314A">
      <w:pPr>
        <w:keepNext w:val="0"/>
        <w:keepLines w:val="0"/>
        <w:pageBreakBefore w:val="0"/>
        <w:widowControl w:val="0"/>
        <w:shd w:val="clear"/>
        <w:kinsoku/>
        <w:wordWrap/>
        <w:overflowPunct/>
        <w:topLinePunct w:val="0"/>
        <w:autoSpaceDE/>
        <w:autoSpaceDN/>
        <w:bidi w:val="0"/>
        <w:adjustRightInd/>
        <w:snapToGrid/>
        <w:spacing w:line="312" w:lineRule="auto"/>
        <w:textAlignment w:val="auto"/>
        <w:rPr>
          <w:rFonts w:hint="eastAsia" w:ascii="宋体" w:hAnsi="宋体" w:eastAsia="宋体" w:cs="宋体"/>
          <w:b/>
          <w:bCs/>
          <w:color w:val="auto"/>
          <w:sz w:val="21"/>
          <w:szCs w:val="21"/>
          <w:highlight w:val="none"/>
        </w:rPr>
      </w:pPr>
    </w:p>
    <w:p w14:paraId="449BC09D">
      <w:pPr>
        <w:keepNext w:val="0"/>
        <w:keepLines w:val="0"/>
        <w:pageBreakBefore w:val="0"/>
        <w:widowControl w:val="0"/>
        <w:shd w:val="clear"/>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color w:val="auto"/>
          <w:sz w:val="21"/>
          <w:szCs w:val="21"/>
          <w:highlight w:val="none"/>
        </w:rPr>
      </w:pPr>
    </w:p>
    <w:p w14:paraId="71EC7BE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3CF5F224">
      <w:pPr>
        <w:widowControl/>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附件一：XX 年度绿化养护工作内容及费用明细</w:t>
      </w:r>
    </w:p>
    <w:tbl>
      <w:tblPr>
        <w:tblStyle w:val="5"/>
        <w:tblW w:w="499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6"/>
        <w:gridCol w:w="2573"/>
        <w:gridCol w:w="1250"/>
        <w:gridCol w:w="1682"/>
        <w:gridCol w:w="1612"/>
        <w:gridCol w:w="1359"/>
        <w:gridCol w:w="599"/>
      </w:tblGrid>
      <w:tr w14:paraId="6DD1C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C74B6">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序号</w:t>
            </w:r>
          </w:p>
        </w:tc>
        <w:tc>
          <w:tcPr>
            <w:tcW w:w="1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7FF57">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类别</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84B9B">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面积</w:t>
            </w:r>
          </w:p>
          <w:p w14:paraId="33F9A61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1C0A7">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全费用单价限价</w:t>
            </w:r>
          </w:p>
          <w:p w14:paraId="071DECB6">
            <w:pPr>
              <w:keepNext w:val="0"/>
              <w:keepLines w:val="0"/>
              <w:widowControl/>
              <w:suppressLineNumbers w:val="0"/>
              <w:shd w:val="clear"/>
              <w:ind w:left="0" w:leftChars="0" w:right="0" w:rightChars="0" w:firstLine="0" w:firstLineChars="0"/>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（元/㎡/年）</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B1F19">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单项费用</w:t>
            </w:r>
          </w:p>
          <w:p w14:paraId="4979851B">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（元/季度）</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54936">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单项费用</w:t>
            </w:r>
          </w:p>
          <w:p w14:paraId="4CCF3364">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（元/年）</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6BFD3">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备注</w:t>
            </w:r>
          </w:p>
        </w:tc>
      </w:tr>
      <w:tr w14:paraId="4B69F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BDF59">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7FD0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绿地养护服务</w:t>
            </w:r>
          </w:p>
          <w:p w14:paraId="685FB1A4">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（一级绿地）</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A9CA2">
            <w:pPr>
              <w:keepNext w:val="0"/>
              <w:keepLines w:val="0"/>
              <w:pageBreakBefore w:val="0"/>
              <w:widowControl/>
              <w:suppressLineNumbers w:val="0"/>
              <w:shd w:val="clear"/>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b w:val="0"/>
                <w:bCs w:val="0"/>
                <w:i w:val="0"/>
                <w:iCs w:val="0"/>
                <w:color w:val="auto"/>
                <w:kern w:val="0"/>
                <w:sz w:val="21"/>
                <w:szCs w:val="21"/>
                <w:highlight w:val="none"/>
                <w:u w:val="none"/>
                <w:lang w:val="en-US" w:eastAsia="zh-CN" w:bidi="ar"/>
              </w:rPr>
              <w:t>160000</w:t>
            </w:r>
          </w:p>
        </w:tc>
        <w:tc>
          <w:tcPr>
            <w:tcW w:w="8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AE759">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8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34D68">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6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B004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F437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r w14:paraId="28864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0987D">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1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2DA19">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绿地养护服务</w:t>
            </w:r>
          </w:p>
          <w:p w14:paraId="4190E757">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（二级绿地）</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B404A">
            <w:pPr>
              <w:keepNext w:val="0"/>
              <w:keepLines w:val="0"/>
              <w:pageBreakBefore w:val="0"/>
              <w:widowControl/>
              <w:suppressLineNumbers w:val="0"/>
              <w:shd w:val="clear"/>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default" w:ascii="宋体" w:hAnsi="宋体" w:eastAsia="宋体" w:cs="宋体"/>
                <w:b w:val="0"/>
                <w:bCs w:val="0"/>
                <w:i w:val="0"/>
                <w:iCs w:val="0"/>
                <w:color w:val="auto"/>
                <w:kern w:val="0"/>
                <w:sz w:val="21"/>
                <w:szCs w:val="21"/>
                <w:highlight w:val="none"/>
                <w:u w:val="none"/>
                <w:lang w:val="en-US" w:eastAsia="zh-CN" w:bidi="ar"/>
              </w:rPr>
              <w:t>540000</w:t>
            </w:r>
          </w:p>
        </w:tc>
        <w:tc>
          <w:tcPr>
            <w:tcW w:w="8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1B72C">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8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1B164">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6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28D6C">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29301">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r w14:paraId="5F16F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C39AB">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901B">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预留金</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CB78B">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1项</w:t>
            </w:r>
          </w:p>
        </w:tc>
        <w:tc>
          <w:tcPr>
            <w:tcW w:w="270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D092">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lang w:val="en-US"/>
              </w:rPr>
            </w:pPr>
            <w:r>
              <w:rPr>
                <w:rFonts w:hint="eastAsia" w:ascii="宋体" w:hAnsi="宋体" w:eastAsia="宋体" w:cs="宋体"/>
                <w:b w:val="0"/>
                <w:bCs w:val="0"/>
                <w:color w:val="auto"/>
                <w:sz w:val="21"/>
                <w:szCs w:val="21"/>
                <w:highlight w:val="none"/>
                <w:lang w:val="en-US" w:eastAsia="zh-CN"/>
              </w:rPr>
              <w:t>573000.00</w:t>
            </w:r>
            <w:r>
              <w:rPr>
                <w:rFonts w:hint="eastAsia" w:ascii="宋体" w:hAnsi="宋体" w:eastAsia="宋体" w:cs="宋体"/>
                <w:i w:val="0"/>
                <w:iCs w:val="0"/>
                <w:color w:val="auto"/>
                <w:kern w:val="0"/>
                <w:sz w:val="21"/>
                <w:szCs w:val="21"/>
                <w:highlight w:val="none"/>
                <w:u w:val="none"/>
                <w:lang w:val="en-US" w:eastAsia="zh-CN" w:bidi="ar"/>
              </w:rPr>
              <w:t>元/年</w:t>
            </w:r>
          </w:p>
        </w:tc>
      </w:tr>
      <w:tr w14:paraId="04594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6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4488C">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养护费用合计（元）</w:t>
            </w:r>
          </w:p>
        </w:tc>
        <w:tc>
          <w:tcPr>
            <w:tcW w:w="3344"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A3EE2">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r w14:paraId="5CF07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6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A7DD7">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合同价款（总计）（元）</w:t>
            </w:r>
          </w:p>
        </w:tc>
        <w:tc>
          <w:tcPr>
            <w:tcW w:w="3344"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2BA45">
            <w:pPr>
              <w:keepNext w:val="0"/>
              <w:keepLines w:val="0"/>
              <w:widowControl/>
              <w:suppressLineNumbers w:val="0"/>
              <w:shd w:val="clear"/>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p>
        </w:tc>
      </w:tr>
    </w:tbl>
    <w:p w14:paraId="42D6B302">
      <w:pPr>
        <w:shd w:val="clea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748532A">
      <w:pPr>
        <w:pStyle w:val="2"/>
        <w:shd w:val="clear"/>
        <w:rPr>
          <w:rFonts w:hint="eastAsia" w:ascii="宋体" w:hAnsi="宋体" w:eastAsia="宋体" w:cs="宋体"/>
          <w:color w:val="auto"/>
          <w:sz w:val="24"/>
          <w:szCs w:val="24"/>
          <w:highlight w:val="none"/>
        </w:rPr>
      </w:pPr>
    </w:p>
    <w:p w14:paraId="505F264B">
      <w:pPr>
        <w:widowControl/>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附件二：西安浐灞国际港园林绿化养护管理标准</w:t>
      </w:r>
    </w:p>
    <w:p w14:paraId="22C8CBEB">
      <w:pPr>
        <w:shd w:val="clear"/>
        <w:spacing w:before="240"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西安浐灞国际港园林绿化养护管理标准</w:t>
      </w:r>
    </w:p>
    <w:p w14:paraId="67AE711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条为巩固绿化建设成果，提高绿化养护质量，维护绿化养护市场的正常秩序，根据《国家园林城市标准》、《西安市城市绿化管理条例》和有关文件，结合绿化建设管理的实际情况，制订西安浐灞国际港绿化养护管理标准。</w:t>
      </w:r>
    </w:p>
    <w:p w14:paraId="56D1D85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第二条 绿化养护管理标准中相关术语和定义：</w:t>
      </w:r>
    </w:p>
    <w:p w14:paraId="1154663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1、乔木</w:t>
      </w:r>
    </w:p>
    <w:p w14:paraId="0423FAA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主干明显而直立，树体高大的木本植物。</w:t>
      </w:r>
    </w:p>
    <w:p w14:paraId="2C50FFE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2、灌木</w:t>
      </w:r>
    </w:p>
    <w:p w14:paraId="3149094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树体矮小,无明显主干或枝干丛生的木本植物。</w:t>
      </w:r>
    </w:p>
    <w:p w14:paraId="38A09F8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3、藤本植物</w:t>
      </w:r>
    </w:p>
    <w:p w14:paraId="756E13F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依靠缠绕或攀附他物而向上生长的木本或草本植物。</w:t>
      </w:r>
    </w:p>
    <w:p w14:paraId="2734901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4、草坪</w:t>
      </w:r>
    </w:p>
    <w:p w14:paraId="293B19C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草本植物经人工种植或改造后形成的具有观赏效果，并能供人适度活动。</w:t>
      </w:r>
    </w:p>
    <w:p w14:paraId="2C64D1C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5、行道树</w:t>
      </w:r>
    </w:p>
    <w:p w14:paraId="60DD6AE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沿道路或公路旁种植的乔木。</w:t>
      </w:r>
    </w:p>
    <w:p w14:paraId="35A2375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6、地被植物</w:t>
      </w:r>
    </w:p>
    <w:p w14:paraId="0C73744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株丛密集、低矮，用于覆盖地面的植物。</w:t>
      </w:r>
    </w:p>
    <w:p w14:paraId="3DE58F5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7、绿篱</w:t>
      </w:r>
    </w:p>
    <w:p w14:paraId="5499AEA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成行密植，作造型修剪而形成的植物墙。</w:t>
      </w:r>
    </w:p>
    <w:p w14:paraId="02CC7EE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8、古树名木</w:t>
      </w:r>
    </w:p>
    <w:p w14:paraId="4A017B2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古树泛指树龄在百年以上的树木；名木泛指珍贵、稀有或具有历史、科学、文化价值以及有重要纪念意义的树木，也指历史和现代名人种植的树木，或具有历史事件、传说及神话故事的树木。</w:t>
      </w:r>
    </w:p>
    <w:p w14:paraId="125A0D4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9、修剪</w:t>
      </w:r>
    </w:p>
    <w:p w14:paraId="5B2FC92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对苗木枝干和根系进行疏剪或短截。</w:t>
      </w:r>
    </w:p>
    <w:p w14:paraId="5D40312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10、灌溉</w:t>
      </w:r>
    </w:p>
    <w:p w14:paraId="5F1DA84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为调节土壤温度和土壤水分，满足植物对水分的需要而采取的人工引水浇灌的措施。</w:t>
      </w:r>
    </w:p>
    <w:p w14:paraId="5ED92CB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11、施肥</w:t>
      </w:r>
    </w:p>
    <w:p w14:paraId="341A893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在植物生长和发育过程中，为补充所需的各种营养元素而施用肥料的措施。</w:t>
      </w:r>
    </w:p>
    <w:p w14:paraId="30A6E64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12、除草</w:t>
      </w:r>
    </w:p>
    <w:p w14:paraId="739E616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植物生长期间人工或采用除草剂去除目的植物以外杂草的措施。</w:t>
      </w:r>
    </w:p>
    <w:p w14:paraId="2BE2DBC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13、病虫害防治</w:t>
      </w:r>
    </w:p>
    <w:p w14:paraId="0D583B0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对各种植物病害、虫害进行预防和治疗。</w:t>
      </w:r>
    </w:p>
    <w:p w14:paraId="3079DCD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14、园林植物养护管理</w:t>
      </w:r>
    </w:p>
    <w:p w14:paraId="4A5FCDD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对园林植物采取灌溉、排涝、修剪、防治病虫、防寒、支撑、除草、中耕、施肥等技术措施。</w:t>
      </w:r>
    </w:p>
    <w:p w14:paraId="26BC03C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15、黄土不裸露</w:t>
      </w:r>
    </w:p>
    <w:p w14:paraId="7F7E485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利用草坪等地被植物或树皮等其它材料，对绿地内和树冠下的裸露土地进行覆盖，以期达到绿化、美化、抑尘和保墒的目的。</w:t>
      </w:r>
    </w:p>
    <w:p w14:paraId="04E9086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第三条 园区内各类绿地、树木、花卉、草坪养护管理中应遵循以下原则:</w:t>
      </w:r>
    </w:p>
    <w:p w14:paraId="1BB3ABC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1、符合植物的生长习性。</w:t>
      </w:r>
    </w:p>
    <w:p w14:paraId="6211CB0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2、符合不同类型绿地的功能和景观要求。</w:t>
      </w:r>
    </w:p>
    <w:p w14:paraId="323AF6F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3、符合生态环境保护要求。</w:t>
      </w:r>
    </w:p>
    <w:p w14:paraId="20EB92D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第四条 乔木及行道树管理标准：</w:t>
      </w:r>
    </w:p>
    <w:p w14:paraId="451AC5F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1、树形及观赏特性要求</w:t>
      </w:r>
    </w:p>
    <w:p w14:paraId="41C5848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（1）生长健壮，树冠丰满，主侧枝分布均匀、数量适宜，整型树木造型美观。</w:t>
      </w:r>
    </w:p>
    <w:p w14:paraId="28F9ADA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（2）树叶生长茂盛，一般条件下无黄叶、焦叶、卷叶。</w:t>
      </w:r>
    </w:p>
    <w:p w14:paraId="216B940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（3）树干不得有钻蛀性害虫危害，叶上无虫粪、虫网、病斑及被啃食叶片每株低于5%。生长季节无枯黄叶株，落叶在 10%以下。</w:t>
      </w:r>
    </w:p>
    <w:p w14:paraId="1D7D9C6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（4）枝干健壮，无明显枯枝死杈。枝条粗壮，无明显的人为损坏。</w:t>
      </w:r>
    </w:p>
    <w:p w14:paraId="5CF1AF2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（5）树木保存率99%以上；及时补栽成活率95%以上。</w:t>
      </w:r>
    </w:p>
    <w:p w14:paraId="2D79BC9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（6）行道树无缺株；新补植树同原有树种、规格、定干高度一致，有支撑措施；行道树及林荫广场树池保持覆盖植物生长良好和硬质覆盖材料完整；树池内无垃圾及杂草。</w:t>
      </w:r>
    </w:p>
    <w:p w14:paraId="61F0258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2B8B3D6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（1）大型景观乔木应每两年进行一次开挖深施肥工作，小型乔木应每年一次，肥料选取以有机肥为宜。施肥量应适宜，并且严格按照植物生长特性及需求制定施肥计划。</w:t>
      </w:r>
    </w:p>
    <w:p w14:paraId="048D6E1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（2）根据季节和生长情况适时灌溉排水，保持适当水分。不耐寒植物冬季必须浇灌防冻水，观花乔木加强春季浇水，促进植物开花长叶。对于喜水及浅根系植物、新栽植乔木，每年灌溉次数不得少于10次。</w:t>
      </w:r>
    </w:p>
    <w:p w14:paraId="5A557B6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3、修剪及日常管理</w:t>
      </w:r>
    </w:p>
    <w:p w14:paraId="7B1F93C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（1）修剪</w:t>
      </w:r>
    </w:p>
    <w:p w14:paraId="59E47DC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全年修剪至少1次，主要以除枯枝、病虫枝、徒长枝；剪口平整，大型切口必须涂抹防腐药剂；根据植物种类习性制定修剪方法，严禁违规操作。</w:t>
      </w:r>
    </w:p>
    <w:p w14:paraId="1E8EFEF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（2）支柱、扶正</w:t>
      </w:r>
    </w:p>
    <w:p w14:paraId="5DD3FAE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倾斜度超过10度的树木，须进行扶正，落叶树在休眠期进行，常绿树在萌芽前进行。扶正前应先疏剪部分枝桠或进行短截，确保扶正树木的成活。新栽大树和扶正后的树木应进行支柱。支柱材料在同一路段或区域内应当统一，支柱方式要规范、整齐。支柱着力点应超过树高的1/2以上，支柱材料在着力点与树干接触处应铺垫软质材料，以免损伤树皮。每年雨季前要对支柱进行一次全面检查，对松动的支柱要及时加固， 对嵌入树皮的捆扎物要及时解除。</w:t>
      </w:r>
    </w:p>
    <w:p w14:paraId="460790D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第五条 灌木和花卉管理标准:</w:t>
      </w:r>
    </w:p>
    <w:p w14:paraId="282CAA8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1、观赏特性要求</w:t>
      </w:r>
    </w:p>
    <w:p w14:paraId="25B3FE9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（1）灌木</w:t>
      </w:r>
    </w:p>
    <w:p w14:paraId="4D4BC6F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长势良好，枝多叶茂，下部不光秃，无枯枝残叶，植株整齐一致。</w:t>
      </w:r>
    </w:p>
    <w:p w14:paraId="472BE60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（2）绿地花卉</w:t>
      </w:r>
    </w:p>
    <w:p w14:paraId="2F71667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时开花，花多色艳。花坛轮廓清晰，无残缺，灌木丛中无垃圾、无病枝枯枝和落叶堆积。花谢后及时将残花残枝剪去，常年开花植物要有目的地培养花枝，延长花期。灌木和花坛整形效果要与周围环境协调，增强园林美化效果。</w:t>
      </w:r>
    </w:p>
    <w:p w14:paraId="2FA6966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（3）绿篱、色块</w:t>
      </w:r>
    </w:p>
    <w:p w14:paraId="495E63E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植株生长健壮，枝叶繁茂；修剪及时，整齐一致，轮廓清晰，线条流畅，层次分明，无死株断垄现象。</w:t>
      </w:r>
    </w:p>
    <w:p w14:paraId="77C901A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（4）露地花卉（街景花卉布置）</w:t>
      </w:r>
    </w:p>
    <w:p w14:paraId="33BF1B5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生长健壮，整齐一致，无病虫害，无残花败叶。适时开花，适时更换，保证景观效果。</w:t>
      </w:r>
    </w:p>
    <w:p w14:paraId="30100E3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30038DD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（1）灌溉</w:t>
      </w:r>
    </w:p>
    <w:p w14:paraId="0EE50C5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要根据植物的生长及开花特性进行合理灌溉。在雨水缺少的季节，适时灌溉。</w:t>
      </w:r>
    </w:p>
    <w:p w14:paraId="59C4717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（2）施肥</w:t>
      </w:r>
    </w:p>
    <w:p w14:paraId="44BB345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一般在每年春、秋季结合除草松土重点施肥 2-3 次。促进花芽分化，花芽分化后要适当追施磷、钾肥，使花多色艳花期长。肥料不能裸露，可采用埋施或水施等不同方法。埋施可先挖穴或开沟，施肥后要回填土、踏实、淋足水，不能裸露。</w:t>
      </w:r>
    </w:p>
    <w:p w14:paraId="165B105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3、修剪及除杂</w:t>
      </w:r>
    </w:p>
    <w:p w14:paraId="1478CDC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（1）除杂、松土</w:t>
      </w:r>
    </w:p>
    <w:p w14:paraId="72C238B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灌木丛周边无杂草，松土深度不小于10厘米，并低于周围表土5厘米。除杂松土时要保护根系，不能伤根及造成根系裸露，更不能造成黄土裸露。</w:t>
      </w:r>
    </w:p>
    <w:p w14:paraId="1D04355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（2）修剪</w:t>
      </w:r>
    </w:p>
    <w:p w14:paraId="3B4CEB7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灌木和花卉的修剪做到既造型美观又能适时开花，年修剪次数不得少于8次。花灌木和草本花卉在花芽分化前进行修剪，应避免把花芽剪掉；对于大型灌木应根据生长情况组织冬秋季修剪。</w:t>
      </w:r>
    </w:p>
    <w:p w14:paraId="082C9E2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绿篱、色块不得出现失修现象，枝条冒顶高度不得高于10cm；灌木球应按照造型要求进行修剪，不得出现失修及冒顶现象其他植物根据不同生态习性及景观要求，及时去除不符合造型的枝条。</w:t>
      </w:r>
    </w:p>
    <w:p w14:paraId="22EFC31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（3）补植、更换</w:t>
      </w:r>
    </w:p>
    <w:p w14:paraId="436D0FB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出现死苗，要在清理当天及时补植。补植回原来的种类并力求规格与原来植株接近，以保证优良的景观效果。补植按照种植规范进行，施足基肥并加强浇水等保养措施， 保证成活率达98％以上。对已呈老化或明显与周围环境不协调的灌木和花卉应及时进行更换，更换品种要事先征得绿化主管部门的批准。</w:t>
      </w:r>
    </w:p>
    <w:p w14:paraId="4499F95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第六条 草坪及地被植物管理标准：</w:t>
      </w:r>
    </w:p>
    <w:p w14:paraId="745738C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1、观赏特性要求</w:t>
      </w:r>
    </w:p>
    <w:p w14:paraId="70F3A47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势旺盛，叶片健壮，叶色浓绿，无枯黄叶。修剪及时，高度适宜，无病虫害。覆盖率不低于99%，无明显杂草。草坪绿色期：冷季型草不少于280天，暖季型草不少于260天。坪地平整，无坑洼积水，无秃斑，无板结现象。</w:t>
      </w:r>
    </w:p>
    <w:p w14:paraId="4FB657A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2、水肥及日常管理</w:t>
      </w:r>
    </w:p>
    <w:p w14:paraId="57DCAA1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（1）灌溉</w:t>
      </w:r>
    </w:p>
    <w:p w14:paraId="2D60853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根据草坪植物的生长需要加强淋水和施肥，保证水肥充足，施用肥料的方法和用量要科学，防止过量或不均匀引起肥伤。在雨水缺少的季节，适时灌溉。景观草坪春秋季应在每周进行一次浇灌，夏季应在两天进行一次浇灌。保证土壤表层5～7cm范围内土壤墒情良好。在春季应对景观草坪浇灌返青水；冬季必须对景观草坪浇灌防冻水。</w:t>
      </w:r>
    </w:p>
    <w:p w14:paraId="6DF3FB3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（2）施肥</w:t>
      </w:r>
    </w:p>
    <w:p w14:paraId="303D84A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在植物休眠期及返青期间应增加淋水施肥，适当进行根外追肥，使草坪保持优良的长势。</w:t>
      </w:r>
    </w:p>
    <w:p w14:paraId="0F4C6476">
      <w:pPr>
        <w:widowControl/>
        <w:numPr>
          <w:ilvl w:val="0"/>
          <w:numId w:val="1"/>
        </w:numPr>
        <w:shd w:val="clear"/>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除草、松土</w:t>
      </w:r>
    </w:p>
    <w:p w14:paraId="4687D74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及时清除杂草，方法合理彻底。草坪纯度标准为每平方米不超过10株非目的草种。由于植物生长、受践踏、土壤板结等需要松土的，要采用打孔疏松、切割等措施，利于草坪生长，景观草坪每年不少于2 次。</w:t>
      </w:r>
    </w:p>
    <w:p w14:paraId="60D17A9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（4）补植</w:t>
      </w:r>
    </w:p>
    <w:p w14:paraId="6FD1671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对破坏或其它原因引起死亡的草坪植物应及时补植，使草坪保持完整，无裸露地。补植要补与原草坪相同的草种，适当密植，补植后加强保养，保证一个月内覆盖率达98％以上。</w:t>
      </w:r>
    </w:p>
    <w:p w14:paraId="7E5A541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3、植物修剪</w:t>
      </w:r>
    </w:p>
    <w:p w14:paraId="36AD416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观花地被植物，须在开花后适当压低，或者结合种子采收，适当修剪；草坪要考虑季节特点和草种的生长发育特性，使草的高度一致，边缘整齐，枯黄叶片要及时清理。草地与路(花)基、色块的分界宽度不超过8厘米；分车绿化带的草坪植物不得超出路基外缘；对于已经老化部分经予以更换。</w:t>
      </w:r>
    </w:p>
    <w:p w14:paraId="096DC17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第七条 藤本、攀缘植物管理标准：</w:t>
      </w:r>
    </w:p>
    <w:p w14:paraId="5439B5C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w:t>
      </w:r>
    </w:p>
    <w:p w14:paraId="6B66878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植株生长健壮，适时采取相应的牵引、设置网架等技术措施；视攀缘植物生长习性，覆盖率不低于90%；观花的攀缘植物适时开花，花繁色艳。</w:t>
      </w:r>
    </w:p>
    <w:p w14:paraId="46D884D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2、整形修剪</w:t>
      </w:r>
    </w:p>
    <w:p w14:paraId="31439DB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植物生理特性进行牵引和翻蔓；严格按照自然生长规律对植物进行修剪整形；及时去除老化植株；藤本植物的修剪应以促进分枝为主，并剪除徒长枝和下垂枝；多年生的藤本植物应定期翻蔓，清除枯枝，疏删老弱藤蔓；每年常规修剪1次，每隔2-3年应理藤1次，理顺分布方向，使叶蔓分布均匀、厚度相等，并应依不同类型及生长状况及时牵引。</w:t>
      </w:r>
    </w:p>
    <w:p w14:paraId="26F5A92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3、水肥管理</w:t>
      </w:r>
    </w:p>
    <w:p w14:paraId="4857B0B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（1）灌溉</w:t>
      </w:r>
    </w:p>
    <w:p w14:paraId="57AA708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要根据植物的生长及开花特性进行合理灌溉。在雨水缺少的季节，适时灌溉。</w:t>
      </w:r>
    </w:p>
    <w:p w14:paraId="1DD8359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（2）施肥</w:t>
      </w:r>
    </w:p>
    <w:p w14:paraId="5544548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春、秋季结合除草松土重点施肥2-3次。促进花芽分化，花芽分化后要适当追施磷、钾肥，使花多色艳花期长。肥料不能裸露，可采用埋施或水施等不同方法。埋施可先挖穴或开沟，施肥后要回填土、踏实、淋足水，不能裸露。</w:t>
      </w:r>
    </w:p>
    <w:p w14:paraId="16304DD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第八条 水生植物管理标准：</w:t>
      </w:r>
    </w:p>
    <w:p w14:paraId="3ED8C1D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1、观赏特性</w:t>
      </w:r>
    </w:p>
    <w:p w14:paraId="07634A4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植株生长正常，无大量缺失，植物造型优美，无病虫植物，对死亡植株清理及时，无倒伏现象。水面上水生植物的覆盖度应小于水域面积的30％，漂浮植物或浮水植物应进行围合，固定其位置和范围。因繁殖而密度过大时，应剔除部分老弱植株。</w:t>
      </w:r>
    </w:p>
    <w:p w14:paraId="723AF8F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4C8937C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于冬季对栽植区进行有机肥料增施，严禁随意使用化肥。沿岸或挺水植物，每年至少应施肥1次。施肥应以腐熟的有机肥为主，应用可分解的纸袋装肥或用泥做成团施入泥中定期对水域进行换水，防止水质变差影响景观效果。在水生植物群落营造前期和幼苗期，应加强人工维护，去除该群落中生长的其他品种的水生植物和杂草。</w:t>
      </w:r>
    </w:p>
    <w:p w14:paraId="3C678DB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3、日常管理</w:t>
      </w:r>
    </w:p>
    <w:p w14:paraId="3CEDDD0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水生植物应随着立叶或浮叶的生长调节水位。为避免蚊虫孳生或水质恶化，当用水发生混浊时，即必须换水，夏季则须增加换水次数。</w:t>
      </w:r>
    </w:p>
    <w:p w14:paraId="0C75FFA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第九条 竹类管理标准：</w:t>
      </w:r>
    </w:p>
    <w:p w14:paraId="20E86C9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1、景观特性</w:t>
      </w:r>
    </w:p>
    <w:p w14:paraId="11BEA69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生长正常，竹干疏密有间，无病虫害。</w:t>
      </w:r>
    </w:p>
    <w:p w14:paraId="3B362EF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2、水肥管理</w:t>
      </w:r>
    </w:p>
    <w:p w14:paraId="081218B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竹类浇水要抓住关键季节，春季出笋前要浇足催笋水，5、6月要浇拔节水，夏季雨水充沛可不浇或少浇，秋季浇孕笋水，冬季过于干旱的可适当喷水。施肥以有机肥为主，时间以11-12月为宜。</w:t>
      </w:r>
    </w:p>
    <w:p w14:paraId="08077F9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3、日常管理及其他</w:t>
      </w:r>
    </w:p>
    <w:p w14:paraId="4352298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竹林要每年培土，厚度以5厘米为宜，时间利用冬季。及时做好病虫害的防治工作，加强抚育管理，合理砍伐，使林内通风透光，及早砍除病竹烧毁。</w:t>
      </w:r>
    </w:p>
    <w:p w14:paraId="65E85F1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第十条 植物保护及其它工作：</w:t>
      </w:r>
    </w:p>
    <w:p w14:paraId="29D1458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1、工作原则</w:t>
      </w:r>
    </w:p>
    <w:p w14:paraId="105B65A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过日常精心养护，增强植物抗病虫害能力。要及时做好病虫害的防治工作，坚持预防为主，防治结合的植保方针。早发现早处理，采取综合防治、化学防治、物理人工防治和生物防治等方法防止病虫害蔓延和影响植物生长。尽量采用生物防治的办法，以减少对环境的污染。用化学方法防治时，喷药一般要在晚上进行；药物品种、药剂用量及对环境的影响，要符合环保的要求和标准。同时严格按照工作流程进行， 严禁无防护措施进行化学防治操作。</w:t>
      </w:r>
    </w:p>
    <w:p w14:paraId="123BA21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2、作业要求</w:t>
      </w:r>
    </w:p>
    <w:p w14:paraId="0E8B9C2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（1）植物枝、干、叶均无明显病虫害危害痕迹。</w:t>
      </w:r>
    </w:p>
    <w:p w14:paraId="2FE1B40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（2）根据测报制定长期及短期防治方案。及时、准确、彻底防治病虫害发生。</w:t>
      </w:r>
    </w:p>
    <w:p w14:paraId="4B230B3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（3）全年病虫发生率控制在5％以下；不得出现病虫害大规模爆发现象。</w:t>
      </w:r>
    </w:p>
    <w:p w14:paraId="06A9D29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（4）严禁出现因管理不善而造成的生理性病害（例如：缺水或受涝造成的植物枯死；缺肥或施肥不当造成的生理性黄叶、落叶、小叶等；农药药害造成的枯叶、黄叶、落叶）。</w:t>
      </w:r>
    </w:p>
    <w:p w14:paraId="6A458B4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（5）对于不耐寒植物必须进行必要的防护措施。</w:t>
      </w:r>
    </w:p>
    <w:p w14:paraId="5C73207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（6）禁止使用高毒农药，药剂配比必须符合规范。喷药时应该设立警示标志，道路绿地警示标志设立密度应在50米-100米范围为宜。</w:t>
      </w:r>
    </w:p>
    <w:p w14:paraId="7EADD33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（7）冬季对于植物上积雪应立即清除；对于倒伏树木应加以支撑。</w:t>
      </w:r>
    </w:p>
    <w:p w14:paraId="1CD5F60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（8）日常养护人员必须身着工装，并且严格按安全生产规范进行操作。日常养护操作过程中，应按照安全操作要求配备警示及安全防护设备。</w:t>
      </w:r>
    </w:p>
    <w:p w14:paraId="2D91031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（9）园内各单位应有科学合理的养护计划，并于每周的周五；每月的28号；每年12月5号前；向主管单位报送详细的养护工作计划及总结。</w:t>
      </w:r>
    </w:p>
    <w:p w14:paraId="4EE12A3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（10）出现因为外力造成的植物损伤、倒伏等现象，管护单位应及时发现， 及时处理，不得拖延。</w:t>
      </w:r>
    </w:p>
    <w:p w14:paraId="13E2AF6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第十一条 绿地设施维护要求：</w:t>
      </w:r>
    </w:p>
    <w:p w14:paraId="638B84F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绿地设施包括喷灌、照明、音响系统和园路、护栏、坐凳、喷泉、雕塑、移动花钵等景观设施。</w:t>
      </w:r>
    </w:p>
    <w:p w14:paraId="413D2C4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1、喷灌设施</w:t>
      </w:r>
    </w:p>
    <w:p w14:paraId="1CD01D8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保护绿化供水设施，保持喷洒正常、开关灵活、管道无漏水。</w:t>
      </w:r>
    </w:p>
    <w:p w14:paraId="065ACA0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2、园林照明、音响设施</w:t>
      </w:r>
    </w:p>
    <w:p w14:paraId="0A98A18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绿地上的灯光、音响，要经常进行检修，发现线路破损、灯泡烧毁、灯罩破损、音箱损坏的要及时进行修复、更换，保持设备正常运作。</w:t>
      </w:r>
    </w:p>
    <w:p w14:paraId="69D738E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3、水池喷泉</w:t>
      </w:r>
    </w:p>
    <w:p w14:paraId="2545D3C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保持水面及水池内外清洁，水质良好，水量适度，喷泉运作正常。池壁美观，不漏水，设施完好无损；要求及时清除杂物，定时清洗水池。</w:t>
      </w:r>
    </w:p>
    <w:p w14:paraId="21DEBD9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4、护栏</w:t>
      </w:r>
    </w:p>
    <w:p w14:paraId="11B1364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护栏要保持整洁完整,定期清理，不能有倾斜的现象，被</w:t>
      </w:r>
      <w:r>
        <w:rPr>
          <w:rFonts w:hint="eastAsia" w:ascii="宋体" w:hAnsi="宋体" w:eastAsia="宋体" w:cs="宋体"/>
          <w:color w:val="auto"/>
          <w:sz w:val="21"/>
          <w:szCs w:val="21"/>
          <w:highlight w:val="none"/>
          <w:lang w:val="en-US" w:eastAsia="zh-CN"/>
        </w:rPr>
        <w:t>损坏</w:t>
      </w:r>
      <w:r>
        <w:rPr>
          <w:rFonts w:hint="eastAsia" w:ascii="宋体" w:hAnsi="宋体" w:eastAsia="宋体" w:cs="宋体"/>
          <w:color w:val="auto"/>
          <w:sz w:val="21"/>
          <w:szCs w:val="21"/>
          <w:highlight w:val="none"/>
        </w:rPr>
        <w:t>的要及时修补。遇到节日庆典和大型活动应派专人定时定点进行清洗和维护.</w:t>
      </w:r>
    </w:p>
    <w:p w14:paraId="7DCC966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5、园路</w:t>
      </w:r>
    </w:p>
    <w:p w14:paraId="127459D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绿地内园路要保持清洁、美观，完好无损。要及时清除路面垃圾杂物，修补破损并保持完好。</w:t>
      </w:r>
    </w:p>
    <w:p w14:paraId="11BEF90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6、园林雕塑</w:t>
      </w:r>
    </w:p>
    <w:p w14:paraId="044818E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园林雕塑要保持整洁、美观，完好无损，对其上的乱涂、乱画、乱张贴要及时清理干净，以增强园林美化效果。</w:t>
      </w:r>
    </w:p>
    <w:p w14:paraId="290D646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7、移动花钵</w:t>
      </w:r>
    </w:p>
    <w:p w14:paraId="5EAF42F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花钵内的植物生长旺盛，株形优美，叶片、叶色正常，无病虫害，开花植物要及时清理残花和残枝。花钵表面整洁无垃圾和杂物，钵体无乱划、乱画等现象。</w:t>
      </w:r>
    </w:p>
    <w:p w14:paraId="53DAAF2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第十二条 绿地保护工作要求：</w:t>
      </w:r>
    </w:p>
    <w:p w14:paraId="00736DC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依法严格执行绿化管理条例，加强人员巡查，规划线内绿地不被侵占，绿地完整。保护绿地内的花草树木不受损害，对任何侵占和破坏行为要加以制止并及时报告绿化管理部门。</w:t>
      </w:r>
    </w:p>
    <w:p w14:paraId="17A9E95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十三、西安浐灞国际港绿化养护工作打分标准：</w:t>
      </w:r>
    </w:p>
    <w:p w14:paraId="46EA9BC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西安浐灞国际港绿地养护管理工作月度考核标准表》进行打分，绿化养护管理考核由考核评分小组按月以100分为满分进行计扣，对全部考核组成员评分按照加权平均后计算最终平均分值。得分95以上属于合理扣分范围，不扣除当月绿化养护费用；95-90分之间，每1分扣除当月绿化养护费用金额100元；90-85分之间，每1分扣除当月绿化养护费用金额200元；85-75分之间，每1分扣除当月绿化养护费用金额300元；低于75分以下将按违约考虑，按所签订绿化养护合同总金额的10%予以扣除并处以警告。各绿化养护单位得分情况每月定期以通知形式公布，每季度进行汇总评比。</w:t>
      </w:r>
    </w:p>
    <w:p w14:paraId="54EAAE59">
      <w:pPr>
        <w:widowControl/>
        <w:shd w:val="clea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附件三：本项目的人员配置情况表</w:t>
      </w:r>
    </w:p>
    <w:tbl>
      <w:tblPr>
        <w:tblStyle w:val="5"/>
        <w:tblW w:w="9285" w:type="dxa"/>
        <w:tblInd w:w="65" w:type="dxa"/>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913"/>
        <w:gridCol w:w="1086"/>
        <w:gridCol w:w="748"/>
        <w:gridCol w:w="750"/>
        <w:gridCol w:w="748"/>
        <w:gridCol w:w="750"/>
        <w:gridCol w:w="1488"/>
        <w:gridCol w:w="1671"/>
        <w:gridCol w:w="1131"/>
      </w:tblGrid>
      <w:tr w14:paraId="0D03BC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913" w:type="dxa"/>
            <w:noWrap w:val="0"/>
            <w:vAlign w:val="center"/>
          </w:tcPr>
          <w:p w14:paraId="402DA998">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086" w:type="dxa"/>
            <w:noWrap w:val="0"/>
            <w:vAlign w:val="center"/>
          </w:tcPr>
          <w:p w14:paraId="7C4A712D">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姓名</w:t>
            </w:r>
          </w:p>
        </w:tc>
        <w:tc>
          <w:tcPr>
            <w:tcW w:w="748" w:type="dxa"/>
            <w:noWrap w:val="0"/>
            <w:vAlign w:val="center"/>
          </w:tcPr>
          <w:p w14:paraId="28F6DE90">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年龄</w:t>
            </w:r>
          </w:p>
        </w:tc>
        <w:tc>
          <w:tcPr>
            <w:tcW w:w="750" w:type="dxa"/>
            <w:noWrap w:val="0"/>
            <w:vAlign w:val="center"/>
          </w:tcPr>
          <w:p w14:paraId="6A93DFD2">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性别</w:t>
            </w:r>
          </w:p>
        </w:tc>
        <w:tc>
          <w:tcPr>
            <w:tcW w:w="748" w:type="dxa"/>
            <w:noWrap w:val="0"/>
            <w:vAlign w:val="center"/>
          </w:tcPr>
          <w:p w14:paraId="5C19BD24">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学历</w:t>
            </w:r>
          </w:p>
        </w:tc>
        <w:tc>
          <w:tcPr>
            <w:tcW w:w="750" w:type="dxa"/>
            <w:noWrap w:val="0"/>
            <w:vAlign w:val="center"/>
          </w:tcPr>
          <w:p w14:paraId="0125D2ED">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专业</w:t>
            </w:r>
          </w:p>
        </w:tc>
        <w:tc>
          <w:tcPr>
            <w:tcW w:w="1488" w:type="dxa"/>
            <w:noWrap w:val="0"/>
            <w:vAlign w:val="center"/>
          </w:tcPr>
          <w:p w14:paraId="582DF0A6">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职称 /职务</w:t>
            </w:r>
          </w:p>
        </w:tc>
        <w:tc>
          <w:tcPr>
            <w:tcW w:w="1671" w:type="dxa"/>
            <w:noWrap w:val="0"/>
            <w:vAlign w:val="center"/>
          </w:tcPr>
          <w:p w14:paraId="64E1D329">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拟承担职务</w:t>
            </w:r>
          </w:p>
        </w:tc>
        <w:tc>
          <w:tcPr>
            <w:tcW w:w="1131" w:type="dxa"/>
            <w:noWrap w:val="0"/>
            <w:vAlign w:val="center"/>
          </w:tcPr>
          <w:p w14:paraId="3A6FCC1C">
            <w:pPr>
              <w:shd w:val="clear"/>
              <w:spacing w:line="360" w:lineRule="auto"/>
              <w:jc w:val="center"/>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48637CB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4EB7F466">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18F544E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0281CFB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38963B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38BFDF39">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51847B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78DAAA5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4B58EE22">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7DFD789D">
            <w:pPr>
              <w:shd w:val="clear"/>
              <w:spacing w:line="360" w:lineRule="auto"/>
              <w:jc w:val="center"/>
              <w:outlineLvl w:val="9"/>
              <w:rPr>
                <w:rFonts w:hint="eastAsia" w:ascii="宋体" w:hAnsi="宋体" w:eastAsia="宋体" w:cs="宋体"/>
                <w:color w:val="auto"/>
                <w:sz w:val="24"/>
                <w:szCs w:val="24"/>
                <w:highlight w:val="none"/>
              </w:rPr>
            </w:pPr>
          </w:p>
        </w:tc>
      </w:tr>
      <w:tr w14:paraId="79B5B52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913" w:type="dxa"/>
            <w:noWrap w:val="0"/>
            <w:vAlign w:val="center"/>
          </w:tcPr>
          <w:p w14:paraId="6C9A0DA3">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2C8B08C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09CA4A0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10905B91">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1920300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A33392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011176D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4479E703">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359D43DC">
            <w:pPr>
              <w:shd w:val="clear"/>
              <w:spacing w:line="360" w:lineRule="auto"/>
              <w:jc w:val="center"/>
              <w:outlineLvl w:val="9"/>
              <w:rPr>
                <w:rFonts w:hint="eastAsia" w:ascii="宋体" w:hAnsi="宋体" w:eastAsia="宋体" w:cs="宋体"/>
                <w:color w:val="auto"/>
                <w:sz w:val="24"/>
                <w:szCs w:val="24"/>
                <w:highlight w:val="none"/>
              </w:rPr>
            </w:pPr>
          </w:p>
        </w:tc>
      </w:tr>
      <w:tr w14:paraId="240E2B3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913" w:type="dxa"/>
            <w:noWrap w:val="0"/>
            <w:vAlign w:val="center"/>
          </w:tcPr>
          <w:p w14:paraId="7A531D30">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7BBED2E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72E407D0">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0E7EF5D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7171F65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611A1B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7E9ECDF1">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0AB0BA23">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5C39F6D9">
            <w:pPr>
              <w:shd w:val="clear"/>
              <w:spacing w:line="360" w:lineRule="auto"/>
              <w:jc w:val="center"/>
              <w:outlineLvl w:val="9"/>
              <w:rPr>
                <w:rFonts w:hint="eastAsia" w:ascii="宋体" w:hAnsi="宋体" w:eastAsia="宋体" w:cs="宋体"/>
                <w:color w:val="auto"/>
                <w:sz w:val="24"/>
                <w:szCs w:val="24"/>
                <w:highlight w:val="none"/>
              </w:rPr>
            </w:pPr>
          </w:p>
        </w:tc>
      </w:tr>
      <w:tr w14:paraId="1AE18A4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2B1EE09F">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0917CFD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04D114C">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3E3482BD">
            <w:pPr>
              <w:shd w:val="clear"/>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7E8FCA19">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280F72F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0C25C54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5591EAC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6E2A9B24">
            <w:pPr>
              <w:shd w:val="clear"/>
              <w:spacing w:line="360" w:lineRule="auto"/>
              <w:jc w:val="center"/>
              <w:outlineLvl w:val="9"/>
              <w:rPr>
                <w:rFonts w:hint="eastAsia" w:ascii="宋体" w:hAnsi="宋体" w:eastAsia="宋体" w:cs="宋体"/>
                <w:color w:val="auto"/>
                <w:sz w:val="24"/>
                <w:szCs w:val="24"/>
                <w:highlight w:val="none"/>
              </w:rPr>
            </w:pPr>
          </w:p>
        </w:tc>
      </w:tr>
      <w:tr w14:paraId="047A2DF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73375E5A">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31D09C90">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72D0619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B1DBE1D">
            <w:pPr>
              <w:shd w:val="clear"/>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5408654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620C23D9">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06C59B9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177FCD20">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0CDB43CC">
            <w:pPr>
              <w:shd w:val="clear"/>
              <w:spacing w:line="360" w:lineRule="auto"/>
              <w:jc w:val="center"/>
              <w:outlineLvl w:val="9"/>
              <w:rPr>
                <w:rFonts w:hint="eastAsia" w:ascii="宋体" w:hAnsi="宋体" w:eastAsia="宋体" w:cs="宋体"/>
                <w:color w:val="auto"/>
                <w:sz w:val="24"/>
                <w:szCs w:val="24"/>
                <w:highlight w:val="none"/>
              </w:rPr>
            </w:pPr>
          </w:p>
        </w:tc>
      </w:tr>
      <w:tr w14:paraId="3DAACBE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77F3C562">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162B0FA9">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3DDF115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3F479C8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3B92695A">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3CE5970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40BE1C8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6FFE1A8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3B349ECE">
            <w:pPr>
              <w:shd w:val="clear"/>
              <w:spacing w:line="360" w:lineRule="auto"/>
              <w:jc w:val="center"/>
              <w:outlineLvl w:val="9"/>
              <w:rPr>
                <w:rFonts w:hint="eastAsia" w:ascii="宋体" w:hAnsi="宋体" w:eastAsia="宋体" w:cs="宋体"/>
                <w:color w:val="auto"/>
                <w:sz w:val="24"/>
                <w:szCs w:val="24"/>
                <w:highlight w:val="none"/>
              </w:rPr>
            </w:pPr>
          </w:p>
        </w:tc>
      </w:tr>
      <w:tr w14:paraId="6BE7282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7878A69F">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61BB0FA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B5DEB3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177822E">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26A3A06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E458627">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151C85C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0C27D8A9">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5957D039">
            <w:pPr>
              <w:shd w:val="clear"/>
              <w:spacing w:line="360" w:lineRule="auto"/>
              <w:jc w:val="center"/>
              <w:outlineLvl w:val="9"/>
              <w:rPr>
                <w:rFonts w:hint="eastAsia" w:ascii="宋体" w:hAnsi="宋体" w:eastAsia="宋体" w:cs="宋体"/>
                <w:color w:val="auto"/>
                <w:sz w:val="24"/>
                <w:szCs w:val="24"/>
                <w:highlight w:val="none"/>
              </w:rPr>
            </w:pPr>
          </w:p>
        </w:tc>
      </w:tr>
      <w:tr w14:paraId="7EA9176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13" w:type="dxa"/>
            <w:noWrap w:val="0"/>
            <w:vAlign w:val="center"/>
          </w:tcPr>
          <w:p w14:paraId="38FC45D6">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3F5F3850">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25CD823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2D192EE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05C1852D">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7F26E403">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66CEC65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3BF4DD10">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7B4CD488">
            <w:pPr>
              <w:shd w:val="clear"/>
              <w:spacing w:line="360" w:lineRule="auto"/>
              <w:jc w:val="center"/>
              <w:outlineLvl w:val="9"/>
              <w:rPr>
                <w:rFonts w:hint="eastAsia" w:ascii="宋体" w:hAnsi="宋体" w:eastAsia="宋体" w:cs="宋体"/>
                <w:color w:val="auto"/>
                <w:sz w:val="24"/>
                <w:szCs w:val="24"/>
                <w:highlight w:val="none"/>
              </w:rPr>
            </w:pPr>
          </w:p>
        </w:tc>
      </w:tr>
      <w:tr w14:paraId="6EB6026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913" w:type="dxa"/>
            <w:noWrap w:val="0"/>
            <w:vAlign w:val="center"/>
          </w:tcPr>
          <w:p w14:paraId="3F934A41">
            <w:pPr>
              <w:shd w:val="clear"/>
              <w:spacing w:line="360" w:lineRule="auto"/>
              <w:jc w:val="center"/>
              <w:outlineLvl w:val="9"/>
              <w:rPr>
                <w:rFonts w:hint="eastAsia" w:ascii="宋体" w:hAnsi="宋体" w:eastAsia="宋体" w:cs="宋体"/>
                <w:color w:val="auto"/>
                <w:sz w:val="24"/>
                <w:szCs w:val="24"/>
                <w:highlight w:val="none"/>
              </w:rPr>
            </w:pPr>
          </w:p>
        </w:tc>
        <w:tc>
          <w:tcPr>
            <w:tcW w:w="1086" w:type="dxa"/>
            <w:noWrap w:val="0"/>
            <w:vAlign w:val="center"/>
          </w:tcPr>
          <w:p w14:paraId="2F5E83F3">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2B98DCD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200B7A21">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48" w:type="dxa"/>
            <w:noWrap w:val="0"/>
            <w:vAlign w:val="center"/>
          </w:tcPr>
          <w:p w14:paraId="40A1A388">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750" w:type="dxa"/>
            <w:noWrap w:val="0"/>
            <w:vAlign w:val="center"/>
          </w:tcPr>
          <w:p w14:paraId="4D398CDF">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488" w:type="dxa"/>
            <w:noWrap w:val="0"/>
            <w:vAlign w:val="center"/>
          </w:tcPr>
          <w:p w14:paraId="5625D4A4">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671" w:type="dxa"/>
            <w:noWrap w:val="0"/>
            <w:vAlign w:val="center"/>
          </w:tcPr>
          <w:p w14:paraId="57C0337B">
            <w:pPr>
              <w:shd w:val="clear"/>
              <w:tabs>
                <w:tab w:val="left" w:pos="360"/>
              </w:tabs>
              <w:spacing w:line="360" w:lineRule="auto"/>
              <w:jc w:val="center"/>
              <w:outlineLvl w:val="9"/>
              <w:rPr>
                <w:rFonts w:hint="eastAsia" w:ascii="宋体" w:hAnsi="宋体" w:eastAsia="宋体" w:cs="宋体"/>
                <w:color w:val="auto"/>
                <w:sz w:val="24"/>
                <w:szCs w:val="24"/>
                <w:highlight w:val="none"/>
              </w:rPr>
            </w:pPr>
          </w:p>
        </w:tc>
        <w:tc>
          <w:tcPr>
            <w:tcW w:w="1131" w:type="dxa"/>
            <w:noWrap w:val="0"/>
            <w:vAlign w:val="center"/>
          </w:tcPr>
          <w:p w14:paraId="79FC2C8E">
            <w:pPr>
              <w:shd w:val="clear"/>
              <w:spacing w:line="360" w:lineRule="auto"/>
              <w:jc w:val="center"/>
              <w:outlineLvl w:val="9"/>
              <w:rPr>
                <w:rFonts w:hint="eastAsia" w:ascii="宋体" w:hAnsi="宋体" w:eastAsia="宋体" w:cs="宋体"/>
                <w:color w:val="auto"/>
                <w:sz w:val="24"/>
                <w:szCs w:val="24"/>
                <w:highlight w:val="none"/>
              </w:rPr>
            </w:pPr>
          </w:p>
        </w:tc>
      </w:tr>
    </w:tbl>
    <w:p w14:paraId="5FC474BE">
      <w:pPr>
        <w:widowControl/>
        <w:shd w:val="clea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附件四：投入机械设备情况表</w:t>
      </w:r>
    </w:p>
    <w:tbl>
      <w:tblPr>
        <w:tblStyle w:val="5"/>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890"/>
        <w:gridCol w:w="1242"/>
        <w:gridCol w:w="827"/>
        <w:gridCol w:w="1792"/>
        <w:gridCol w:w="1104"/>
        <w:gridCol w:w="1649"/>
      </w:tblGrid>
      <w:tr w14:paraId="5847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6A97D8C5">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1.拟投入本项目的洒水车（清洗车）；</w:t>
            </w:r>
          </w:p>
        </w:tc>
      </w:tr>
      <w:tr w14:paraId="7EF52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1CFEABA7">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7743790E">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0B09AC7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596816C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04F6DFE5">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6D0FCC1E">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3A0B0FA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42603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3E280C4F">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72D59CF0">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7302333B">
            <w:pPr>
              <w:shd w:val="clear"/>
              <w:spacing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661DBBF4">
            <w:pPr>
              <w:shd w:val="clear"/>
              <w:spacing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68AA979C">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108385E2">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1AC05380">
            <w:pPr>
              <w:shd w:val="clear"/>
              <w:spacing w:line="360" w:lineRule="auto"/>
              <w:outlineLvl w:val="9"/>
              <w:rPr>
                <w:rFonts w:hint="eastAsia" w:ascii="宋体" w:hAnsi="宋体" w:eastAsia="宋体" w:cs="宋体"/>
                <w:color w:val="auto"/>
                <w:sz w:val="21"/>
                <w:szCs w:val="21"/>
                <w:highlight w:val="none"/>
              </w:rPr>
            </w:pPr>
          </w:p>
        </w:tc>
      </w:tr>
      <w:tr w14:paraId="153A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0CFB5A5D">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3E624A72">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511D1518">
            <w:pPr>
              <w:shd w:val="clear"/>
              <w:spacing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56589A21">
            <w:pPr>
              <w:shd w:val="clear"/>
              <w:spacing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32F96234">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2138F6C5">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525EAC9E">
            <w:pPr>
              <w:shd w:val="clear"/>
              <w:spacing w:line="360" w:lineRule="auto"/>
              <w:outlineLvl w:val="9"/>
              <w:rPr>
                <w:rFonts w:hint="eastAsia" w:ascii="宋体" w:hAnsi="宋体" w:eastAsia="宋体" w:cs="宋体"/>
                <w:color w:val="auto"/>
                <w:sz w:val="21"/>
                <w:szCs w:val="21"/>
                <w:highlight w:val="none"/>
              </w:rPr>
            </w:pPr>
          </w:p>
        </w:tc>
      </w:tr>
      <w:tr w14:paraId="36CE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14B99C86">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2.拟投入本项目的病虫害打药机具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绿篱机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油锯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树枝粉碎机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割草机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高枝剪/高枝锯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落叶吹风机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割灌机</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shd w:val="clear" w:color="auto" w:fill="FFFFFF"/>
              </w:rPr>
              <w:t>；</w:t>
            </w:r>
          </w:p>
        </w:tc>
      </w:tr>
      <w:tr w14:paraId="1285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2398AE59">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32C08442">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2F78A1DE">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3502AEBD">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6DAC7FF6">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0B03D956">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6909B12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4005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4F069A44">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1926657B">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0787B290">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03421CF5">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60AC78FE">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59275C58">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145809A0">
            <w:pPr>
              <w:shd w:val="clear"/>
              <w:spacing w:line="360" w:lineRule="auto"/>
              <w:jc w:val="center"/>
              <w:outlineLvl w:val="9"/>
              <w:rPr>
                <w:rFonts w:hint="eastAsia" w:ascii="宋体" w:hAnsi="宋体" w:eastAsia="宋体" w:cs="宋体"/>
                <w:color w:val="auto"/>
                <w:sz w:val="21"/>
                <w:szCs w:val="21"/>
                <w:highlight w:val="none"/>
              </w:rPr>
            </w:pPr>
          </w:p>
        </w:tc>
      </w:tr>
      <w:tr w14:paraId="50D9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0C0E9486">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05C3DCE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7BAC2AA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16632D94">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6B63A48E">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50E3B2A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7CBA100A">
            <w:pPr>
              <w:shd w:val="clear"/>
              <w:spacing w:line="360" w:lineRule="auto"/>
              <w:jc w:val="center"/>
              <w:outlineLvl w:val="9"/>
              <w:rPr>
                <w:rFonts w:hint="eastAsia" w:ascii="宋体" w:hAnsi="宋体" w:eastAsia="宋体" w:cs="宋体"/>
                <w:color w:val="auto"/>
                <w:sz w:val="21"/>
                <w:szCs w:val="21"/>
                <w:highlight w:val="none"/>
              </w:rPr>
            </w:pPr>
          </w:p>
        </w:tc>
      </w:tr>
      <w:tr w14:paraId="78A93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4B5F3A7C">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890" w:type="dxa"/>
            <w:noWrap w:val="0"/>
            <w:vAlign w:val="center"/>
          </w:tcPr>
          <w:p w14:paraId="460F00A6">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12EDD46A">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7AD03436">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67222DC0">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5ACA5E1C">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00A850F3">
            <w:pPr>
              <w:shd w:val="clear"/>
              <w:spacing w:line="360" w:lineRule="auto"/>
              <w:jc w:val="center"/>
              <w:outlineLvl w:val="9"/>
              <w:rPr>
                <w:rFonts w:hint="eastAsia" w:ascii="宋体" w:hAnsi="宋体" w:eastAsia="宋体" w:cs="宋体"/>
                <w:color w:val="auto"/>
                <w:sz w:val="21"/>
                <w:szCs w:val="21"/>
                <w:highlight w:val="none"/>
              </w:rPr>
            </w:pPr>
          </w:p>
        </w:tc>
      </w:tr>
      <w:tr w14:paraId="795B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1147CD3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890" w:type="dxa"/>
            <w:noWrap w:val="0"/>
            <w:vAlign w:val="center"/>
          </w:tcPr>
          <w:p w14:paraId="217DD19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4331CA9C">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40632D21">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2F147AAC">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0EEAACEA">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4C31C750">
            <w:pPr>
              <w:shd w:val="clear"/>
              <w:spacing w:line="360" w:lineRule="auto"/>
              <w:jc w:val="center"/>
              <w:outlineLvl w:val="9"/>
              <w:rPr>
                <w:rFonts w:hint="eastAsia" w:ascii="宋体" w:hAnsi="宋体" w:eastAsia="宋体" w:cs="宋体"/>
                <w:color w:val="auto"/>
                <w:sz w:val="21"/>
                <w:szCs w:val="21"/>
                <w:highlight w:val="none"/>
              </w:rPr>
            </w:pPr>
          </w:p>
        </w:tc>
      </w:tr>
      <w:tr w14:paraId="3F02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571639D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890" w:type="dxa"/>
            <w:noWrap w:val="0"/>
            <w:vAlign w:val="center"/>
          </w:tcPr>
          <w:p w14:paraId="7CBAAA4F">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5F1121C5">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2D6FD745">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44435CC0">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127B24E2">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2FC8E728">
            <w:pPr>
              <w:shd w:val="clear"/>
              <w:spacing w:line="360" w:lineRule="auto"/>
              <w:jc w:val="center"/>
              <w:outlineLvl w:val="9"/>
              <w:rPr>
                <w:rFonts w:hint="eastAsia" w:ascii="宋体" w:hAnsi="宋体" w:eastAsia="宋体" w:cs="宋体"/>
                <w:color w:val="auto"/>
                <w:sz w:val="21"/>
                <w:szCs w:val="21"/>
                <w:highlight w:val="none"/>
              </w:rPr>
            </w:pPr>
          </w:p>
        </w:tc>
      </w:tr>
      <w:tr w14:paraId="140C8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3020A93D">
            <w:pPr>
              <w:shd w:val="clear"/>
              <w:spacing w:line="360" w:lineRule="auto"/>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1890" w:type="dxa"/>
            <w:noWrap w:val="0"/>
            <w:vAlign w:val="center"/>
          </w:tcPr>
          <w:p w14:paraId="438014DC">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4D904610">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508E4BD1">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365B0FB0">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2FF96E64">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7A20CD4A">
            <w:pPr>
              <w:shd w:val="clear"/>
              <w:spacing w:line="360" w:lineRule="auto"/>
              <w:jc w:val="center"/>
              <w:outlineLvl w:val="9"/>
              <w:rPr>
                <w:rFonts w:hint="eastAsia" w:ascii="宋体" w:hAnsi="宋体" w:eastAsia="宋体" w:cs="宋体"/>
                <w:color w:val="auto"/>
                <w:sz w:val="21"/>
                <w:szCs w:val="21"/>
                <w:highlight w:val="none"/>
              </w:rPr>
            </w:pPr>
          </w:p>
        </w:tc>
      </w:tr>
      <w:tr w14:paraId="4910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238BDE07">
            <w:pPr>
              <w:shd w:val="clear"/>
              <w:spacing w:line="360" w:lineRule="auto"/>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1890" w:type="dxa"/>
            <w:noWrap w:val="0"/>
            <w:vAlign w:val="center"/>
          </w:tcPr>
          <w:p w14:paraId="516E114F">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4AECE8D2">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527EFB18">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29D399B5">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19F30443">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351C9B0A">
            <w:pPr>
              <w:shd w:val="clear"/>
              <w:spacing w:line="360" w:lineRule="auto"/>
              <w:jc w:val="center"/>
              <w:outlineLvl w:val="9"/>
              <w:rPr>
                <w:rFonts w:hint="eastAsia" w:ascii="宋体" w:hAnsi="宋体" w:eastAsia="宋体" w:cs="宋体"/>
                <w:color w:val="auto"/>
                <w:sz w:val="21"/>
                <w:szCs w:val="21"/>
                <w:highlight w:val="none"/>
              </w:rPr>
            </w:pPr>
          </w:p>
        </w:tc>
      </w:tr>
      <w:tr w14:paraId="662C4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103F59A1">
            <w:pPr>
              <w:shd w:val="clear"/>
              <w:spacing w:line="360" w:lineRule="auto"/>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1890" w:type="dxa"/>
            <w:noWrap w:val="0"/>
            <w:vAlign w:val="center"/>
          </w:tcPr>
          <w:p w14:paraId="0B7FC9B0">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26D3290C">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39C2F317">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546F470E">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6042D5A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146812C8">
            <w:pPr>
              <w:shd w:val="clear"/>
              <w:spacing w:line="360" w:lineRule="auto"/>
              <w:jc w:val="center"/>
              <w:outlineLvl w:val="9"/>
              <w:rPr>
                <w:rFonts w:hint="eastAsia" w:ascii="宋体" w:hAnsi="宋体" w:eastAsia="宋体" w:cs="宋体"/>
                <w:color w:val="auto"/>
                <w:sz w:val="21"/>
                <w:szCs w:val="21"/>
                <w:highlight w:val="none"/>
              </w:rPr>
            </w:pPr>
          </w:p>
        </w:tc>
      </w:tr>
      <w:tr w14:paraId="47EA6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3E95DFB6">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shd w:val="clear" w:color="auto" w:fill="FFFFFF"/>
              </w:rPr>
              <w:t>拟投入本项目的</w:t>
            </w:r>
            <w:r>
              <w:rPr>
                <w:rFonts w:hint="eastAsia" w:ascii="宋体" w:hAnsi="宋体" w:eastAsia="宋体" w:cs="宋体"/>
                <w:color w:val="auto"/>
                <w:sz w:val="21"/>
                <w:szCs w:val="21"/>
                <w:highlight w:val="none"/>
                <w:shd w:val="clear" w:color="auto" w:fill="FFFFFF"/>
                <w:lang w:val="en-US" w:eastAsia="zh-CN"/>
              </w:rPr>
              <w:t>垃圾清运车、新能源巡查车</w:t>
            </w:r>
            <w:r>
              <w:rPr>
                <w:rFonts w:hint="eastAsia" w:ascii="宋体" w:hAnsi="宋体" w:eastAsia="宋体" w:cs="宋体"/>
                <w:color w:val="auto"/>
                <w:sz w:val="21"/>
                <w:szCs w:val="21"/>
                <w:highlight w:val="none"/>
                <w:shd w:val="clear" w:color="auto" w:fill="FFFFFF"/>
              </w:rPr>
              <w:t>；</w:t>
            </w:r>
          </w:p>
        </w:tc>
      </w:tr>
      <w:tr w14:paraId="4928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57D0EA68">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0CD6F73E">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5E234B4F">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0B3A5DFA">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3D45214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71660B64">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2C68AAE2">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01201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665DD85E">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18F45018">
            <w:pPr>
              <w:shd w:val="clear"/>
              <w:spacing w:line="360" w:lineRule="auto"/>
              <w:outlineLvl w:val="9"/>
              <w:rPr>
                <w:rFonts w:hint="eastAsia" w:ascii="宋体" w:hAnsi="宋体" w:eastAsia="宋体" w:cs="宋体"/>
                <w:color w:val="auto"/>
                <w:sz w:val="21"/>
                <w:szCs w:val="21"/>
                <w:highlight w:val="none"/>
              </w:rPr>
            </w:pPr>
          </w:p>
        </w:tc>
        <w:tc>
          <w:tcPr>
            <w:tcW w:w="1242" w:type="dxa"/>
            <w:noWrap w:val="0"/>
            <w:vAlign w:val="center"/>
          </w:tcPr>
          <w:p w14:paraId="3E54F72F">
            <w:pPr>
              <w:shd w:val="clear"/>
              <w:spacing w:line="360" w:lineRule="auto"/>
              <w:outlineLvl w:val="9"/>
              <w:rPr>
                <w:rFonts w:hint="eastAsia" w:ascii="宋体" w:hAnsi="宋体" w:eastAsia="宋体" w:cs="宋体"/>
                <w:color w:val="auto"/>
                <w:sz w:val="21"/>
                <w:szCs w:val="21"/>
                <w:highlight w:val="none"/>
              </w:rPr>
            </w:pPr>
          </w:p>
        </w:tc>
        <w:tc>
          <w:tcPr>
            <w:tcW w:w="827" w:type="dxa"/>
            <w:noWrap w:val="0"/>
            <w:vAlign w:val="center"/>
          </w:tcPr>
          <w:p w14:paraId="0E35D78F">
            <w:pPr>
              <w:shd w:val="clear"/>
              <w:spacing w:line="360" w:lineRule="auto"/>
              <w:outlineLvl w:val="9"/>
              <w:rPr>
                <w:rFonts w:hint="eastAsia" w:ascii="宋体" w:hAnsi="宋体" w:eastAsia="宋体" w:cs="宋体"/>
                <w:color w:val="auto"/>
                <w:sz w:val="21"/>
                <w:szCs w:val="21"/>
                <w:highlight w:val="none"/>
              </w:rPr>
            </w:pPr>
          </w:p>
        </w:tc>
        <w:tc>
          <w:tcPr>
            <w:tcW w:w="1792" w:type="dxa"/>
            <w:noWrap w:val="0"/>
            <w:vAlign w:val="center"/>
          </w:tcPr>
          <w:p w14:paraId="5F2EBABA">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479C682C">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422AAD30">
            <w:pPr>
              <w:shd w:val="clear"/>
              <w:spacing w:line="360" w:lineRule="auto"/>
              <w:outlineLvl w:val="9"/>
              <w:rPr>
                <w:rFonts w:hint="eastAsia" w:ascii="宋体" w:hAnsi="宋体" w:eastAsia="宋体" w:cs="宋体"/>
                <w:color w:val="auto"/>
                <w:sz w:val="21"/>
                <w:szCs w:val="21"/>
                <w:highlight w:val="none"/>
              </w:rPr>
            </w:pPr>
          </w:p>
        </w:tc>
      </w:tr>
      <w:tr w14:paraId="16D33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063EC918">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7707DC3C">
            <w:pPr>
              <w:shd w:val="clear"/>
              <w:spacing w:line="360" w:lineRule="auto"/>
              <w:outlineLvl w:val="9"/>
              <w:rPr>
                <w:rFonts w:hint="eastAsia" w:ascii="宋体" w:hAnsi="宋体" w:eastAsia="宋体" w:cs="宋体"/>
                <w:color w:val="auto"/>
                <w:sz w:val="21"/>
                <w:szCs w:val="21"/>
                <w:highlight w:val="none"/>
              </w:rPr>
            </w:pPr>
          </w:p>
        </w:tc>
        <w:tc>
          <w:tcPr>
            <w:tcW w:w="1242" w:type="dxa"/>
            <w:noWrap w:val="0"/>
            <w:vAlign w:val="center"/>
          </w:tcPr>
          <w:p w14:paraId="7230AAE5">
            <w:pPr>
              <w:shd w:val="clear"/>
              <w:spacing w:line="360" w:lineRule="auto"/>
              <w:outlineLvl w:val="9"/>
              <w:rPr>
                <w:rFonts w:hint="eastAsia" w:ascii="宋体" w:hAnsi="宋体" w:eastAsia="宋体" w:cs="宋体"/>
                <w:color w:val="auto"/>
                <w:sz w:val="21"/>
                <w:szCs w:val="21"/>
                <w:highlight w:val="none"/>
              </w:rPr>
            </w:pPr>
          </w:p>
        </w:tc>
        <w:tc>
          <w:tcPr>
            <w:tcW w:w="827" w:type="dxa"/>
            <w:noWrap w:val="0"/>
            <w:vAlign w:val="center"/>
          </w:tcPr>
          <w:p w14:paraId="16FACA1D">
            <w:pPr>
              <w:shd w:val="clear"/>
              <w:spacing w:line="360" w:lineRule="auto"/>
              <w:outlineLvl w:val="9"/>
              <w:rPr>
                <w:rFonts w:hint="eastAsia" w:ascii="宋体" w:hAnsi="宋体" w:eastAsia="宋体" w:cs="宋体"/>
                <w:color w:val="auto"/>
                <w:sz w:val="21"/>
                <w:szCs w:val="21"/>
                <w:highlight w:val="none"/>
              </w:rPr>
            </w:pPr>
          </w:p>
        </w:tc>
        <w:tc>
          <w:tcPr>
            <w:tcW w:w="1792" w:type="dxa"/>
            <w:noWrap w:val="0"/>
            <w:vAlign w:val="center"/>
          </w:tcPr>
          <w:p w14:paraId="238A83BC">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1AAFCA57">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4D24D348">
            <w:pPr>
              <w:shd w:val="clear"/>
              <w:spacing w:line="360" w:lineRule="auto"/>
              <w:outlineLvl w:val="9"/>
              <w:rPr>
                <w:rFonts w:hint="eastAsia" w:ascii="宋体" w:hAnsi="宋体" w:eastAsia="宋体" w:cs="宋体"/>
                <w:color w:val="auto"/>
                <w:sz w:val="21"/>
                <w:szCs w:val="21"/>
                <w:highlight w:val="none"/>
              </w:rPr>
            </w:pPr>
          </w:p>
        </w:tc>
      </w:tr>
      <w:tr w14:paraId="23D8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0" w:type="dxa"/>
            <w:gridSpan w:val="7"/>
            <w:noWrap w:val="0"/>
            <w:vAlign w:val="center"/>
          </w:tcPr>
          <w:p w14:paraId="27C38F00">
            <w:pPr>
              <w:shd w:val="clear"/>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4.拟投入的与养护有关的其余设备、器材、工具如(发电机、随车吊、乔木修剪车、打药车)等；</w:t>
            </w:r>
          </w:p>
        </w:tc>
      </w:tr>
      <w:tr w14:paraId="35034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170E1BDC">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90" w:type="dxa"/>
            <w:noWrap w:val="0"/>
            <w:vAlign w:val="center"/>
          </w:tcPr>
          <w:p w14:paraId="500A7BC8">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机械设备名称</w:t>
            </w:r>
          </w:p>
        </w:tc>
        <w:tc>
          <w:tcPr>
            <w:tcW w:w="1242" w:type="dxa"/>
            <w:noWrap w:val="0"/>
            <w:vAlign w:val="center"/>
          </w:tcPr>
          <w:p w14:paraId="57FBE87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型号规格</w:t>
            </w:r>
          </w:p>
        </w:tc>
        <w:tc>
          <w:tcPr>
            <w:tcW w:w="827" w:type="dxa"/>
            <w:noWrap w:val="0"/>
            <w:vAlign w:val="center"/>
          </w:tcPr>
          <w:p w14:paraId="1CCEDCC9">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792" w:type="dxa"/>
            <w:noWrap w:val="0"/>
            <w:vAlign w:val="center"/>
          </w:tcPr>
          <w:p w14:paraId="4F830B80">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目前状况</w:t>
            </w:r>
          </w:p>
        </w:tc>
        <w:tc>
          <w:tcPr>
            <w:tcW w:w="1104" w:type="dxa"/>
            <w:noWrap w:val="0"/>
            <w:vAlign w:val="center"/>
          </w:tcPr>
          <w:p w14:paraId="590381DB">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来源</w:t>
            </w:r>
          </w:p>
        </w:tc>
        <w:tc>
          <w:tcPr>
            <w:tcW w:w="1649" w:type="dxa"/>
            <w:noWrap w:val="0"/>
            <w:vAlign w:val="center"/>
          </w:tcPr>
          <w:p w14:paraId="0E9A20BE">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31621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5258108B">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890" w:type="dxa"/>
            <w:noWrap w:val="0"/>
            <w:vAlign w:val="center"/>
          </w:tcPr>
          <w:p w14:paraId="1EE0DA6E">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48611D6B">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3DD9C118">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35F098E7">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5267F349">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2B4469B2">
            <w:pPr>
              <w:shd w:val="clear"/>
              <w:spacing w:line="360" w:lineRule="auto"/>
              <w:jc w:val="center"/>
              <w:outlineLvl w:val="9"/>
              <w:rPr>
                <w:rFonts w:hint="eastAsia" w:ascii="宋体" w:hAnsi="宋体" w:eastAsia="宋体" w:cs="宋体"/>
                <w:color w:val="auto"/>
                <w:sz w:val="21"/>
                <w:szCs w:val="21"/>
                <w:highlight w:val="none"/>
              </w:rPr>
            </w:pPr>
          </w:p>
        </w:tc>
      </w:tr>
      <w:tr w14:paraId="7788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44BB6176">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890" w:type="dxa"/>
            <w:noWrap w:val="0"/>
            <w:vAlign w:val="center"/>
          </w:tcPr>
          <w:p w14:paraId="5E473130">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65EA9DB6">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25CA1474">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7C563570">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4EAC39C1">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196CDD9A">
            <w:pPr>
              <w:shd w:val="clear"/>
              <w:spacing w:line="360" w:lineRule="auto"/>
              <w:jc w:val="center"/>
              <w:outlineLvl w:val="9"/>
              <w:rPr>
                <w:rFonts w:hint="eastAsia" w:ascii="宋体" w:hAnsi="宋体" w:eastAsia="宋体" w:cs="宋体"/>
                <w:color w:val="auto"/>
                <w:sz w:val="21"/>
                <w:szCs w:val="21"/>
                <w:highlight w:val="none"/>
              </w:rPr>
            </w:pPr>
          </w:p>
        </w:tc>
      </w:tr>
      <w:tr w14:paraId="68B44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41BE5DA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890" w:type="dxa"/>
            <w:noWrap w:val="0"/>
            <w:vAlign w:val="center"/>
          </w:tcPr>
          <w:p w14:paraId="70B9338F">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4717E578">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54B53530">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0AC5C64B">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30CCBBF0">
            <w:pPr>
              <w:widowControl/>
              <w:shd w:val="clear"/>
              <w:spacing w:after="240" w:afterLines="100"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54C89C9D">
            <w:pPr>
              <w:shd w:val="clear"/>
              <w:spacing w:line="360" w:lineRule="auto"/>
              <w:jc w:val="center"/>
              <w:outlineLvl w:val="9"/>
              <w:rPr>
                <w:rFonts w:hint="eastAsia" w:ascii="宋体" w:hAnsi="宋体" w:eastAsia="宋体" w:cs="宋体"/>
                <w:color w:val="auto"/>
                <w:sz w:val="21"/>
                <w:szCs w:val="21"/>
                <w:highlight w:val="none"/>
              </w:rPr>
            </w:pPr>
          </w:p>
        </w:tc>
      </w:tr>
      <w:tr w14:paraId="52BAF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6" w:type="dxa"/>
            <w:noWrap w:val="0"/>
            <w:vAlign w:val="center"/>
          </w:tcPr>
          <w:p w14:paraId="144CC841">
            <w:pPr>
              <w:shd w:val="clear"/>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890" w:type="dxa"/>
            <w:noWrap w:val="0"/>
            <w:vAlign w:val="center"/>
          </w:tcPr>
          <w:p w14:paraId="4ABE13DC">
            <w:pPr>
              <w:shd w:val="clear"/>
              <w:spacing w:line="360" w:lineRule="auto"/>
              <w:jc w:val="center"/>
              <w:outlineLvl w:val="9"/>
              <w:rPr>
                <w:rFonts w:hint="eastAsia" w:ascii="宋体" w:hAnsi="宋体" w:eastAsia="宋体" w:cs="宋体"/>
                <w:color w:val="auto"/>
                <w:sz w:val="21"/>
                <w:szCs w:val="21"/>
                <w:highlight w:val="none"/>
              </w:rPr>
            </w:pPr>
          </w:p>
        </w:tc>
        <w:tc>
          <w:tcPr>
            <w:tcW w:w="1242" w:type="dxa"/>
            <w:noWrap w:val="0"/>
            <w:vAlign w:val="center"/>
          </w:tcPr>
          <w:p w14:paraId="6B4A3F2C">
            <w:pPr>
              <w:shd w:val="clear"/>
              <w:spacing w:line="360" w:lineRule="auto"/>
              <w:jc w:val="center"/>
              <w:outlineLvl w:val="9"/>
              <w:rPr>
                <w:rFonts w:hint="eastAsia" w:ascii="宋体" w:hAnsi="宋体" w:eastAsia="宋体" w:cs="宋体"/>
                <w:color w:val="auto"/>
                <w:sz w:val="21"/>
                <w:szCs w:val="21"/>
                <w:highlight w:val="none"/>
              </w:rPr>
            </w:pPr>
          </w:p>
        </w:tc>
        <w:tc>
          <w:tcPr>
            <w:tcW w:w="827" w:type="dxa"/>
            <w:noWrap w:val="0"/>
            <w:vAlign w:val="center"/>
          </w:tcPr>
          <w:p w14:paraId="2C77045C">
            <w:pPr>
              <w:shd w:val="clear"/>
              <w:spacing w:line="360" w:lineRule="auto"/>
              <w:jc w:val="center"/>
              <w:outlineLvl w:val="9"/>
              <w:rPr>
                <w:rFonts w:hint="eastAsia" w:ascii="宋体" w:hAnsi="宋体" w:eastAsia="宋体" w:cs="宋体"/>
                <w:color w:val="auto"/>
                <w:sz w:val="21"/>
                <w:szCs w:val="21"/>
                <w:highlight w:val="none"/>
              </w:rPr>
            </w:pPr>
          </w:p>
        </w:tc>
        <w:tc>
          <w:tcPr>
            <w:tcW w:w="1792" w:type="dxa"/>
            <w:noWrap w:val="0"/>
            <w:vAlign w:val="center"/>
          </w:tcPr>
          <w:p w14:paraId="543A715F">
            <w:pPr>
              <w:shd w:val="clear"/>
              <w:spacing w:line="360" w:lineRule="auto"/>
              <w:jc w:val="center"/>
              <w:outlineLvl w:val="9"/>
              <w:rPr>
                <w:rFonts w:hint="eastAsia" w:ascii="宋体" w:hAnsi="宋体" w:eastAsia="宋体" w:cs="宋体"/>
                <w:color w:val="auto"/>
                <w:sz w:val="21"/>
                <w:szCs w:val="21"/>
                <w:highlight w:val="none"/>
              </w:rPr>
            </w:pPr>
          </w:p>
        </w:tc>
        <w:tc>
          <w:tcPr>
            <w:tcW w:w="1104" w:type="dxa"/>
            <w:noWrap w:val="0"/>
            <w:vAlign w:val="center"/>
          </w:tcPr>
          <w:p w14:paraId="77C3663D">
            <w:pPr>
              <w:shd w:val="clear"/>
              <w:spacing w:line="360" w:lineRule="auto"/>
              <w:jc w:val="center"/>
              <w:outlineLvl w:val="9"/>
              <w:rPr>
                <w:rFonts w:hint="eastAsia" w:ascii="宋体" w:hAnsi="宋体" w:eastAsia="宋体" w:cs="宋体"/>
                <w:color w:val="auto"/>
                <w:sz w:val="21"/>
                <w:szCs w:val="21"/>
                <w:highlight w:val="none"/>
              </w:rPr>
            </w:pPr>
          </w:p>
        </w:tc>
        <w:tc>
          <w:tcPr>
            <w:tcW w:w="1649" w:type="dxa"/>
            <w:noWrap w:val="0"/>
            <w:vAlign w:val="center"/>
          </w:tcPr>
          <w:p w14:paraId="1F748568">
            <w:pPr>
              <w:shd w:val="clear"/>
              <w:spacing w:line="360" w:lineRule="auto"/>
              <w:jc w:val="center"/>
              <w:outlineLvl w:val="9"/>
              <w:rPr>
                <w:rFonts w:hint="eastAsia" w:ascii="宋体" w:hAnsi="宋体" w:eastAsia="宋体" w:cs="宋体"/>
                <w:color w:val="auto"/>
                <w:sz w:val="21"/>
                <w:szCs w:val="21"/>
                <w:highlight w:val="none"/>
              </w:rPr>
            </w:pPr>
          </w:p>
        </w:tc>
      </w:tr>
    </w:tbl>
    <w:p w14:paraId="6CE6C096">
      <w:pPr>
        <w:widowControl/>
        <w:shd w:val="clea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附件五：西安浐灞国际港绿地管护工作考评办法</w:t>
      </w:r>
    </w:p>
    <w:p w14:paraId="57A0B9BA">
      <w:pPr>
        <w:shd w:val="clear"/>
        <w:spacing w:before="240"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西安浐灞国际港绿地管护工作考评办法</w:t>
      </w:r>
    </w:p>
    <w:p w14:paraId="0A7BEE13">
      <w:pPr>
        <w:shd w:val="clear"/>
        <w:spacing w:line="360" w:lineRule="auto"/>
        <w:ind w:firstLine="420" w:firstLineChars="200"/>
        <w:outlineLvl w:val="9"/>
        <w:rPr>
          <w:rFonts w:hint="eastAsia" w:ascii="宋体" w:hAnsi="宋体" w:eastAsia="宋体" w:cs="宋体"/>
          <w:color w:val="auto"/>
          <w:sz w:val="21"/>
          <w:szCs w:val="21"/>
          <w:highlight w:val="none"/>
        </w:rPr>
      </w:pPr>
    </w:p>
    <w:p w14:paraId="2EAFFCC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为了进一步规范绿化管理工作，促进全区养护管理工作规范化、科学化、长效化管理水平不断提高， 全面、客观考评各单位园林绿化管理工作开展情况，特制定本暂行办法。</w:t>
      </w:r>
    </w:p>
    <w:p w14:paraId="59DE309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一、考评对象</w:t>
      </w:r>
    </w:p>
    <w:p w14:paraId="53EAA99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园区绿化养护标段。</w:t>
      </w:r>
    </w:p>
    <w:p w14:paraId="6DE99A3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二、考评范围</w:t>
      </w:r>
    </w:p>
    <w:p w14:paraId="534BABD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西安浐灞国际港内建成绿地养护管理工作。</w:t>
      </w:r>
    </w:p>
    <w:p w14:paraId="7B58534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三、考评机构</w:t>
      </w:r>
    </w:p>
    <w:p w14:paraId="22DBA49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加强考评工作的组织领导，西安浐灞国际港生态环境局成立专项工作领导小组，负责统筹有关工作的组织协调、实施推进和督促检查。领导小组组长由西安浐灞国际港生态环境局副局长担任，副组长由负责养护管理业务干部担任，成员由绿化养护监理人员、各养护单位项目管理人员担任。副组长与各成员为考评工作人员，为确保考核工作公正考评组人数需在三人以上，具体负责日常检查考评评分工作。组长对考评工作进行督查，确保考评及时、客观、公正。</w:t>
      </w:r>
    </w:p>
    <w:p w14:paraId="48B759D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四、考评方式</w:t>
      </w:r>
    </w:p>
    <w:p w14:paraId="7748451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（一）月度考评</w:t>
      </w:r>
    </w:p>
    <w:p w14:paraId="2A5B2D0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下旬实地到每个绿化标段进行检查，并按照月度考评打分及处罚标准（详见附件）考核。每月月初考评小组需对各单位的月度检查考评及处罚情况进行汇总，对养护单元养护情况给出优、良、差的评价等级，并报西安浐灞国际港生态环境局审核，审核通过后，进行通报。</w:t>
      </w:r>
    </w:p>
    <w:p w14:paraId="03D3C39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 年度考评</w:t>
      </w:r>
    </w:p>
    <w:p w14:paraId="0D6A343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西安浐灞国际港生态环境局年底综合全年管理工作的总体情况，对各单位进行年度评分和排名。年度评分内容包括管理工作得分、上级考核工作得分、额外奖励加分。</w:t>
      </w:r>
    </w:p>
    <w:p w14:paraId="070350F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工作得分是指考评小组依据月度考评情况，评出的各单位园林绿化管理工作年度总分。上级检查得分是指考评小组依据市级领导及相关部门、市局检查考核情况，评出的各单位管护项目园林绿化管理年度总分。额外奖励加分是指考评小组在确定各单位管理工作得分和上级考核工作得分后，对在养护管理、工作措施、技术应用方面创新工作取得显著成效的、某项工作具有全区示范意义或落实临时重大任务成绩突出的单位酌情予以额外加分。</w:t>
      </w:r>
    </w:p>
    <w:p w14:paraId="4E04DCF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度考评总分为100分，一般情况由管理工作分值和上级考核工作得分组成，管理工作分值占年度考评分值的比例为80%，上级考核工作得分分值占年度考评分值的比例为20%。无上级检查得分者则以管理工作分值为考评总分。</w:t>
      </w:r>
    </w:p>
    <w:p w14:paraId="28A4D81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五、结果运用</w:t>
      </w:r>
    </w:p>
    <w:p w14:paraId="68FF355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月度考核：每月对各养护标段，根据《西安浐灞国际港园林绿化管理工作月度考评及处罚标准》（见附表）进行打分、考核、排名和处罚工作，对结果进行通报，处罚费用在当季养护费用中扣除。对考评中第一次出现排名后三且考评为差（月度考评成绩70分以下）的养护单元，对项目单位公司领导及项目经理进行约谈，对养护单元管理负责人及主要管理人员进行提醒警告。累计两次出现排名后三且考评为差（月度考评成绩70分以下）的养护单元要求更换管理负责人及主要管理人员。累计三次排名后三且考评为差（月度考评成绩70分以下）的养护单元，解除该养护单元养护关系，委托其它单位负责该区域养护工作。</w:t>
      </w:r>
    </w:p>
    <w:p w14:paraId="2D92399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年度考核：年度内月度考核评价累计三次为差的标段，扣除养护单位年度护质保金，对各养护标段园林绿化管理工作的考评结果，做如下运用:一是根据考核分值按月统计，按照考核结果支付养护费用；二是作为园区养护管理单位的评价推选依据；三是作为向管委会领导通告有关企业管理水平优劣的基础和依据；四是作为进行各类责任追究的基础性依据。</w:t>
      </w:r>
    </w:p>
    <w:p w14:paraId="3EEDAE9D">
      <w:pPr>
        <w:shd w:val="clear"/>
        <w:spacing w:line="360" w:lineRule="auto"/>
        <w:outlineLvl w:val="9"/>
        <w:rPr>
          <w:rFonts w:hint="eastAsia" w:ascii="宋体" w:hAnsi="宋体" w:eastAsia="宋体" w:cs="宋体"/>
          <w:color w:val="auto"/>
          <w:sz w:val="24"/>
          <w:szCs w:val="24"/>
          <w:highlight w:val="none"/>
        </w:rPr>
        <w:sectPr>
          <w:footerReference r:id="rId13" w:type="first"/>
          <w:footerReference r:id="rId11" w:type="default"/>
          <w:footerReference r:id="rId12" w:type="even"/>
          <w:pgSz w:w="11905" w:h="16838"/>
          <w:pgMar w:top="1304" w:right="1134" w:bottom="1304" w:left="1247" w:header="850" w:footer="992" w:gutter="0"/>
          <w:pgNumType w:fmt="numberInDash" w:start="1"/>
          <w:cols w:space="720" w:num="1"/>
          <w:titlePg/>
          <w:docGrid w:linePitch="323" w:charSpace="0"/>
        </w:sectPr>
      </w:pPr>
    </w:p>
    <w:p w14:paraId="32FC6A75">
      <w:pPr>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附件一：西安浐灞国际港园林绿化工作考核标准表（西安浐灞国际港绿地养护管理工作月度考核标准表）</w:t>
      </w:r>
    </w:p>
    <w:tbl>
      <w:tblPr>
        <w:tblStyle w:val="5"/>
        <w:tblW w:w="5009"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68"/>
        <w:gridCol w:w="1267"/>
        <w:gridCol w:w="1850"/>
        <w:gridCol w:w="6160"/>
        <w:gridCol w:w="3402"/>
        <w:gridCol w:w="719"/>
      </w:tblGrid>
      <w:tr w14:paraId="2200C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noWrap w:val="0"/>
            <w:vAlign w:val="center"/>
          </w:tcPr>
          <w:p w14:paraId="42068F92">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44" w:type="pct"/>
            <w:noWrap w:val="0"/>
            <w:vAlign w:val="center"/>
          </w:tcPr>
          <w:p w14:paraId="668FD161">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类别</w:t>
            </w:r>
          </w:p>
        </w:tc>
        <w:tc>
          <w:tcPr>
            <w:tcW w:w="648" w:type="pct"/>
            <w:noWrap w:val="0"/>
            <w:vAlign w:val="center"/>
          </w:tcPr>
          <w:p w14:paraId="706C96DE">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考核项目</w:t>
            </w:r>
          </w:p>
        </w:tc>
        <w:tc>
          <w:tcPr>
            <w:tcW w:w="2158" w:type="pct"/>
            <w:noWrap w:val="0"/>
            <w:vAlign w:val="center"/>
          </w:tcPr>
          <w:p w14:paraId="2D577FF1">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扣分标准</w:t>
            </w:r>
          </w:p>
        </w:tc>
        <w:tc>
          <w:tcPr>
            <w:tcW w:w="1192" w:type="pct"/>
            <w:noWrap w:val="0"/>
            <w:vAlign w:val="center"/>
          </w:tcPr>
          <w:p w14:paraId="6E585C4D">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扣款标准</w:t>
            </w:r>
          </w:p>
        </w:tc>
        <w:tc>
          <w:tcPr>
            <w:tcW w:w="252" w:type="pct"/>
            <w:noWrap w:val="0"/>
            <w:vAlign w:val="center"/>
          </w:tcPr>
          <w:p w14:paraId="126A648E">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0733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04C0A52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44" w:type="pct"/>
            <w:vMerge w:val="restart"/>
            <w:noWrap w:val="0"/>
            <w:vAlign w:val="center"/>
          </w:tcPr>
          <w:p w14:paraId="10A5303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绿化养护（50分）</w:t>
            </w:r>
          </w:p>
        </w:tc>
        <w:tc>
          <w:tcPr>
            <w:tcW w:w="648" w:type="pct"/>
            <w:noWrap w:val="0"/>
            <w:vAlign w:val="center"/>
          </w:tcPr>
          <w:p w14:paraId="77EB25B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足额配备现场管理人员绿化养护工</w:t>
            </w:r>
          </w:p>
        </w:tc>
        <w:tc>
          <w:tcPr>
            <w:tcW w:w="2158" w:type="pct"/>
            <w:noWrap w:val="0"/>
            <w:vAlign w:val="top"/>
          </w:tcPr>
          <w:p w14:paraId="6214B64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1、养护工配置标准为现场工人公园、一级养护绿地</w:t>
            </w:r>
            <w:r>
              <w:rPr>
                <w:rFonts w:hint="eastAsia" w:ascii="宋体" w:hAnsi="宋体" w:eastAsia="宋体" w:cs="宋体"/>
                <w:color w:val="auto"/>
                <w:sz w:val="21"/>
                <w:szCs w:val="21"/>
                <w:highlight w:val="none"/>
                <w:lang w:val="en-US" w:eastAsia="zh-CN"/>
              </w:rPr>
              <w:t>10000</w:t>
            </w:r>
            <w:r>
              <w:rPr>
                <w:rFonts w:hint="eastAsia" w:ascii="宋体" w:hAnsi="宋体" w:eastAsia="宋体" w:cs="宋体"/>
                <w:color w:val="auto"/>
                <w:sz w:val="21"/>
                <w:szCs w:val="21"/>
                <w:highlight w:val="none"/>
              </w:rPr>
              <w:t>㎡/人，二级养护绿地1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000㎡/人，防护林带20000㎡/人，未按规定足额配备每少1人扣2分；</w:t>
            </w:r>
          </w:p>
          <w:p w14:paraId="593F4C9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2、养护人员未按规定着装每人扣1分；</w:t>
            </w:r>
          </w:p>
          <w:p w14:paraId="2F58165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养护单位现场负责人员管理人员要求园林绿化相关专业大专以上文凭，具有3年从事绿化工作经验。养护标段现场技术负责人需具有绿化养护高级工应具备的相关要求、知识、技能及3年以上工作经验，现场标段负责人及技术负责人缺岗，每次扣5分，资质不达标每次扣3分。</w:t>
            </w:r>
          </w:p>
          <w:p w14:paraId="09341A6C">
            <w:pPr>
              <w:shd w:val="clea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4、技术工人需有5年以上养护工作经验，养护工人中技术工的占比为总人数的30%。按规定未足额配备每少1人扣5分。</w:t>
            </w:r>
          </w:p>
          <w:p w14:paraId="6EC59E5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5、强化人员专业培训提升，</w:t>
            </w:r>
            <w:r>
              <w:rPr>
                <w:rFonts w:hint="eastAsia" w:ascii="宋体" w:hAnsi="宋体" w:eastAsia="宋体" w:cs="宋体"/>
                <w:color w:val="auto"/>
                <w:sz w:val="21"/>
                <w:szCs w:val="21"/>
                <w:highlight w:val="none"/>
                <w:lang w:val="en-US" w:eastAsia="zh-CN"/>
              </w:rPr>
              <w:t>定期进行</w:t>
            </w:r>
            <w:r>
              <w:rPr>
                <w:rFonts w:hint="eastAsia" w:ascii="宋体" w:hAnsi="宋体" w:eastAsia="宋体" w:cs="宋体"/>
                <w:color w:val="auto"/>
                <w:sz w:val="21"/>
                <w:szCs w:val="21"/>
                <w:highlight w:val="none"/>
              </w:rPr>
              <w:t>每周一课</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月度培训</w:t>
            </w:r>
            <w:r>
              <w:rPr>
                <w:rFonts w:hint="eastAsia" w:ascii="宋体" w:hAnsi="宋体" w:eastAsia="宋体" w:cs="宋体"/>
                <w:color w:val="auto"/>
                <w:sz w:val="21"/>
                <w:szCs w:val="21"/>
                <w:highlight w:val="none"/>
                <w:lang w:val="en-US" w:eastAsia="zh-CN"/>
              </w:rPr>
              <w:t>活动，其中每周一课年度不少于20次，月度培训年度不少于5次</w:t>
            </w:r>
            <w:r>
              <w:rPr>
                <w:rFonts w:hint="eastAsia" w:ascii="宋体" w:hAnsi="宋体" w:eastAsia="宋体" w:cs="宋体"/>
                <w:color w:val="auto"/>
                <w:sz w:val="21"/>
                <w:szCs w:val="21"/>
                <w:highlight w:val="none"/>
              </w:rPr>
              <w:t>。</w:t>
            </w:r>
          </w:p>
        </w:tc>
        <w:tc>
          <w:tcPr>
            <w:tcW w:w="1192" w:type="pct"/>
            <w:noWrap w:val="0"/>
            <w:vAlign w:val="top"/>
          </w:tcPr>
          <w:p w14:paraId="4D8E16B4">
            <w:pPr>
              <w:shd w:val="clear"/>
              <w:rPr>
                <w:rFonts w:hint="eastAsia" w:ascii="宋体" w:hAnsi="宋体" w:eastAsia="宋体" w:cs="宋体"/>
                <w:color w:val="auto"/>
                <w:sz w:val="21"/>
                <w:szCs w:val="21"/>
                <w:highlight w:val="none"/>
              </w:rPr>
            </w:pPr>
          </w:p>
          <w:p w14:paraId="3FF9AE95">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工人缺人1次按日工资3倍处罚，每月</w:t>
            </w:r>
            <w:r>
              <w:rPr>
                <w:rFonts w:hint="eastAsia" w:ascii="宋体" w:hAnsi="宋体" w:eastAsia="宋体" w:cs="宋体"/>
                <w:color w:val="auto"/>
                <w:sz w:val="21"/>
                <w:szCs w:val="21"/>
                <w:highlight w:val="none"/>
                <w:lang w:val="en-US" w:eastAsia="zh-CN"/>
              </w:rPr>
              <w:t>累计出现</w:t>
            </w:r>
            <w:r>
              <w:rPr>
                <w:rFonts w:hint="eastAsia" w:ascii="宋体" w:hAnsi="宋体" w:eastAsia="宋体" w:cs="宋体"/>
                <w:color w:val="auto"/>
                <w:sz w:val="21"/>
                <w:szCs w:val="21"/>
                <w:highlight w:val="none"/>
              </w:rPr>
              <w:t>三次以上缺人</w:t>
            </w:r>
            <w:r>
              <w:rPr>
                <w:rFonts w:hint="eastAsia" w:ascii="宋体" w:hAnsi="宋体" w:eastAsia="宋体" w:cs="宋体"/>
                <w:color w:val="auto"/>
                <w:sz w:val="21"/>
                <w:szCs w:val="21"/>
                <w:highlight w:val="none"/>
                <w:lang w:val="en-US" w:eastAsia="zh-CN"/>
              </w:rPr>
              <w:t>问题按照6</w:t>
            </w:r>
            <w:r>
              <w:rPr>
                <w:rFonts w:hint="eastAsia" w:ascii="宋体" w:hAnsi="宋体" w:eastAsia="宋体" w:cs="宋体"/>
                <w:color w:val="auto"/>
                <w:sz w:val="21"/>
                <w:szCs w:val="21"/>
                <w:highlight w:val="none"/>
              </w:rPr>
              <w:t>000元</w:t>
            </w:r>
            <w:r>
              <w:rPr>
                <w:rFonts w:hint="eastAsia" w:ascii="宋体" w:hAnsi="宋体" w:eastAsia="宋体" w:cs="宋体"/>
                <w:color w:val="auto"/>
                <w:sz w:val="21"/>
                <w:szCs w:val="21"/>
                <w:highlight w:val="none"/>
                <w:lang w:val="en-US" w:eastAsia="zh-CN"/>
              </w:rPr>
              <w:t>/人/月标准进行处罚</w:t>
            </w:r>
            <w:r>
              <w:rPr>
                <w:rFonts w:hint="eastAsia" w:ascii="宋体" w:hAnsi="宋体" w:eastAsia="宋体" w:cs="宋体"/>
                <w:color w:val="auto"/>
                <w:sz w:val="21"/>
                <w:szCs w:val="21"/>
                <w:highlight w:val="none"/>
              </w:rPr>
              <w:t>（如有请假、调岗需提前报备），</w:t>
            </w:r>
            <w:r>
              <w:rPr>
                <w:rFonts w:hint="eastAsia" w:ascii="宋体" w:hAnsi="宋体" w:eastAsia="宋体" w:cs="宋体"/>
                <w:color w:val="auto"/>
                <w:sz w:val="21"/>
                <w:szCs w:val="21"/>
                <w:highlight w:val="none"/>
                <w:lang w:val="en-US" w:eastAsia="zh-CN"/>
              </w:rPr>
              <w:t>对</w:t>
            </w:r>
            <w:r>
              <w:rPr>
                <w:rFonts w:hint="eastAsia" w:ascii="宋体" w:hAnsi="宋体" w:eastAsia="宋体" w:cs="宋体"/>
                <w:color w:val="auto"/>
                <w:sz w:val="21"/>
                <w:szCs w:val="21"/>
                <w:highlight w:val="none"/>
              </w:rPr>
              <w:t>资质不达标</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1500元</w:t>
            </w:r>
            <w:r>
              <w:rPr>
                <w:rFonts w:hint="eastAsia" w:ascii="宋体" w:hAnsi="宋体" w:eastAsia="宋体" w:cs="宋体"/>
                <w:color w:val="auto"/>
                <w:sz w:val="21"/>
                <w:szCs w:val="21"/>
                <w:highlight w:val="none"/>
                <w:lang w:val="en-US" w:eastAsia="zh-CN"/>
              </w:rPr>
              <w:t>/人/月标准进行处罚</w:t>
            </w:r>
            <w:r>
              <w:rPr>
                <w:rFonts w:hint="eastAsia" w:ascii="宋体" w:hAnsi="宋体" w:eastAsia="宋体" w:cs="宋体"/>
                <w:color w:val="auto"/>
                <w:sz w:val="21"/>
                <w:szCs w:val="21"/>
                <w:highlight w:val="none"/>
              </w:rPr>
              <w:t>；脱岗</w:t>
            </w:r>
            <w:r>
              <w:rPr>
                <w:rFonts w:hint="eastAsia" w:ascii="宋体" w:hAnsi="宋体" w:eastAsia="宋体" w:cs="宋体"/>
                <w:color w:val="auto"/>
                <w:sz w:val="21"/>
                <w:szCs w:val="21"/>
                <w:highlight w:val="none"/>
                <w:lang w:val="en-US" w:eastAsia="zh-CN"/>
              </w:rPr>
              <w:t>问题按照</w:t>
            </w:r>
            <w:r>
              <w:rPr>
                <w:rFonts w:hint="eastAsia" w:ascii="宋体" w:hAnsi="宋体" w:eastAsia="宋体" w:cs="宋体"/>
                <w:color w:val="auto"/>
                <w:sz w:val="21"/>
                <w:szCs w:val="21"/>
                <w:highlight w:val="none"/>
              </w:rPr>
              <w:t>500元</w:t>
            </w:r>
            <w:r>
              <w:rPr>
                <w:rFonts w:hint="eastAsia" w:ascii="宋体" w:hAnsi="宋体" w:eastAsia="宋体" w:cs="宋体"/>
                <w:color w:val="auto"/>
                <w:sz w:val="21"/>
                <w:szCs w:val="21"/>
                <w:highlight w:val="none"/>
                <w:lang w:val="en-US" w:eastAsia="zh-CN"/>
              </w:rPr>
              <w:t>/人/次标准进行处罚</w:t>
            </w:r>
            <w:r>
              <w:rPr>
                <w:rFonts w:hint="eastAsia" w:ascii="宋体" w:hAnsi="宋体" w:eastAsia="宋体" w:cs="宋体"/>
                <w:color w:val="auto"/>
                <w:sz w:val="21"/>
                <w:szCs w:val="21"/>
                <w:highlight w:val="none"/>
              </w:rPr>
              <w:t>，管理人员要求不达标的</w:t>
            </w:r>
            <w:r>
              <w:rPr>
                <w:rFonts w:hint="eastAsia" w:ascii="宋体" w:hAnsi="宋体" w:eastAsia="宋体" w:cs="宋体"/>
                <w:color w:val="auto"/>
                <w:sz w:val="21"/>
                <w:szCs w:val="21"/>
                <w:highlight w:val="none"/>
                <w:lang w:val="en-US" w:eastAsia="zh-CN"/>
              </w:rPr>
              <w:t>按照10</w:t>
            </w:r>
            <w:r>
              <w:rPr>
                <w:rFonts w:hint="eastAsia" w:ascii="宋体" w:hAnsi="宋体" w:eastAsia="宋体" w:cs="宋体"/>
                <w:color w:val="auto"/>
                <w:sz w:val="21"/>
                <w:szCs w:val="21"/>
                <w:highlight w:val="none"/>
              </w:rPr>
              <w:t>000元</w:t>
            </w:r>
            <w:r>
              <w:rPr>
                <w:rFonts w:hint="eastAsia" w:ascii="宋体" w:hAnsi="宋体" w:eastAsia="宋体" w:cs="宋体"/>
                <w:color w:val="auto"/>
                <w:sz w:val="21"/>
                <w:szCs w:val="21"/>
                <w:highlight w:val="none"/>
                <w:lang w:val="en-US" w:eastAsia="zh-CN"/>
              </w:rPr>
              <w:t>/人/月标准进行处罚</w:t>
            </w:r>
            <w:r>
              <w:rPr>
                <w:rFonts w:hint="eastAsia" w:ascii="宋体" w:hAnsi="宋体" w:eastAsia="宋体" w:cs="宋体"/>
                <w:color w:val="auto"/>
                <w:sz w:val="21"/>
                <w:szCs w:val="21"/>
                <w:highlight w:val="none"/>
              </w:rPr>
              <w:t>，未按要求</w:t>
            </w:r>
            <w:r>
              <w:rPr>
                <w:rFonts w:hint="eastAsia" w:ascii="宋体" w:hAnsi="宋体" w:eastAsia="宋体" w:cs="宋体"/>
                <w:color w:val="auto"/>
                <w:sz w:val="21"/>
                <w:szCs w:val="21"/>
                <w:highlight w:val="none"/>
                <w:lang w:val="en-US" w:eastAsia="zh-CN"/>
              </w:rPr>
              <w:t>足额配备</w:t>
            </w:r>
            <w:r>
              <w:rPr>
                <w:rFonts w:hint="eastAsia" w:ascii="宋体" w:hAnsi="宋体" w:eastAsia="宋体" w:cs="宋体"/>
                <w:color w:val="auto"/>
                <w:sz w:val="21"/>
                <w:szCs w:val="21"/>
                <w:highlight w:val="none"/>
              </w:rPr>
              <w:t>管理人员的</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15000元</w:t>
            </w:r>
            <w:r>
              <w:rPr>
                <w:rFonts w:hint="eastAsia" w:ascii="宋体" w:hAnsi="宋体" w:eastAsia="宋体" w:cs="宋体"/>
                <w:color w:val="auto"/>
                <w:sz w:val="21"/>
                <w:szCs w:val="21"/>
                <w:highlight w:val="none"/>
                <w:lang w:val="en-US" w:eastAsia="zh-CN"/>
              </w:rPr>
              <w:t>/人/月进行处罚</w:t>
            </w:r>
            <w:r>
              <w:rPr>
                <w:rFonts w:hint="eastAsia" w:ascii="宋体" w:hAnsi="宋体" w:eastAsia="宋体" w:cs="宋体"/>
                <w:color w:val="auto"/>
                <w:sz w:val="21"/>
                <w:szCs w:val="21"/>
                <w:highlight w:val="none"/>
              </w:rPr>
              <w:t>，未按要求开展培训的</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1万元</w:t>
            </w:r>
            <w:r>
              <w:rPr>
                <w:rFonts w:hint="eastAsia" w:ascii="宋体" w:hAnsi="宋体" w:eastAsia="宋体" w:cs="宋体"/>
                <w:color w:val="auto"/>
                <w:sz w:val="21"/>
                <w:szCs w:val="21"/>
                <w:highlight w:val="none"/>
                <w:lang w:val="en-US" w:eastAsia="zh-CN"/>
              </w:rPr>
              <w:t>/次标准进行处罚</w:t>
            </w:r>
          </w:p>
        </w:tc>
        <w:tc>
          <w:tcPr>
            <w:tcW w:w="252" w:type="pct"/>
            <w:noWrap w:val="0"/>
            <w:vAlign w:val="top"/>
          </w:tcPr>
          <w:p w14:paraId="5F7D9835">
            <w:pPr>
              <w:shd w:val="clear"/>
              <w:rPr>
                <w:rFonts w:hint="eastAsia" w:ascii="宋体" w:hAnsi="宋体" w:eastAsia="宋体" w:cs="宋体"/>
                <w:color w:val="auto"/>
                <w:sz w:val="21"/>
                <w:szCs w:val="21"/>
                <w:highlight w:val="none"/>
              </w:rPr>
            </w:pPr>
          </w:p>
        </w:tc>
      </w:tr>
      <w:tr w14:paraId="26DE0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1" w:hRule="atLeast"/>
        </w:trPr>
        <w:tc>
          <w:tcPr>
            <w:tcW w:w="304" w:type="pct"/>
            <w:vMerge w:val="continue"/>
            <w:noWrap w:val="0"/>
            <w:vAlign w:val="top"/>
          </w:tcPr>
          <w:p w14:paraId="0A714787">
            <w:pPr>
              <w:shd w:val="clear"/>
              <w:rPr>
                <w:rFonts w:hint="eastAsia" w:ascii="宋体" w:hAnsi="宋体" w:eastAsia="宋体" w:cs="宋体"/>
                <w:color w:val="auto"/>
                <w:sz w:val="21"/>
                <w:szCs w:val="21"/>
                <w:highlight w:val="none"/>
              </w:rPr>
            </w:pPr>
          </w:p>
        </w:tc>
        <w:tc>
          <w:tcPr>
            <w:tcW w:w="444" w:type="pct"/>
            <w:vMerge w:val="continue"/>
            <w:noWrap w:val="0"/>
            <w:vAlign w:val="top"/>
          </w:tcPr>
          <w:p w14:paraId="3C8DE552">
            <w:pPr>
              <w:shd w:val="clear"/>
              <w:rPr>
                <w:rFonts w:hint="eastAsia" w:ascii="宋体" w:hAnsi="宋体" w:eastAsia="宋体" w:cs="宋体"/>
                <w:color w:val="auto"/>
                <w:sz w:val="21"/>
                <w:szCs w:val="21"/>
                <w:highlight w:val="none"/>
              </w:rPr>
            </w:pPr>
          </w:p>
        </w:tc>
        <w:tc>
          <w:tcPr>
            <w:tcW w:w="648" w:type="pct"/>
            <w:noWrap w:val="0"/>
            <w:vAlign w:val="center"/>
          </w:tcPr>
          <w:p w14:paraId="129D7BF4">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绿</w:t>
            </w:r>
            <w:r>
              <w:rPr>
                <w:rFonts w:hint="eastAsia" w:ascii="宋体" w:hAnsi="宋体" w:eastAsia="宋体" w:cs="宋体"/>
                <w:color w:val="auto"/>
                <w:sz w:val="21"/>
                <w:szCs w:val="21"/>
                <w:highlight w:val="none"/>
                <w:lang w:val="en-US" w:eastAsia="zh-CN"/>
              </w:rPr>
              <w:t>化带</w:t>
            </w:r>
            <w:r>
              <w:rPr>
                <w:rFonts w:hint="eastAsia" w:ascii="宋体" w:hAnsi="宋体" w:eastAsia="宋体" w:cs="宋体"/>
                <w:color w:val="auto"/>
                <w:sz w:val="21"/>
                <w:szCs w:val="21"/>
                <w:highlight w:val="none"/>
              </w:rPr>
              <w:t>清掏</w:t>
            </w:r>
            <w:r>
              <w:rPr>
                <w:rFonts w:hint="eastAsia" w:ascii="宋体" w:hAnsi="宋体" w:eastAsia="宋体" w:cs="宋体"/>
                <w:color w:val="auto"/>
                <w:sz w:val="21"/>
                <w:szCs w:val="21"/>
                <w:highlight w:val="none"/>
                <w:lang w:val="en-US" w:eastAsia="zh-CN"/>
              </w:rPr>
              <w:t>及绿地、园路、广场、游乐场等区域的保洁</w:t>
            </w:r>
          </w:p>
        </w:tc>
        <w:tc>
          <w:tcPr>
            <w:tcW w:w="2158" w:type="pct"/>
            <w:noWrap w:val="0"/>
            <w:vAlign w:val="top"/>
          </w:tcPr>
          <w:p w14:paraId="4A2EDD0B">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1、绿化带内有白色垃圾或杂草的，垃圾每处扣1分，绿地杂草按照每平米扣1分；</w:t>
            </w:r>
          </w:p>
          <w:p w14:paraId="1109024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2、绿化带清理、清掏出的垃圾要求人走垃圾清，沿途堆积的，每处扣2分。</w:t>
            </w:r>
          </w:p>
          <w:p w14:paraId="6E1D1CE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3、建立绿篱清掏常效化管理机制，每年早春与秋冬交替之际，组织两次彻底的清掏工作，确保绿化带土层低于道沿10公分（特殊情况除外），清掏工作不达标的，每㎡扣0.5分。</w:t>
            </w:r>
          </w:p>
          <w:p w14:paraId="607F4520">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4、园路、广场、绿地等区域及时清扫，垃圾杂物及时捡拾，未开展清扫工作扣5分，未及时捡拾垃圾杂物的发现一处扣0.5分。</w:t>
            </w:r>
          </w:p>
          <w:p w14:paraId="7BF5C981">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5、公园广场内垃圾桶、果皮箱内垃圾及时清掏，无堆积垃圾，无恶臭异味，一处不达标扣1分。</w:t>
            </w:r>
          </w:p>
          <w:p w14:paraId="0972B882">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6、绿地区域内无乱贴乱画，乱打乱盖，擅自占用和堆放杂物现象，一次不达标标扣1分。                        7、绿地内护栏、座椅、垃圾桶等设施定期擦洗，干净整洁，未及时擦洗的每处扣0.5分。</w:t>
            </w:r>
          </w:p>
        </w:tc>
        <w:tc>
          <w:tcPr>
            <w:tcW w:w="1192" w:type="pct"/>
            <w:noWrap w:val="0"/>
            <w:vAlign w:val="top"/>
          </w:tcPr>
          <w:p w14:paraId="25A20A42">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无保洁方案或方案不合格或未按照方案实施的按照1万元处罚，垃圾杂物每次检查5000㎡范围内超过5处的按照100元/处罚款；出现现场垃圾堆积，未及时清理（工完场清）的按照500元/堆进行处罚</w:t>
            </w:r>
          </w:p>
        </w:tc>
        <w:tc>
          <w:tcPr>
            <w:tcW w:w="252" w:type="pct"/>
            <w:noWrap w:val="0"/>
            <w:vAlign w:val="top"/>
          </w:tcPr>
          <w:p w14:paraId="366A797F">
            <w:pPr>
              <w:shd w:val="clear"/>
              <w:rPr>
                <w:rFonts w:hint="eastAsia" w:ascii="宋体" w:hAnsi="宋体" w:eastAsia="宋体" w:cs="宋体"/>
                <w:color w:val="auto"/>
                <w:sz w:val="21"/>
                <w:szCs w:val="21"/>
                <w:highlight w:val="none"/>
              </w:rPr>
            </w:pPr>
          </w:p>
        </w:tc>
      </w:tr>
      <w:tr w14:paraId="4D89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038AD87A">
            <w:pPr>
              <w:shd w:val="clear"/>
              <w:rPr>
                <w:rFonts w:hint="eastAsia" w:ascii="宋体" w:hAnsi="宋体" w:eastAsia="宋体" w:cs="宋体"/>
                <w:color w:val="auto"/>
                <w:sz w:val="21"/>
                <w:szCs w:val="21"/>
                <w:highlight w:val="none"/>
              </w:rPr>
            </w:pPr>
          </w:p>
        </w:tc>
        <w:tc>
          <w:tcPr>
            <w:tcW w:w="444" w:type="pct"/>
            <w:vMerge w:val="continue"/>
            <w:noWrap w:val="0"/>
            <w:vAlign w:val="top"/>
          </w:tcPr>
          <w:p w14:paraId="4B69D67F">
            <w:pPr>
              <w:shd w:val="clear"/>
              <w:rPr>
                <w:rFonts w:hint="eastAsia" w:ascii="宋体" w:hAnsi="宋体" w:eastAsia="宋体" w:cs="宋体"/>
                <w:color w:val="auto"/>
                <w:sz w:val="21"/>
                <w:szCs w:val="21"/>
                <w:highlight w:val="none"/>
              </w:rPr>
            </w:pPr>
          </w:p>
        </w:tc>
        <w:tc>
          <w:tcPr>
            <w:tcW w:w="648" w:type="pct"/>
            <w:noWrap w:val="0"/>
            <w:vAlign w:val="center"/>
          </w:tcPr>
          <w:p w14:paraId="29498F6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绿化带灌溉工作</w:t>
            </w:r>
          </w:p>
        </w:tc>
        <w:tc>
          <w:tcPr>
            <w:tcW w:w="2158" w:type="pct"/>
            <w:noWrap w:val="0"/>
            <w:vAlign w:val="top"/>
          </w:tcPr>
          <w:p w14:paraId="26EDCEB1">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1、无浇灌台账、无浇灌实施方案扣10分；</w:t>
            </w:r>
          </w:p>
          <w:p w14:paraId="324A9C8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2、绿地要求每年在入冬和开春两季分开开展冬灌和返青两次灌溉工作，同时全年浇灌次数不少于12次。在连续半个月无有效降水的情况下，要开展抗旱工作。因苗木浇水次数不达标而造成苗木死亡每处扣5分；</w:t>
            </w:r>
          </w:p>
          <w:p w14:paraId="0BF6D08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3、灌溉车辆在交通高峰期作业的，每车次扣2分。</w:t>
            </w:r>
          </w:p>
          <w:p w14:paraId="15ED21C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4、道路绿地每半月对绿植进行一次冲洗，未实施每次扣5分。</w:t>
            </w:r>
          </w:p>
        </w:tc>
        <w:tc>
          <w:tcPr>
            <w:tcW w:w="1192" w:type="pct"/>
            <w:noWrap w:val="0"/>
            <w:vAlign w:val="top"/>
          </w:tcPr>
          <w:p w14:paraId="765E35C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无浇灌方案或方案不合格的按照1万元扣除，未实施或绿地干旱验收不合格的绿地按照0.3元/㎡/次进行扣款</w:t>
            </w:r>
          </w:p>
        </w:tc>
        <w:tc>
          <w:tcPr>
            <w:tcW w:w="252" w:type="pct"/>
            <w:noWrap w:val="0"/>
            <w:vAlign w:val="top"/>
          </w:tcPr>
          <w:p w14:paraId="19DC9544">
            <w:pPr>
              <w:shd w:val="clear"/>
              <w:rPr>
                <w:rFonts w:hint="eastAsia" w:ascii="宋体" w:hAnsi="宋体" w:eastAsia="宋体" w:cs="宋体"/>
                <w:color w:val="auto"/>
                <w:sz w:val="21"/>
                <w:szCs w:val="21"/>
                <w:highlight w:val="none"/>
              </w:rPr>
            </w:pPr>
          </w:p>
        </w:tc>
      </w:tr>
      <w:tr w14:paraId="79EF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F19E6F8">
            <w:pPr>
              <w:shd w:val="clear"/>
              <w:rPr>
                <w:rFonts w:hint="eastAsia" w:ascii="宋体" w:hAnsi="宋体" w:eastAsia="宋体" w:cs="宋体"/>
                <w:color w:val="auto"/>
                <w:sz w:val="21"/>
                <w:szCs w:val="21"/>
                <w:highlight w:val="none"/>
              </w:rPr>
            </w:pPr>
          </w:p>
        </w:tc>
        <w:tc>
          <w:tcPr>
            <w:tcW w:w="444" w:type="pct"/>
            <w:vMerge w:val="continue"/>
            <w:noWrap w:val="0"/>
            <w:vAlign w:val="top"/>
          </w:tcPr>
          <w:p w14:paraId="7318A089">
            <w:pPr>
              <w:shd w:val="clear"/>
              <w:rPr>
                <w:rFonts w:hint="eastAsia" w:ascii="宋体" w:hAnsi="宋体" w:eastAsia="宋体" w:cs="宋体"/>
                <w:color w:val="auto"/>
                <w:sz w:val="21"/>
                <w:szCs w:val="21"/>
                <w:highlight w:val="none"/>
              </w:rPr>
            </w:pPr>
          </w:p>
        </w:tc>
        <w:tc>
          <w:tcPr>
            <w:tcW w:w="648" w:type="pct"/>
            <w:noWrap w:val="0"/>
            <w:vAlign w:val="center"/>
          </w:tcPr>
          <w:p w14:paraId="0C604011">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苗木整形修剪、绿地乔木及行道树管理</w:t>
            </w:r>
          </w:p>
        </w:tc>
        <w:tc>
          <w:tcPr>
            <w:tcW w:w="2158" w:type="pct"/>
            <w:noWrap w:val="0"/>
            <w:vAlign w:val="top"/>
          </w:tcPr>
          <w:p w14:paraId="7FEA31E2">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1、无修剪实施方案、无修剪台账扣10分；</w:t>
            </w:r>
          </w:p>
          <w:p w14:paraId="5F3D2C8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草坪、绿篱春冬季每月修剪一次，夏秋季每半月修剪一次，草坪高度冷季型不得超过8㎝（暖季型不得超过5㎝），绿篱不得高前期修剪高度5㎝；落叶乔木每两个月修剪一次；常绿乔木每半年修剪一次；花灌木春冬季每季度修剪一次、夏秋季每季度修剪二次；未按以上规定作业的，每平米（每株）扣1分；</w:t>
            </w:r>
          </w:p>
          <w:p w14:paraId="0A42ADE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3、乔木枝叶疯长、灌木杂生乱长、造型无形，导致视线不通透、植物外形不美甚至制约苗木正常生长的每处扣2分。遮挡交通信号灯与交通标识牌的苗木未及时修剪的，每处扣2分；</w:t>
            </w:r>
          </w:p>
          <w:p w14:paraId="4F2E327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4、行道树乱贴乱挂，新栽行道树上草绳、保护被、塑料膜去除不及时，每处扣1分；</w:t>
            </w:r>
          </w:p>
          <w:p w14:paraId="7634D08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5、支撑设施杂乱无章，不够规范统一的每处扣1分；</w:t>
            </w:r>
          </w:p>
        </w:tc>
        <w:tc>
          <w:tcPr>
            <w:tcW w:w="1192" w:type="pct"/>
            <w:noWrap w:val="0"/>
            <w:vAlign w:val="top"/>
          </w:tcPr>
          <w:p w14:paraId="4322B810">
            <w:pPr>
              <w:shd w:val="clear"/>
              <w:rPr>
                <w:rFonts w:hint="eastAsia" w:ascii="宋体" w:hAnsi="宋体" w:eastAsia="宋体" w:cs="宋体"/>
                <w:color w:val="auto"/>
                <w:sz w:val="21"/>
                <w:szCs w:val="21"/>
                <w:highlight w:val="none"/>
              </w:rPr>
            </w:pPr>
          </w:p>
          <w:p w14:paraId="36DC54ED">
            <w:pPr>
              <w:shd w:val="clear"/>
              <w:rPr>
                <w:rFonts w:hint="eastAsia" w:ascii="宋体" w:hAnsi="宋体" w:eastAsia="宋体" w:cs="宋体"/>
                <w:color w:val="auto"/>
                <w:sz w:val="21"/>
                <w:szCs w:val="21"/>
                <w:highlight w:val="none"/>
              </w:rPr>
            </w:pPr>
          </w:p>
          <w:p w14:paraId="1ED288E1">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无修剪方案或方案不合格的按照1万元处罚，草坪、绿篱修剪不及时或不合格，每平米扣除</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元/㎡；乔木、灌木修剪不及时或不合格，按照</w:t>
            </w:r>
            <w:r>
              <w:rPr>
                <w:rFonts w:hint="eastAsia" w:ascii="宋体" w:hAnsi="宋体" w:eastAsia="宋体" w:cs="宋体"/>
                <w:color w:val="auto"/>
                <w:sz w:val="21"/>
                <w:szCs w:val="21"/>
                <w:highlight w:val="none"/>
                <w:lang w:val="en-US" w:eastAsia="zh-CN"/>
              </w:rPr>
              <w:t>200</w:t>
            </w:r>
            <w:r>
              <w:rPr>
                <w:rFonts w:hint="eastAsia" w:ascii="宋体" w:hAnsi="宋体" w:eastAsia="宋体" w:cs="宋体"/>
                <w:color w:val="auto"/>
                <w:sz w:val="21"/>
                <w:szCs w:val="21"/>
                <w:highlight w:val="none"/>
              </w:rPr>
              <w:t>元/株进行处罚。</w:t>
            </w:r>
          </w:p>
        </w:tc>
        <w:tc>
          <w:tcPr>
            <w:tcW w:w="252" w:type="pct"/>
            <w:noWrap w:val="0"/>
            <w:vAlign w:val="top"/>
          </w:tcPr>
          <w:p w14:paraId="069A3874">
            <w:pPr>
              <w:shd w:val="clear"/>
              <w:rPr>
                <w:rFonts w:hint="eastAsia" w:ascii="宋体" w:hAnsi="宋体" w:eastAsia="宋体" w:cs="宋体"/>
                <w:color w:val="auto"/>
                <w:sz w:val="21"/>
                <w:szCs w:val="21"/>
                <w:highlight w:val="none"/>
              </w:rPr>
            </w:pPr>
          </w:p>
        </w:tc>
      </w:tr>
      <w:tr w14:paraId="4292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36B9BCCB">
            <w:pPr>
              <w:shd w:val="clear"/>
              <w:rPr>
                <w:rFonts w:hint="eastAsia" w:ascii="宋体" w:hAnsi="宋体" w:eastAsia="宋体" w:cs="宋体"/>
                <w:color w:val="auto"/>
                <w:sz w:val="21"/>
                <w:szCs w:val="21"/>
                <w:highlight w:val="none"/>
              </w:rPr>
            </w:pPr>
          </w:p>
        </w:tc>
        <w:tc>
          <w:tcPr>
            <w:tcW w:w="444" w:type="pct"/>
            <w:vMerge w:val="continue"/>
            <w:noWrap w:val="0"/>
            <w:vAlign w:val="top"/>
          </w:tcPr>
          <w:p w14:paraId="1E73F0CA">
            <w:pPr>
              <w:shd w:val="clear"/>
              <w:rPr>
                <w:rFonts w:hint="eastAsia" w:ascii="宋体" w:hAnsi="宋体" w:eastAsia="宋体" w:cs="宋体"/>
                <w:color w:val="auto"/>
                <w:sz w:val="21"/>
                <w:szCs w:val="21"/>
                <w:highlight w:val="none"/>
              </w:rPr>
            </w:pPr>
          </w:p>
        </w:tc>
        <w:tc>
          <w:tcPr>
            <w:tcW w:w="648" w:type="pct"/>
            <w:noWrap w:val="0"/>
            <w:vAlign w:val="center"/>
          </w:tcPr>
          <w:p w14:paraId="0C957E3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树木扶正</w:t>
            </w:r>
          </w:p>
        </w:tc>
        <w:tc>
          <w:tcPr>
            <w:tcW w:w="2158" w:type="pct"/>
            <w:noWrap w:val="0"/>
            <w:vAlign w:val="top"/>
          </w:tcPr>
          <w:p w14:paraId="34E2A3E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树木歪斜未及时扶正的扣2分</w:t>
            </w:r>
          </w:p>
        </w:tc>
        <w:tc>
          <w:tcPr>
            <w:tcW w:w="1192" w:type="pct"/>
            <w:noWrap w:val="0"/>
            <w:vAlign w:val="top"/>
          </w:tcPr>
          <w:p w14:paraId="20C5B861">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无方案或方案不合格的按照1万元/次扣除，苗木不正未在上一个绿化季扶正的</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00元/株进行扣除；遇极端天气或应急需要未按时限扶正的3000元/次扣除</w:t>
            </w:r>
          </w:p>
        </w:tc>
        <w:tc>
          <w:tcPr>
            <w:tcW w:w="252" w:type="pct"/>
            <w:noWrap w:val="0"/>
            <w:vAlign w:val="top"/>
          </w:tcPr>
          <w:p w14:paraId="33E006D1">
            <w:pPr>
              <w:shd w:val="clear"/>
              <w:rPr>
                <w:rFonts w:hint="eastAsia" w:ascii="宋体" w:hAnsi="宋体" w:eastAsia="宋体" w:cs="宋体"/>
                <w:color w:val="auto"/>
                <w:sz w:val="21"/>
                <w:szCs w:val="21"/>
                <w:highlight w:val="none"/>
              </w:rPr>
            </w:pPr>
          </w:p>
        </w:tc>
      </w:tr>
      <w:tr w14:paraId="261FE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108F9078">
            <w:pPr>
              <w:shd w:val="clear"/>
              <w:rPr>
                <w:rFonts w:hint="eastAsia" w:ascii="宋体" w:hAnsi="宋体" w:eastAsia="宋体" w:cs="宋体"/>
                <w:color w:val="auto"/>
                <w:sz w:val="21"/>
                <w:szCs w:val="21"/>
                <w:highlight w:val="none"/>
              </w:rPr>
            </w:pPr>
          </w:p>
        </w:tc>
        <w:tc>
          <w:tcPr>
            <w:tcW w:w="444" w:type="pct"/>
            <w:vMerge w:val="continue"/>
            <w:noWrap w:val="0"/>
            <w:vAlign w:val="top"/>
          </w:tcPr>
          <w:p w14:paraId="6294FDE8">
            <w:pPr>
              <w:shd w:val="clear"/>
              <w:rPr>
                <w:rFonts w:hint="eastAsia" w:ascii="宋体" w:hAnsi="宋体" w:eastAsia="宋体" w:cs="宋体"/>
                <w:color w:val="auto"/>
                <w:sz w:val="21"/>
                <w:szCs w:val="21"/>
                <w:highlight w:val="none"/>
              </w:rPr>
            </w:pPr>
          </w:p>
        </w:tc>
        <w:tc>
          <w:tcPr>
            <w:tcW w:w="648" w:type="pct"/>
            <w:noWrap w:val="0"/>
            <w:vAlign w:val="center"/>
          </w:tcPr>
          <w:p w14:paraId="276A300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苗木补栽</w:t>
            </w:r>
          </w:p>
        </w:tc>
        <w:tc>
          <w:tcPr>
            <w:tcW w:w="2158" w:type="pct"/>
            <w:noWrap w:val="0"/>
            <w:vAlign w:val="top"/>
          </w:tcPr>
          <w:p w14:paraId="19DF052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1、每年的春、秋两季组织两次苗木补栽工作，确保行道树无缺株，绿篱无断垄及斑秃现象。行道树和绿篱有缺株或断垄的，每处扣1分。</w:t>
            </w:r>
          </w:p>
          <w:p w14:paraId="70B2C18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2、草坪管理维护不精细，造成斑秃的每㎡扣2分。</w:t>
            </w:r>
          </w:p>
          <w:p w14:paraId="1A25C39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3、无修剪台账、无修剪实施方案扣10分；</w:t>
            </w:r>
          </w:p>
        </w:tc>
        <w:tc>
          <w:tcPr>
            <w:tcW w:w="1192" w:type="pct"/>
            <w:noWrap w:val="0"/>
            <w:vAlign w:val="top"/>
          </w:tcPr>
          <w:p w14:paraId="15D8C98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无方案的或方案不合格的按照1万元/次扣除，乔木、灌木按照3000元/株进行扣款，绿篱按照3000元/㎡进行扣款，地被、草坪按照500元/㎡进行扣款</w:t>
            </w:r>
          </w:p>
        </w:tc>
        <w:tc>
          <w:tcPr>
            <w:tcW w:w="252" w:type="pct"/>
            <w:noWrap w:val="0"/>
            <w:vAlign w:val="top"/>
          </w:tcPr>
          <w:p w14:paraId="15149501">
            <w:pPr>
              <w:shd w:val="clear"/>
              <w:rPr>
                <w:rFonts w:hint="eastAsia" w:ascii="宋体" w:hAnsi="宋体" w:eastAsia="宋体" w:cs="宋体"/>
                <w:color w:val="auto"/>
                <w:sz w:val="21"/>
                <w:szCs w:val="21"/>
                <w:highlight w:val="none"/>
              </w:rPr>
            </w:pPr>
          </w:p>
        </w:tc>
      </w:tr>
      <w:tr w14:paraId="0ED9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4A36B592">
            <w:pPr>
              <w:shd w:val="clear"/>
              <w:rPr>
                <w:rFonts w:hint="eastAsia" w:ascii="宋体" w:hAnsi="宋体" w:eastAsia="宋体" w:cs="宋体"/>
                <w:color w:val="auto"/>
                <w:sz w:val="21"/>
                <w:szCs w:val="21"/>
                <w:highlight w:val="none"/>
              </w:rPr>
            </w:pPr>
          </w:p>
        </w:tc>
        <w:tc>
          <w:tcPr>
            <w:tcW w:w="444" w:type="pct"/>
            <w:vMerge w:val="continue"/>
            <w:noWrap w:val="0"/>
            <w:vAlign w:val="top"/>
          </w:tcPr>
          <w:p w14:paraId="71CBE0C3">
            <w:pPr>
              <w:shd w:val="clear"/>
              <w:rPr>
                <w:rFonts w:hint="eastAsia" w:ascii="宋体" w:hAnsi="宋体" w:eastAsia="宋体" w:cs="宋体"/>
                <w:color w:val="auto"/>
                <w:sz w:val="21"/>
                <w:szCs w:val="21"/>
                <w:highlight w:val="none"/>
              </w:rPr>
            </w:pPr>
          </w:p>
        </w:tc>
        <w:tc>
          <w:tcPr>
            <w:tcW w:w="648" w:type="pct"/>
            <w:noWrap w:val="0"/>
            <w:vAlign w:val="center"/>
          </w:tcPr>
          <w:p w14:paraId="20866B70">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施肥</w:t>
            </w:r>
          </w:p>
        </w:tc>
        <w:tc>
          <w:tcPr>
            <w:tcW w:w="2158" w:type="pct"/>
            <w:noWrap w:val="0"/>
            <w:vAlign w:val="top"/>
          </w:tcPr>
          <w:p w14:paraId="3AEE677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无施肥方案、无完整台账扣5分；未按照方案实施扣5分；未及时组织人员施肥每次扣3分；无台账扣3分；</w:t>
            </w:r>
          </w:p>
        </w:tc>
        <w:tc>
          <w:tcPr>
            <w:tcW w:w="1192" w:type="pct"/>
            <w:noWrap w:val="0"/>
            <w:vAlign w:val="top"/>
          </w:tcPr>
          <w:p w14:paraId="0624CDB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无方案或方案不合格的按照1万元扣除，未实施或验收不合格的乔木、灌木等按照</w:t>
            </w: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元/株进行扣款</w:t>
            </w:r>
          </w:p>
        </w:tc>
        <w:tc>
          <w:tcPr>
            <w:tcW w:w="252" w:type="pct"/>
            <w:noWrap w:val="0"/>
            <w:vAlign w:val="top"/>
          </w:tcPr>
          <w:p w14:paraId="199D4608">
            <w:pPr>
              <w:shd w:val="clear"/>
              <w:rPr>
                <w:rFonts w:hint="eastAsia" w:ascii="宋体" w:hAnsi="宋体" w:eastAsia="宋体" w:cs="宋体"/>
                <w:color w:val="auto"/>
                <w:sz w:val="21"/>
                <w:szCs w:val="21"/>
                <w:highlight w:val="none"/>
              </w:rPr>
            </w:pPr>
          </w:p>
        </w:tc>
      </w:tr>
      <w:tr w14:paraId="7778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33908ADF">
            <w:pPr>
              <w:shd w:val="clear"/>
              <w:rPr>
                <w:rFonts w:hint="eastAsia" w:ascii="宋体" w:hAnsi="宋体" w:eastAsia="宋体" w:cs="宋体"/>
                <w:color w:val="auto"/>
                <w:sz w:val="21"/>
                <w:szCs w:val="21"/>
                <w:highlight w:val="none"/>
              </w:rPr>
            </w:pPr>
          </w:p>
        </w:tc>
        <w:tc>
          <w:tcPr>
            <w:tcW w:w="444" w:type="pct"/>
            <w:vMerge w:val="continue"/>
            <w:noWrap w:val="0"/>
            <w:vAlign w:val="top"/>
          </w:tcPr>
          <w:p w14:paraId="2900FF29">
            <w:pPr>
              <w:shd w:val="clear"/>
              <w:rPr>
                <w:rFonts w:hint="eastAsia" w:ascii="宋体" w:hAnsi="宋体" w:eastAsia="宋体" w:cs="宋体"/>
                <w:color w:val="auto"/>
                <w:sz w:val="21"/>
                <w:szCs w:val="21"/>
                <w:highlight w:val="none"/>
              </w:rPr>
            </w:pPr>
          </w:p>
        </w:tc>
        <w:tc>
          <w:tcPr>
            <w:tcW w:w="648" w:type="pct"/>
            <w:noWrap w:val="0"/>
            <w:vAlign w:val="center"/>
          </w:tcPr>
          <w:p w14:paraId="6A617EB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病虫害防治</w:t>
            </w:r>
          </w:p>
        </w:tc>
        <w:tc>
          <w:tcPr>
            <w:tcW w:w="2158" w:type="pct"/>
            <w:noWrap w:val="0"/>
            <w:vAlign w:val="top"/>
          </w:tcPr>
          <w:p w14:paraId="5A0E197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1、根据园林植物病虫害预测、预报信息，做好预案，以防为主、防治结合，做好病虫害的防治工作。没有病虫害防治预案的扣5分，未按照方案实施扣5分；无台账扣3分；</w:t>
            </w:r>
          </w:p>
          <w:p w14:paraId="20E66C0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2、出现病虫害未及时处理的扣10分。</w:t>
            </w:r>
          </w:p>
        </w:tc>
        <w:tc>
          <w:tcPr>
            <w:tcW w:w="1192" w:type="pct"/>
            <w:noWrap w:val="0"/>
            <w:vAlign w:val="top"/>
          </w:tcPr>
          <w:p w14:paraId="6AA56EB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无方案的或方案不合格的按照1万元扣除，防治不到位或未实施的，乔木、灌木按照3元/株进行扣款，绿篱、地被、草坪按照0.3元/㎡进行扣款</w:t>
            </w:r>
          </w:p>
        </w:tc>
        <w:tc>
          <w:tcPr>
            <w:tcW w:w="252" w:type="pct"/>
            <w:noWrap w:val="0"/>
            <w:vAlign w:val="top"/>
          </w:tcPr>
          <w:p w14:paraId="70286CFF">
            <w:pPr>
              <w:shd w:val="clear"/>
              <w:rPr>
                <w:rFonts w:hint="eastAsia" w:ascii="宋体" w:hAnsi="宋体" w:eastAsia="宋体" w:cs="宋体"/>
                <w:color w:val="auto"/>
                <w:sz w:val="21"/>
                <w:szCs w:val="21"/>
                <w:highlight w:val="none"/>
              </w:rPr>
            </w:pPr>
          </w:p>
        </w:tc>
      </w:tr>
      <w:tr w14:paraId="3D34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7469410E">
            <w:pPr>
              <w:shd w:val="clear"/>
              <w:rPr>
                <w:rFonts w:hint="eastAsia" w:ascii="宋体" w:hAnsi="宋体" w:eastAsia="宋体" w:cs="宋体"/>
                <w:color w:val="auto"/>
                <w:sz w:val="21"/>
                <w:szCs w:val="21"/>
                <w:highlight w:val="none"/>
              </w:rPr>
            </w:pPr>
          </w:p>
        </w:tc>
        <w:tc>
          <w:tcPr>
            <w:tcW w:w="444" w:type="pct"/>
            <w:vMerge w:val="continue"/>
            <w:noWrap w:val="0"/>
            <w:vAlign w:val="top"/>
          </w:tcPr>
          <w:p w14:paraId="2E5B512D">
            <w:pPr>
              <w:shd w:val="clear"/>
              <w:rPr>
                <w:rFonts w:hint="eastAsia" w:ascii="宋体" w:hAnsi="宋体" w:eastAsia="宋体" w:cs="宋体"/>
                <w:color w:val="auto"/>
                <w:sz w:val="21"/>
                <w:szCs w:val="21"/>
                <w:highlight w:val="none"/>
              </w:rPr>
            </w:pPr>
          </w:p>
        </w:tc>
        <w:tc>
          <w:tcPr>
            <w:tcW w:w="648" w:type="pct"/>
            <w:noWrap w:val="0"/>
            <w:vAlign w:val="center"/>
          </w:tcPr>
          <w:p w14:paraId="7883B2EB">
            <w:pPr>
              <w:shd w:val="clear"/>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rPr>
              <w:t>除杂、松土</w:t>
            </w:r>
          </w:p>
        </w:tc>
        <w:tc>
          <w:tcPr>
            <w:tcW w:w="2158" w:type="pct"/>
            <w:noWrap w:val="0"/>
            <w:vAlign w:val="top"/>
          </w:tcPr>
          <w:p w14:paraId="22A823EB">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未及时编制除杂、松土方案，扣5分，现场土地板结未松土的按照2分/处标准进行扣分。</w:t>
            </w:r>
          </w:p>
        </w:tc>
        <w:tc>
          <w:tcPr>
            <w:tcW w:w="1192" w:type="pct"/>
            <w:noWrap w:val="0"/>
            <w:vAlign w:val="top"/>
          </w:tcPr>
          <w:p w14:paraId="44D1086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无方案或方案不合格的按照1万元扣除，未实施或验收不合格的按照0.3元/㎡/次进行扣款</w:t>
            </w:r>
          </w:p>
        </w:tc>
        <w:tc>
          <w:tcPr>
            <w:tcW w:w="252" w:type="pct"/>
            <w:noWrap w:val="0"/>
            <w:vAlign w:val="top"/>
          </w:tcPr>
          <w:p w14:paraId="07751D9A">
            <w:pPr>
              <w:shd w:val="clear"/>
              <w:rPr>
                <w:rFonts w:hint="eastAsia" w:ascii="宋体" w:hAnsi="宋体" w:eastAsia="宋体" w:cs="宋体"/>
                <w:color w:val="auto"/>
                <w:sz w:val="21"/>
                <w:szCs w:val="21"/>
                <w:highlight w:val="none"/>
              </w:rPr>
            </w:pPr>
          </w:p>
        </w:tc>
      </w:tr>
      <w:tr w14:paraId="189F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6DB5D6A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44" w:type="pct"/>
            <w:vMerge w:val="restart"/>
            <w:noWrap w:val="0"/>
            <w:vAlign w:val="center"/>
          </w:tcPr>
          <w:p w14:paraId="148EA99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设施维护管理（20分）</w:t>
            </w:r>
          </w:p>
        </w:tc>
        <w:tc>
          <w:tcPr>
            <w:tcW w:w="648" w:type="pct"/>
            <w:noWrap w:val="0"/>
            <w:vAlign w:val="center"/>
          </w:tcPr>
          <w:p w14:paraId="085484E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城市景观喷泉和绿化景观亮化设施管理工作</w:t>
            </w:r>
          </w:p>
        </w:tc>
        <w:tc>
          <w:tcPr>
            <w:tcW w:w="2158" w:type="pct"/>
            <w:noWrap w:val="0"/>
            <w:vAlign w:val="top"/>
          </w:tcPr>
          <w:p w14:paraId="32F42290">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果皮箱、护栏、道牙、井盖、花基、园路及广场地面等设施维护良好，破损处及时维修或更换，发现问题未及时处理的一处扣1分。</w:t>
            </w:r>
          </w:p>
          <w:p w14:paraId="0CC1DF55">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2、各类标识牌、护栏、树池花池、亭廊、花架、景石、桌椅、灯饰、园林小品等设施按规定设置和使用，保持完好、整洁，损毁、缺失处及时维修或更换，发现问题未及时处理的一处扣1分。</w:t>
            </w:r>
          </w:p>
          <w:p w14:paraId="4EDF2CC6">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3、公园内儿童游乐设施、健身器材定期巡检，发现问题及时上报、处理，对不能及时处理的进行封闭、警示，未及时上报、处理、警示的发现一处扣2分。</w:t>
            </w:r>
          </w:p>
          <w:p w14:paraId="6EB8D28F">
            <w:pPr>
              <w:shd w:val="clea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4、绿化养护设施(喷灌设施等)完好，定期检查和维修保养，同时建立.台账，记录不完善的发现一次扣1分。</w:t>
            </w:r>
          </w:p>
        </w:tc>
        <w:tc>
          <w:tcPr>
            <w:tcW w:w="1192" w:type="pct"/>
            <w:vMerge w:val="restart"/>
            <w:noWrap w:val="0"/>
            <w:vAlign w:val="top"/>
          </w:tcPr>
          <w:p w14:paraId="7CDEC5AF">
            <w:pPr>
              <w:shd w:val="clear"/>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定期开展设施排查维修工作，未进行排查的问题每处扣500元，未按要求维护的每处扣除1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00元；</w:t>
            </w:r>
            <w:r>
              <w:rPr>
                <w:rFonts w:hint="eastAsia" w:ascii="宋体" w:hAnsi="宋体" w:eastAsia="宋体" w:cs="宋体"/>
                <w:color w:val="auto"/>
                <w:sz w:val="21"/>
                <w:szCs w:val="21"/>
                <w:highlight w:val="none"/>
                <w:lang w:val="en-US" w:eastAsia="zh-CN"/>
              </w:rPr>
              <w:t>因未及时维修造成安全事故的承担相应责任。</w:t>
            </w:r>
          </w:p>
        </w:tc>
        <w:tc>
          <w:tcPr>
            <w:tcW w:w="252" w:type="pct"/>
            <w:noWrap w:val="0"/>
            <w:vAlign w:val="top"/>
          </w:tcPr>
          <w:p w14:paraId="1C81B84D">
            <w:pPr>
              <w:shd w:val="clear"/>
              <w:rPr>
                <w:rFonts w:hint="eastAsia" w:ascii="宋体" w:hAnsi="宋体" w:eastAsia="宋体" w:cs="宋体"/>
                <w:color w:val="auto"/>
                <w:sz w:val="21"/>
                <w:szCs w:val="21"/>
                <w:highlight w:val="none"/>
              </w:rPr>
            </w:pPr>
          </w:p>
        </w:tc>
      </w:tr>
      <w:tr w14:paraId="554F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66F28003">
            <w:pPr>
              <w:shd w:val="clear"/>
              <w:rPr>
                <w:rFonts w:hint="eastAsia" w:ascii="宋体" w:hAnsi="宋体" w:eastAsia="宋体" w:cs="宋体"/>
                <w:color w:val="auto"/>
                <w:sz w:val="21"/>
                <w:szCs w:val="21"/>
                <w:highlight w:val="none"/>
              </w:rPr>
            </w:pPr>
          </w:p>
        </w:tc>
        <w:tc>
          <w:tcPr>
            <w:tcW w:w="444" w:type="pct"/>
            <w:vMerge w:val="continue"/>
            <w:noWrap w:val="0"/>
            <w:vAlign w:val="top"/>
          </w:tcPr>
          <w:p w14:paraId="4AA4A8C3">
            <w:pPr>
              <w:shd w:val="clear"/>
              <w:rPr>
                <w:rFonts w:hint="eastAsia" w:ascii="宋体" w:hAnsi="宋体" w:eastAsia="宋体" w:cs="宋体"/>
                <w:color w:val="auto"/>
                <w:sz w:val="21"/>
                <w:szCs w:val="21"/>
                <w:highlight w:val="none"/>
              </w:rPr>
            </w:pPr>
          </w:p>
        </w:tc>
        <w:tc>
          <w:tcPr>
            <w:tcW w:w="648" w:type="pct"/>
            <w:noWrap w:val="0"/>
            <w:vAlign w:val="center"/>
          </w:tcPr>
          <w:p w14:paraId="333B482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绿化护栏维修及绿地冲洗</w:t>
            </w:r>
          </w:p>
        </w:tc>
        <w:tc>
          <w:tcPr>
            <w:tcW w:w="2158" w:type="pct"/>
            <w:noWrap w:val="0"/>
            <w:vAlign w:val="top"/>
          </w:tcPr>
          <w:p w14:paraId="3A94F0B9">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1、绿化带护栏每周擦洗一次，每半月维护整修一次，遇重大节日和重大活动时，重点进行擦洗整修，保持护栏整洁美观。未按规定擦洗，每米扣1分（不足1米按1米计算）；破损未及时维修每处扣2分。</w:t>
            </w:r>
          </w:p>
          <w:p w14:paraId="7C497F9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2、每次降雨后，绿化带护栏必须在一天内清洗完毕。未在规定时间完成任务的，每条道路扣5分；</w:t>
            </w:r>
          </w:p>
          <w:p w14:paraId="65C270A1">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3、持续半个月无有效降水，要及时进行绿化带大冲洗，冲洗时间为晚22:00至次日7:00。每轮冲洗，必须在三天内完成所有管理道路的绿化带冲洗任务。未能按要求完成大冲洗的，每条路段扣3分。</w:t>
            </w:r>
          </w:p>
        </w:tc>
        <w:tc>
          <w:tcPr>
            <w:tcW w:w="1192" w:type="pct"/>
            <w:vMerge w:val="continue"/>
            <w:noWrap w:val="0"/>
            <w:vAlign w:val="top"/>
          </w:tcPr>
          <w:p w14:paraId="1FF6988F">
            <w:pPr>
              <w:shd w:val="clear"/>
              <w:jc w:val="left"/>
              <w:rPr>
                <w:rFonts w:hint="eastAsia" w:ascii="宋体" w:hAnsi="宋体" w:eastAsia="宋体" w:cs="宋体"/>
                <w:color w:val="auto"/>
                <w:sz w:val="21"/>
                <w:szCs w:val="21"/>
                <w:highlight w:val="none"/>
              </w:rPr>
            </w:pPr>
          </w:p>
        </w:tc>
        <w:tc>
          <w:tcPr>
            <w:tcW w:w="252" w:type="pct"/>
            <w:noWrap w:val="0"/>
            <w:vAlign w:val="top"/>
          </w:tcPr>
          <w:p w14:paraId="37390E2F">
            <w:pPr>
              <w:shd w:val="clear"/>
              <w:rPr>
                <w:rFonts w:hint="eastAsia" w:ascii="宋体" w:hAnsi="宋体" w:eastAsia="宋体" w:cs="宋体"/>
                <w:color w:val="auto"/>
                <w:sz w:val="21"/>
                <w:szCs w:val="21"/>
                <w:highlight w:val="none"/>
              </w:rPr>
            </w:pPr>
          </w:p>
        </w:tc>
      </w:tr>
      <w:tr w14:paraId="7AAB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668676A0">
            <w:pPr>
              <w:shd w:val="clear"/>
              <w:rPr>
                <w:rFonts w:hint="eastAsia" w:ascii="宋体" w:hAnsi="宋体" w:eastAsia="宋体" w:cs="宋体"/>
                <w:color w:val="auto"/>
                <w:sz w:val="21"/>
                <w:szCs w:val="21"/>
                <w:highlight w:val="none"/>
              </w:rPr>
            </w:pPr>
          </w:p>
        </w:tc>
        <w:tc>
          <w:tcPr>
            <w:tcW w:w="444" w:type="pct"/>
            <w:vMerge w:val="continue"/>
            <w:noWrap w:val="0"/>
            <w:vAlign w:val="top"/>
          </w:tcPr>
          <w:p w14:paraId="117FA6D6">
            <w:pPr>
              <w:shd w:val="clear"/>
              <w:rPr>
                <w:rFonts w:hint="eastAsia" w:ascii="宋体" w:hAnsi="宋体" w:eastAsia="宋体" w:cs="宋体"/>
                <w:color w:val="auto"/>
                <w:sz w:val="21"/>
                <w:szCs w:val="21"/>
                <w:highlight w:val="none"/>
              </w:rPr>
            </w:pPr>
          </w:p>
        </w:tc>
        <w:tc>
          <w:tcPr>
            <w:tcW w:w="648" w:type="pct"/>
            <w:noWrap w:val="0"/>
            <w:vAlign w:val="center"/>
          </w:tcPr>
          <w:p w14:paraId="6731A2E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绿地巡查</w:t>
            </w:r>
          </w:p>
        </w:tc>
        <w:tc>
          <w:tcPr>
            <w:tcW w:w="2158" w:type="pct"/>
            <w:noWrap w:val="0"/>
            <w:vAlign w:val="top"/>
          </w:tcPr>
          <w:p w14:paraId="7518B2F1">
            <w:pPr>
              <w:numPr>
                <w:ilvl w:val="0"/>
                <w:numId w:val="2"/>
              </w:num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绿化单位加强巡查，做好日常巡查记录，发现问题及时处理。发现违规占用绿地或非法破坏绿地的情况要及时阻止并上报，随后将情况书面报送生态环境局，进行处理，未建立巡查记录的扣10分，未及时发现违规占用或非法破坏绿地的扣10分。</w:t>
            </w:r>
          </w:p>
          <w:p w14:paraId="4669378A">
            <w:pPr>
              <w:numPr>
                <w:ilvl w:val="0"/>
                <w:numId w:val="2"/>
              </w:num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每12-15万㎡配备一名秩序维护人员，秩序维护人员应统一着装，仪容整洁，文明用语。及时制止和劝离违规垂钓、野泳、露天烧烤、乱倒垃圾、摆摊叫卖、流动商贩等行为，及时制止围垦河道（绿地）种菜等行为，及时劝导在河边游玩的市民，防范溺水，制止机动车辆进入绿道。未配备的没缺1人扣除5分。</w:t>
            </w:r>
          </w:p>
        </w:tc>
        <w:tc>
          <w:tcPr>
            <w:tcW w:w="1192" w:type="pct"/>
            <w:noWrap w:val="0"/>
            <w:vAlign w:val="top"/>
          </w:tcPr>
          <w:p w14:paraId="4E461181">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未建立巡查记录的每月扣除3000元，违规占用、破坏绿地未及时发现的每处扣款</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000元。</w:t>
            </w:r>
          </w:p>
        </w:tc>
        <w:tc>
          <w:tcPr>
            <w:tcW w:w="252" w:type="pct"/>
            <w:noWrap w:val="0"/>
            <w:vAlign w:val="top"/>
          </w:tcPr>
          <w:p w14:paraId="7BFC01D7">
            <w:pPr>
              <w:shd w:val="clear"/>
              <w:rPr>
                <w:rFonts w:hint="eastAsia" w:ascii="宋体" w:hAnsi="宋体" w:eastAsia="宋体" w:cs="宋体"/>
                <w:color w:val="auto"/>
                <w:sz w:val="21"/>
                <w:szCs w:val="21"/>
                <w:highlight w:val="none"/>
              </w:rPr>
            </w:pPr>
          </w:p>
        </w:tc>
      </w:tr>
      <w:tr w14:paraId="356A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restart"/>
            <w:noWrap w:val="0"/>
            <w:vAlign w:val="center"/>
          </w:tcPr>
          <w:p w14:paraId="6A3D3FF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44" w:type="pct"/>
            <w:vMerge w:val="restart"/>
            <w:noWrap w:val="0"/>
            <w:vAlign w:val="center"/>
          </w:tcPr>
          <w:p w14:paraId="1F42309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其他（30分）</w:t>
            </w:r>
          </w:p>
        </w:tc>
        <w:tc>
          <w:tcPr>
            <w:tcW w:w="648" w:type="pct"/>
            <w:noWrap w:val="0"/>
            <w:vAlign w:val="center"/>
          </w:tcPr>
          <w:p w14:paraId="161A9FB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安全管理</w:t>
            </w:r>
          </w:p>
        </w:tc>
        <w:tc>
          <w:tcPr>
            <w:tcW w:w="2158" w:type="pct"/>
            <w:noWrap w:val="0"/>
            <w:vAlign w:val="top"/>
          </w:tcPr>
          <w:p w14:paraId="2765800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1、养护工人及驾驶员上岗作业时，身体状况良好，无带病或疲劳作业；未达到发现一次扣2分；</w:t>
            </w:r>
          </w:p>
          <w:p w14:paraId="53FCED7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2、车体整洁完好，保养维护及时，驾驶员遵守交通规则，安全行驶作业，未达到发现一次扣2分；</w:t>
            </w:r>
          </w:p>
          <w:p w14:paraId="1C5D1737">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3、车辆临时停放整齐，无开车快猛急现象，未达到发现一次扣1分；</w:t>
            </w:r>
          </w:p>
          <w:p w14:paraId="14953D2B">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4、绿化车辆排气排污不达标的每辆扣5分；</w:t>
            </w:r>
          </w:p>
          <w:p w14:paraId="62F395E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管理用房</w:t>
            </w:r>
            <w:r>
              <w:rPr>
                <w:rFonts w:hint="eastAsia" w:ascii="宋体" w:hAnsi="宋体" w:eastAsia="宋体" w:cs="宋体"/>
                <w:color w:val="auto"/>
                <w:sz w:val="21"/>
                <w:szCs w:val="21"/>
                <w:highlight w:val="none"/>
              </w:rPr>
              <w:t>内消防器材到位，线路设置整齐规范，无易燃易爆等危险品存放。未达到每处扣2分；</w:t>
            </w:r>
          </w:p>
          <w:p w14:paraId="3704FDC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6、道路及附属绿地养护作业时未按规范要求隔离安全作业区扣2分；</w:t>
            </w:r>
          </w:p>
          <w:p w14:paraId="520DEAFA">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7、绿地内临时用电不规范，存在安全隐患的每处扣2分；</w:t>
            </w:r>
          </w:p>
          <w:p w14:paraId="766E341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8、绿地有害生物预防所用农药未按规范管理和使用的扣10分；</w:t>
            </w:r>
          </w:p>
          <w:p w14:paraId="7307C9ED">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9、未制定安全生产应急预案扣10分；</w:t>
            </w:r>
          </w:p>
          <w:p w14:paraId="28169F0C">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10、员工未进行安全培训和应急培训扣10分。</w:t>
            </w:r>
          </w:p>
          <w:p w14:paraId="60540B4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11、对遮挡交通指示牌的树枝、苗木清理不及时的每处扣3分。</w:t>
            </w:r>
          </w:p>
        </w:tc>
        <w:tc>
          <w:tcPr>
            <w:tcW w:w="1192" w:type="pct"/>
            <w:noWrap w:val="0"/>
            <w:vAlign w:val="center"/>
          </w:tcPr>
          <w:p w14:paraId="2D7FA941">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对管理中存在安全隐患整治不及时的每次扣款罚款1万元，对通报安全问题未按要求整改的每次罚款6万元。</w:t>
            </w:r>
          </w:p>
        </w:tc>
        <w:tc>
          <w:tcPr>
            <w:tcW w:w="252" w:type="pct"/>
            <w:noWrap w:val="0"/>
            <w:vAlign w:val="top"/>
          </w:tcPr>
          <w:p w14:paraId="5A5BA582">
            <w:pPr>
              <w:shd w:val="clear"/>
              <w:rPr>
                <w:rFonts w:hint="eastAsia" w:ascii="宋体" w:hAnsi="宋体" w:eastAsia="宋体" w:cs="宋体"/>
                <w:color w:val="auto"/>
                <w:sz w:val="21"/>
                <w:szCs w:val="21"/>
                <w:highlight w:val="none"/>
              </w:rPr>
            </w:pPr>
          </w:p>
        </w:tc>
      </w:tr>
      <w:tr w14:paraId="74AE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718C4988">
            <w:pPr>
              <w:shd w:val="clear"/>
              <w:rPr>
                <w:rFonts w:hint="eastAsia" w:ascii="宋体" w:hAnsi="宋体" w:eastAsia="宋体" w:cs="宋体"/>
                <w:color w:val="auto"/>
                <w:sz w:val="21"/>
                <w:szCs w:val="21"/>
                <w:highlight w:val="none"/>
              </w:rPr>
            </w:pPr>
          </w:p>
        </w:tc>
        <w:tc>
          <w:tcPr>
            <w:tcW w:w="444" w:type="pct"/>
            <w:vMerge w:val="continue"/>
            <w:noWrap w:val="0"/>
            <w:vAlign w:val="top"/>
          </w:tcPr>
          <w:p w14:paraId="01F16384">
            <w:pPr>
              <w:shd w:val="clear"/>
              <w:rPr>
                <w:rFonts w:hint="eastAsia" w:ascii="宋体" w:hAnsi="宋体" w:eastAsia="宋体" w:cs="宋体"/>
                <w:color w:val="auto"/>
                <w:sz w:val="21"/>
                <w:szCs w:val="21"/>
                <w:highlight w:val="none"/>
              </w:rPr>
            </w:pPr>
          </w:p>
        </w:tc>
        <w:tc>
          <w:tcPr>
            <w:tcW w:w="648" w:type="pct"/>
            <w:noWrap w:val="0"/>
            <w:vAlign w:val="center"/>
          </w:tcPr>
          <w:p w14:paraId="61B9B765">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管护资料</w:t>
            </w:r>
          </w:p>
        </w:tc>
        <w:tc>
          <w:tcPr>
            <w:tcW w:w="2158" w:type="pct"/>
            <w:noWrap w:val="0"/>
            <w:vAlign w:val="top"/>
          </w:tcPr>
          <w:p w14:paraId="7F676C8D">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未按照要求上交本周、月、年养护计划、工作总结，未提交一次扣3分；</w:t>
            </w:r>
          </w:p>
          <w:p w14:paraId="14AE9D56">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未设专人记录养护日志、不认真记录养护日志，发现一次扣2分；</w:t>
            </w:r>
          </w:p>
          <w:p w14:paraId="576CDBCF">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无完整养护技术台账，技术交底资料扣5分；</w:t>
            </w:r>
          </w:p>
          <w:p w14:paraId="725D2E76">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无养护台账每次扣10分。</w:t>
            </w:r>
          </w:p>
          <w:p w14:paraId="5F0C0487">
            <w:pPr>
              <w:widowControl/>
              <w:numPr>
                <w:ilvl w:val="0"/>
                <w:numId w:val="3"/>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每月养护单位要对各标段养护情况进行自检工作，无自检报告的每次扣5分</w:t>
            </w:r>
          </w:p>
        </w:tc>
        <w:tc>
          <w:tcPr>
            <w:tcW w:w="1192" w:type="pct"/>
            <w:noWrap w:val="0"/>
            <w:vAlign w:val="top"/>
          </w:tcPr>
          <w:p w14:paraId="651B4CA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未报送或未按时报送周、月、年计划的一次扣3000元，计划调整两次不合格的一次扣2000元；无养护台账的每次扣除3000元，无养护日志的按照每天100元进行处罚；无自检报告每次扣5000元</w:t>
            </w:r>
          </w:p>
        </w:tc>
        <w:tc>
          <w:tcPr>
            <w:tcW w:w="252" w:type="pct"/>
            <w:noWrap w:val="0"/>
            <w:vAlign w:val="top"/>
          </w:tcPr>
          <w:p w14:paraId="31DE8530">
            <w:pPr>
              <w:shd w:val="clear"/>
              <w:rPr>
                <w:rFonts w:hint="eastAsia" w:ascii="宋体" w:hAnsi="宋体" w:eastAsia="宋体" w:cs="宋体"/>
                <w:color w:val="auto"/>
                <w:sz w:val="21"/>
                <w:szCs w:val="21"/>
                <w:highlight w:val="none"/>
              </w:rPr>
            </w:pPr>
          </w:p>
        </w:tc>
      </w:tr>
      <w:tr w14:paraId="2D02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068867BD">
            <w:pPr>
              <w:shd w:val="clear"/>
              <w:rPr>
                <w:rFonts w:hint="eastAsia" w:ascii="宋体" w:hAnsi="宋体" w:eastAsia="宋体" w:cs="宋体"/>
                <w:color w:val="auto"/>
                <w:sz w:val="21"/>
                <w:szCs w:val="21"/>
                <w:highlight w:val="none"/>
              </w:rPr>
            </w:pPr>
          </w:p>
        </w:tc>
        <w:tc>
          <w:tcPr>
            <w:tcW w:w="444" w:type="pct"/>
            <w:vMerge w:val="continue"/>
            <w:noWrap w:val="0"/>
            <w:vAlign w:val="top"/>
          </w:tcPr>
          <w:p w14:paraId="3C33E253">
            <w:pPr>
              <w:shd w:val="clear"/>
              <w:rPr>
                <w:rFonts w:hint="eastAsia" w:ascii="宋体" w:hAnsi="宋体" w:eastAsia="宋体" w:cs="宋体"/>
                <w:color w:val="auto"/>
                <w:sz w:val="21"/>
                <w:szCs w:val="21"/>
                <w:highlight w:val="none"/>
              </w:rPr>
            </w:pPr>
          </w:p>
        </w:tc>
        <w:tc>
          <w:tcPr>
            <w:tcW w:w="648" w:type="pct"/>
            <w:noWrap w:val="0"/>
            <w:vAlign w:val="center"/>
          </w:tcPr>
          <w:p w14:paraId="3D5E9DA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执行力</w:t>
            </w:r>
          </w:p>
        </w:tc>
        <w:tc>
          <w:tcPr>
            <w:tcW w:w="2158" w:type="pct"/>
            <w:noWrap w:val="0"/>
            <w:vAlign w:val="top"/>
          </w:tcPr>
          <w:p w14:paraId="5FE70851">
            <w:pPr>
              <w:widowControl/>
              <w:numPr>
                <w:ilvl w:val="0"/>
                <w:numId w:val="4"/>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群众投诉、媒体披露、领导及上级部门通报问题，整改不到位扣10分；</w:t>
            </w:r>
          </w:p>
          <w:p w14:paraId="6A368A04">
            <w:pPr>
              <w:widowControl/>
              <w:numPr>
                <w:ilvl w:val="0"/>
                <w:numId w:val="4"/>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对生态环境局及监理安排的日常工作不能够及时完成、有推诿扯皮现象扣5分。</w:t>
            </w:r>
          </w:p>
          <w:p w14:paraId="40A8F35C">
            <w:pPr>
              <w:widowControl/>
              <w:numPr>
                <w:ilvl w:val="0"/>
                <w:numId w:val="4"/>
              </w:numPr>
              <w:shd w:val="clea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在重大活动、突发事件及其它临时性任务中，不能按时完成任务，扣15分；</w:t>
            </w:r>
          </w:p>
          <w:p w14:paraId="5535ADEB">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4、严格遵守市级园林绿化工作相关要求及行业管理规范，未落实或落实不到位每项扣10分。</w:t>
            </w:r>
          </w:p>
        </w:tc>
        <w:tc>
          <w:tcPr>
            <w:tcW w:w="1192" w:type="pct"/>
            <w:noWrap w:val="0"/>
            <w:vAlign w:val="top"/>
          </w:tcPr>
          <w:p w14:paraId="7AE29E58">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建设单位、监理单位下发的指令不予执行或推诿扯皮的按照3000元/次标准进行处罚，被群众投诉、媒体披露、领导及上级部门通报问题，整改不力的按照10000元/次进行扣款；重大活动，项目经理现场未值守每次扣款5000元，对建设单位安排事项执行不力的每次扣款5000元。</w:t>
            </w:r>
          </w:p>
        </w:tc>
        <w:tc>
          <w:tcPr>
            <w:tcW w:w="252" w:type="pct"/>
            <w:noWrap w:val="0"/>
            <w:vAlign w:val="top"/>
          </w:tcPr>
          <w:p w14:paraId="228DE804">
            <w:pPr>
              <w:shd w:val="clear"/>
              <w:rPr>
                <w:rFonts w:hint="eastAsia" w:ascii="宋体" w:hAnsi="宋体" w:eastAsia="宋体" w:cs="宋体"/>
                <w:color w:val="auto"/>
                <w:sz w:val="21"/>
                <w:szCs w:val="21"/>
                <w:highlight w:val="none"/>
              </w:rPr>
            </w:pPr>
          </w:p>
        </w:tc>
      </w:tr>
      <w:tr w14:paraId="317E6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04" w:type="pct"/>
            <w:vMerge w:val="continue"/>
            <w:noWrap w:val="0"/>
            <w:vAlign w:val="top"/>
          </w:tcPr>
          <w:p w14:paraId="23482DE0">
            <w:pPr>
              <w:shd w:val="clear"/>
              <w:rPr>
                <w:rFonts w:hint="eastAsia" w:ascii="宋体" w:hAnsi="宋体" w:eastAsia="宋体" w:cs="宋体"/>
                <w:color w:val="auto"/>
                <w:sz w:val="21"/>
                <w:szCs w:val="21"/>
                <w:highlight w:val="none"/>
              </w:rPr>
            </w:pPr>
          </w:p>
        </w:tc>
        <w:tc>
          <w:tcPr>
            <w:tcW w:w="444" w:type="pct"/>
            <w:vMerge w:val="continue"/>
            <w:noWrap w:val="0"/>
            <w:vAlign w:val="top"/>
          </w:tcPr>
          <w:p w14:paraId="14100EF1">
            <w:pPr>
              <w:shd w:val="clear"/>
              <w:rPr>
                <w:rFonts w:hint="eastAsia" w:ascii="宋体" w:hAnsi="宋体" w:eastAsia="宋体" w:cs="宋体"/>
                <w:color w:val="auto"/>
                <w:sz w:val="21"/>
                <w:szCs w:val="21"/>
                <w:highlight w:val="none"/>
              </w:rPr>
            </w:pPr>
          </w:p>
        </w:tc>
        <w:tc>
          <w:tcPr>
            <w:tcW w:w="648" w:type="pct"/>
            <w:noWrap w:val="0"/>
            <w:vAlign w:val="center"/>
          </w:tcPr>
          <w:p w14:paraId="5A1AFDEF">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资产管理</w:t>
            </w:r>
          </w:p>
        </w:tc>
        <w:tc>
          <w:tcPr>
            <w:tcW w:w="2158" w:type="pct"/>
            <w:noWrap w:val="0"/>
            <w:vAlign w:val="center"/>
          </w:tcPr>
          <w:p w14:paraId="6D16D784">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1、每年进行一次苗木盘点，做好绿苗木资产增减的登记工作，做好新接绿地苗木清单、绿地图纸等相关资料的保管工作。未登记的每次扣除5分，资料缺失的每次扣除3分。</w:t>
            </w:r>
          </w:p>
          <w:p w14:paraId="2140E267">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2、对主要景观树、胸径超过30公分大规格苗木实施建档、挂牌管理，未实施的每次扣5分。</w:t>
            </w:r>
          </w:p>
        </w:tc>
        <w:tc>
          <w:tcPr>
            <w:tcW w:w="1192" w:type="pct"/>
            <w:noWrap w:val="0"/>
            <w:vAlign w:val="top"/>
          </w:tcPr>
          <w:p w14:paraId="1261AC43">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1、未实施盘点的每次扣除2万元；资产增减登记缺失的每次扣除500元；资料缺失每次扣除5000元。对主景树、名贵树、规格较大（50cm以上）苗木未进行建档、挂牌的每株罚款500元。</w:t>
            </w:r>
          </w:p>
          <w:p w14:paraId="2DB21616">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2、规范养护物资供应，无养护物资采购方案或计划一次扣5000元，物资不足或采购缺失的按照缺失量的市场价格2倍处罚</w:t>
            </w:r>
          </w:p>
        </w:tc>
        <w:tc>
          <w:tcPr>
            <w:tcW w:w="252" w:type="pct"/>
            <w:noWrap w:val="0"/>
            <w:vAlign w:val="top"/>
          </w:tcPr>
          <w:p w14:paraId="4AFE52A7">
            <w:pPr>
              <w:shd w:val="clear"/>
              <w:rPr>
                <w:rFonts w:hint="eastAsia" w:ascii="宋体" w:hAnsi="宋体" w:eastAsia="宋体" w:cs="宋体"/>
                <w:color w:val="auto"/>
                <w:sz w:val="21"/>
                <w:szCs w:val="21"/>
                <w:highlight w:val="none"/>
              </w:rPr>
            </w:pPr>
          </w:p>
        </w:tc>
      </w:tr>
    </w:tbl>
    <w:p w14:paraId="009D1BFE">
      <w:pPr>
        <w:shd w:val="clear"/>
        <w:bidi w:val="0"/>
        <w:rPr>
          <w:rFonts w:hint="eastAsia" w:ascii="宋体" w:hAnsi="宋体" w:eastAsia="宋体" w:cs="宋体"/>
          <w:color w:val="auto"/>
          <w:highlight w:val="none"/>
        </w:rPr>
      </w:pPr>
    </w:p>
    <w:p w14:paraId="1B251F0D">
      <w:pPr>
        <w:widowControl/>
        <w:shd w:val="clear"/>
        <w:spacing w:line="360" w:lineRule="auto"/>
        <w:outlineLvl w:val="9"/>
        <w:rPr>
          <w:rFonts w:hint="eastAsia" w:ascii="宋体" w:hAnsi="宋体" w:eastAsia="宋体" w:cs="宋体"/>
          <w:color w:val="auto"/>
          <w:sz w:val="24"/>
          <w:szCs w:val="24"/>
          <w:highlight w:val="none"/>
        </w:rPr>
        <w:sectPr>
          <w:pgSz w:w="16838" w:h="11905" w:orient="landscape"/>
          <w:pgMar w:top="1304" w:right="1304" w:bottom="1134" w:left="1304" w:header="851" w:footer="992" w:gutter="0"/>
          <w:pgNumType w:fmt="numberInDash"/>
          <w:cols w:space="720" w:num="1"/>
          <w:titlePg/>
          <w:docGrid w:linePitch="323" w:charSpace="0"/>
        </w:sectPr>
      </w:pPr>
    </w:p>
    <w:p w14:paraId="46547DA7">
      <w:pPr>
        <w:widowControl/>
        <w:shd w:val="clear"/>
        <w:spacing w:line="360" w:lineRule="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附件六：西安浐灞国际港绿化养护管理手册</w:t>
      </w:r>
    </w:p>
    <w:p w14:paraId="7DD66D56">
      <w:pPr>
        <w:shd w:val="clear"/>
        <w:spacing w:line="360" w:lineRule="auto"/>
        <w:ind w:firstLine="482" w:firstLineChars="200"/>
        <w:jc w:val="center"/>
        <w:outlineLvl w:val="9"/>
        <w:rPr>
          <w:rFonts w:hint="eastAsia" w:ascii="宋体" w:hAnsi="宋体" w:eastAsia="宋体" w:cs="宋体"/>
          <w:b/>
          <w:color w:val="auto"/>
          <w:sz w:val="24"/>
          <w:szCs w:val="24"/>
          <w:highlight w:val="none"/>
        </w:rPr>
      </w:pPr>
    </w:p>
    <w:p w14:paraId="10616518">
      <w:pPr>
        <w:shd w:val="clear"/>
        <w:spacing w:line="360" w:lineRule="auto"/>
        <w:ind w:firstLine="422" w:firstLineChars="200"/>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西安浐灞国际港绿化养护管理手册</w:t>
      </w:r>
    </w:p>
    <w:p w14:paraId="6B408CA1">
      <w:pPr>
        <w:shd w:val="clear"/>
        <w:spacing w:line="360" w:lineRule="auto"/>
        <w:ind w:firstLine="420" w:firstLineChars="200"/>
        <w:jc w:val="center"/>
        <w:outlineLvl w:val="9"/>
        <w:rPr>
          <w:rFonts w:hint="eastAsia" w:ascii="宋体" w:hAnsi="宋体" w:eastAsia="宋体" w:cs="宋体"/>
          <w:color w:val="auto"/>
          <w:sz w:val="21"/>
          <w:szCs w:val="21"/>
          <w:highlight w:val="none"/>
        </w:rPr>
      </w:pPr>
    </w:p>
    <w:p w14:paraId="4593B30B">
      <w:pPr>
        <w:shd w:val="clear"/>
        <w:spacing w:line="360" w:lineRule="auto"/>
        <w:ind w:firstLine="420" w:firstLineChars="200"/>
        <w:jc w:val="center"/>
        <w:outlineLvl w:val="9"/>
        <w:rPr>
          <w:rFonts w:hint="eastAsia" w:ascii="宋体" w:hAnsi="宋体" w:eastAsia="宋体" w:cs="宋体"/>
          <w:color w:val="auto"/>
          <w:sz w:val="21"/>
          <w:szCs w:val="21"/>
          <w:highlight w:val="none"/>
        </w:rPr>
      </w:pPr>
    </w:p>
    <w:p w14:paraId="5DC6CB54">
      <w:pPr>
        <w:shd w:val="clear"/>
        <w:spacing w:line="360" w:lineRule="auto"/>
        <w:ind w:firstLine="420" w:firstLineChars="20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    录</w:t>
      </w:r>
    </w:p>
    <w:p w14:paraId="232256AB">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1.项目部建设要求...............................................</w:t>
      </w:r>
    </w:p>
    <w:p w14:paraId="14F63359">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2.养护进场交接标准.............................................</w:t>
      </w:r>
    </w:p>
    <w:p w14:paraId="165A5FD5">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3.养护单元划分及管理人员配备标准...............................</w:t>
      </w:r>
    </w:p>
    <w:p w14:paraId="76E964C0">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4.养护队伍建设.................................................</w:t>
      </w:r>
    </w:p>
    <w:p w14:paraId="7CBEEE08">
      <w:pPr>
        <w:shd w:val="clear"/>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5.养护质量执行标准. ...........................................</w:t>
      </w:r>
    </w:p>
    <w:p w14:paraId="684BB6F7">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6.养护资料管理标准............................................</w:t>
      </w:r>
    </w:p>
    <w:p w14:paraId="33975E05">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7.精细化养护管理工作标准......................................</w:t>
      </w:r>
    </w:p>
    <w:p w14:paraId="634F722C">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8.绿地占用管理........................................ ........</w:t>
      </w:r>
    </w:p>
    <w:p w14:paraId="6008EB00">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9.资产管理要求.................................................</w:t>
      </w:r>
    </w:p>
    <w:p w14:paraId="66296222">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10.绿化养护工作考核.......................................</w:t>
      </w:r>
    </w:p>
    <w:p w14:paraId="4D1FBFCC">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11.养护费用支付办理............................................</w:t>
      </w:r>
    </w:p>
    <w:p w14:paraId="0D2C32EA">
      <w:pPr>
        <w:shd w:val="clear"/>
        <w:spacing w:line="360" w:lineRule="auto"/>
        <w:ind w:firstLine="420" w:firstLineChars="200"/>
        <w:jc w:val="distribute"/>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12.绿地退场移交要求...........................................</w:t>
      </w:r>
    </w:p>
    <w:p w14:paraId="70D30BEF">
      <w:pPr>
        <w:shd w:val="clear"/>
        <w:spacing w:line="360" w:lineRule="auto"/>
        <w:ind w:firstLine="420" w:firstLineChars="200"/>
        <w:jc w:val="left"/>
        <w:outlineLvl w:val="9"/>
        <w:rPr>
          <w:rFonts w:hint="eastAsia" w:ascii="宋体" w:hAnsi="宋体" w:eastAsia="宋体" w:cs="宋体"/>
          <w:color w:val="auto"/>
          <w:sz w:val="21"/>
          <w:szCs w:val="21"/>
          <w:highlight w:val="none"/>
        </w:rPr>
      </w:pPr>
    </w:p>
    <w:p w14:paraId="5F0AFF7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一、项目部建设要求</w:t>
      </w:r>
    </w:p>
    <w:p w14:paraId="69338C4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养护单位必须按照合同形成独立建制，组建养护工程项目部，建立健全各项规章制度上墙；按照合同承诺配备项目部全员到岗到位；合理设置管理机构；健全质量、安全管理体系；设立专职巡查员制度；加强安全、技术交底工作；</w:t>
      </w:r>
    </w:p>
    <w:p w14:paraId="1AA09E6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接受建设单位、监理单位的指令；及时上报安全、措施、质量方案，经批准后实施；</w:t>
      </w:r>
    </w:p>
    <w:p w14:paraId="4285468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二、养护进场交接标准</w:t>
      </w:r>
    </w:p>
    <w:p w14:paraId="2475C79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1、资料交接：接收绿地基础资料档案：项目设计方案、竣工图纸（纸质版2套及电子版）、绿化苗木清单、土壤主要理化性状、如现场与竣工图出现较大差异需提供现场变更相关资料；</w:t>
      </w:r>
    </w:p>
    <w:p w14:paraId="28A9704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现场交接：对照绿地竣工图纸、苗木清单及工程量清单对绿地苗木数量进行盘点、接收，对竣工图与现场进行核对、对设施完整及运行情况进行核对、对电源、水源进行交接，对照《园林绿化养护标准》及《园林绿化工程施工及验收规范》对现场问题进行梳理，对绿地接收绿地进行评价。</w:t>
      </w:r>
    </w:p>
    <w:p w14:paraId="13D845C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三、养护单元划分及管理人员配备标准</w:t>
      </w:r>
    </w:p>
    <w:p w14:paraId="5CA2242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养护单位进场后，要科学划分养护单元，要求每养护单元面积约为</w:t>
      </w:r>
      <w:r>
        <w:rPr>
          <w:rFonts w:hint="eastAsia" w:ascii="宋体" w:hAnsi="宋体" w:eastAsia="宋体" w:cs="宋体"/>
          <w:color w:val="auto"/>
          <w:sz w:val="21"/>
          <w:szCs w:val="21"/>
          <w:highlight w:val="none"/>
          <w:lang w:val="en-US" w:eastAsia="zh-CN"/>
        </w:rPr>
        <w:t>40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0万㎡，并建立标段养护管理体系。</w:t>
      </w:r>
    </w:p>
    <w:p w14:paraId="4895122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单位应足额配备专业养护人员，绿化养护管理单位必须向项目部配备项目经理1名，标段技术负责1名，专职安全员1名，资料员1名。每一个养护单元配备1名单元负责人或单元技术负责人（负责单元日常管理和技术指导工作），配1名巡查人员（负责单元日常巡查工作），每</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万㎡配备1名养护组长（负责小组人员管理和工作落实）。一级养护绿地</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000㎡/人，二级养护绿地1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000㎡/人，防护林带20000㎡/人，要求养护工作人员年龄男工不得超过60岁，女工不超55岁，男女工人比例控制在</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比例，技术工人占比不低于总人数的1/3。</w:t>
      </w:r>
    </w:p>
    <w:p w14:paraId="3C6F290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项目经理和标段技术负责人应有绿化养护中级工程师以上资质，单元负责人和技术负责人应具备高级绿化工应具备的绿化养护相关要求、知识、技能；养护组长应有具备中级绿化工应具备的绿化养护相关要求知识、技能；养护技术工人应具备园林行业职业技能标准中初级绿化工应具备的绿化养护相关知识。</w:t>
      </w:r>
    </w:p>
    <w:p w14:paraId="34A45AEE">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3.项目经理及项目技术人员对所承揽养护区域，做到每周巡查一次；专职安全员及专职管理员，做到每天巡查一次；养护项目部每周将巡查结果汇总上报建设单位及监理部。</w:t>
      </w:r>
    </w:p>
    <w:p w14:paraId="6AAAADD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项目部经理、项目技术人员及主要管理人员每月在岗时间不得少于本月养护时间的80%；标段负责人每月在岗时间不得少于本月养护时间的90%；建设单位及监理部对现场巡视检查时，养护项目部管理人员接到通知后必须半小时到场。</w:t>
      </w:r>
    </w:p>
    <w:p w14:paraId="3DC3F79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机械配备：根据园林机械设备的安全性、适应性、可靠性、环保性等配备具备完成承揽的园林绿化养护项目所需的相关机械设备（枝剪、平剪、高枝剪、高空剪、油锯、铲、锄、梯子、打孔机、绿篱机、割灌机、草坪机、电动喷雾剂、洒水车、电动三轮高压冲洗车、快速保洁车、电动垃圾转运车、高空升降车、吊车、巡查车等），养护工具选用需优先选用电动、环保型工具。</w:t>
      </w:r>
    </w:p>
    <w:p w14:paraId="68C2B08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要求项目部必须至少配备一辆高空升降车、吊车，每标段必须配备一辆巡查车。</w:t>
      </w:r>
    </w:p>
    <w:p w14:paraId="28D68C0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四、养护队伍建设</w:t>
      </w:r>
    </w:p>
    <w:p w14:paraId="658366F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养护单位应制定人员培训计划，每周针对工作中的重点、难点工作进行每周培训，让一线工作人员充分了解工作技术要点，作业标准到位；每月邀请专业人员或专业老师进行月度专业技能培训，提升整体队伍专业素养，并将培训计划纳入养护工作方案。</w:t>
      </w:r>
    </w:p>
    <w:p w14:paraId="7EA6734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2.养护单位应认真贯彻、落实中央、省、市及管委会各类会议精神和文件要求，养护单位要加强人员教育，严禁工作人员出现违背国家政策、中央精神的言论、行为。</w:t>
      </w:r>
    </w:p>
    <w:p w14:paraId="2638BB1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3.所有项目部及养护标段管理人员工作期间严谨溜岗、串岗，如有请假，需建设单位及监理审批，养护单元管理人员及班组长及工人请假由项目部审批并报监理进行报备。</w:t>
      </w:r>
    </w:p>
    <w:p w14:paraId="7712E91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五、养护质量执行标准</w:t>
      </w:r>
    </w:p>
    <w:p w14:paraId="0F75199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按照《园林绿化养护标准》CJJ287-2018、《西安市绿化养护管理标准养护》执行，公园广场、一级道路沿线绿地按照一级养护标准执行，二、按照二级养护标准执行，三级道路绿地按照三级养护标准执行，林带等偏远绿地按照林带养护标准执行。</w:t>
      </w:r>
    </w:p>
    <w:p w14:paraId="106AEEF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（一）一类绿地养护质量标准 </w:t>
      </w:r>
    </w:p>
    <w:p w14:paraId="249DA9B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1.绿化养护技术措施完善，管理得当，植物配置科学合理，达到黄土不露天。</w:t>
      </w:r>
    </w:p>
    <w:p w14:paraId="14130D9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2.园林植物 </w:t>
      </w:r>
    </w:p>
    <w:p w14:paraId="3C379DA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园林树木树冠完整美观，分枝点合适，枝条粗壮，无枯枝死杈；主侧枝分布匀称、数量适宜、修剪科学合理；内膛不乱，通风透光。花灌木开花及时，株形丰满，花后修剪及时合理。绿篱、色块等修剪及时，枝叶茂密，整齐一致，整型树木造型雅观。行道树无缺株，绿地内无死树。</w:t>
      </w:r>
    </w:p>
    <w:p w14:paraId="445EB9A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落叶树新梢生长健壮，叶片大小、颜色正常。在一般条件下，无黄叶、焦叶、卷叶，正常叶片保存率在95%以上。针叶树针叶宿存3年以上，结果枝条在10 %以下。  </w:t>
      </w:r>
    </w:p>
    <w:p w14:paraId="527C5F1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（3）花坛、花带轮廓清晰，整齐美观，色彩艳丽，无残缺，无残花败叶。 </w:t>
      </w:r>
    </w:p>
    <w:p w14:paraId="4977786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（4）草坪及地被植物整齐，覆盖率99 %以上，草坪内无杂草。草坪绿色期：冷季型草不得少于300天；暖季型草不得少于270天。 </w:t>
      </w:r>
    </w:p>
    <w:p w14:paraId="5479597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（5）病虫害控制及时，园林树木无蛀干害虫的活卵、活虫；园林树木病虫害平均被害株数不得超过1％。叶片上无虫粪、虫网。被虫咬的叶片每株不得超过2%。 </w:t>
      </w:r>
    </w:p>
    <w:p w14:paraId="2CA56C1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3.垂直绿化应根据不同植物的攀缘特点，及时采取相应的牵引、设置网架等技术措施，视攀缘植物生长习性，覆盖率不得低于90%。开花的攀缘植物应适时开花，且花繁色艳。 </w:t>
      </w:r>
    </w:p>
    <w:p w14:paraId="2CD3288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4.绿地整洁，无杂物、无白色污染（树挂），对绿化生产垃圾（如树枝、树叶、草屑等）、绿地内水面杂物，重点地区随产随清，其它地区日产日清，做到巡视保洁。 </w:t>
      </w:r>
    </w:p>
    <w:p w14:paraId="1780762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5.栏杆、园路、桌椅、路灯、井盖和牌示等园林设施完整、安全，维护及时。 </w:t>
      </w:r>
    </w:p>
    <w:p w14:paraId="00E9D13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6.绿地完整，无堆物、堆料、搭棚，树干上无钉拴刻画等现象。 </w:t>
      </w:r>
    </w:p>
    <w:p w14:paraId="1FBB8AC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（二）二类绿地养护质量标准 </w:t>
      </w:r>
    </w:p>
    <w:p w14:paraId="633BEB0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1.绿化养护技术措施比较完善，管理基本得当，植物配置合理，基本达到黄土不露天。</w:t>
      </w:r>
    </w:p>
    <w:p w14:paraId="3DBD943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2.园林植物 </w:t>
      </w:r>
    </w:p>
    <w:p w14:paraId="1D7D881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（1）园林树木树冠基本完整，主侧枝分布均称、数量适宜、修剪合理，内膛不乱，通风透光。花灌木开花及时、正常，花后修剪及时。绿篱、色块枝叶正常，整齐一致。行道树无缺株，绿地内无死树。 </w:t>
      </w:r>
    </w:p>
    <w:p w14:paraId="2DB4DE7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（2）落叶树新梢生长正常，叶片大小、颜色正常，在一般条件下，黄叶、焦叶、卷叶和带虫尿、虫网的叶片不得超过5%，正常叶片保存率在90%以上。针叶树针叶宿存2年以上，结果枝条不超过20%。</w:t>
      </w:r>
    </w:p>
    <w:p w14:paraId="764766D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 花坛、花带轮廓清晰，整齐美观，适时开花，无残缺 。 </w:t>
      </w:r>
    </w:p>
    <w:p w14:paraId="4A5F2F6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（4）草坪及地被植物整齐一致，覆盖率95%以上，除缀花草坪外草坪内杂草率不得超过2%。草坪绿色期：冷季型草不得少于270天，暖季型草不得少于240天。 </w:t>
      </w:r>
    </w:p>
    <w:p w14:paraId="03E205B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（5）病虫害控制及时，园林树木有蛀干害虫危害的株数不得超过1%；园林树木病虫害平均被害株数不得超过3％。叶上无虫粪，被虫咬的叶片每株不得超过5%。 </w:t>
      </w:r>
    </w:p>
    <w:p w14:paraId="1A5DB87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3.垂直绿化应根据不同植物的攀缘特点，采取相应的牵引、设置网架等技术措施，视攀缘植物生长习性，覆盖率不得低于80%，开花的攀缘植物能适时开花。 </w:t>
      </w:r>
    </w:p>
    <w:p w14:paraId="1DA32B1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4.绿地整洁，无杂物、无白色污染（树挂），绿化生产垃圾（如树枝、树叶、草屑等）、绿地内水面杂物应日产日清，做到保洁及时。 </w:t>
      </w:r>
    </w:p>
    <w:p w14:paraId="614ECE7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5.栏杆、园路、桌椅、路灯、井盖和牌示等园林设施完整、安全，基本做到维护及时。 </w:t>
      </w:r>
    </w:p>
    <w:p w14:paraId="466843E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6.绿地完整，无堆物、堆料、搭棚，树干上无钉拴刻画等现象。</w:t>
      </w:r>
    </w:p>
    <w:p w14:paraId="6930DCC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 三）三类绿地养护质量标准 </w:t>
      </w:r>
    </w:p>
    <w:p w14:paraId="255F7FF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1.绿化养护技术措施基本完善，植物配置基本合理，裸露土地不明显。</w:t>
      </w:r>
    </w:p>
    <w:p w14:paraId="4432B82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园林植物 </w:t>
      </w:r>
    </w:p>
    <w:p w14:paraId="58C5742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（1）生长正常。新建绿地各种植物四年内达到正常形态。 </w:t>
      </w:r>
    </w:p>
    <w:p w14:paraId="396FFAF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（2）园林树木树冠基本正常，修剪及时，无明显枯枝死叉。分枝点合适，枝条粗壮，行道树缺株率不超过1%，绿地内无死树。 </w:t>
      </w:r>
    </w:p>
    <w:p w14:paraId="3DED8FC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（3）落叶树新梢生长基本正常，叶片大小、颜色正常，在正常条件下，有黄叶、焦叶、卷叶和带虫尿、虫网叶片的株数不得超过10%，正常叶片保存率在85%以上。针叶树针叶宿存1年以上，结果枝条不超过50%。</w:t>
      </w:r>
    </w:p>
    <w:p w14:paraId="697A853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（4）花坛、花带轮廓基本清晰、整齐美观，无残缺。</w:t>
      </w:r>
    </w:p>
    <w:p w14:paraId="6C4DE70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（5）草坪及地被植物整齐一致，覆盖率90%以上，除缀花草坪外草坪内杂草率不得超过5%。草坪绿色期：冷季型草不得少于240天，暖季型草不得少于210天。 </w:t>
      </w:r>
    </w:p>
    <w:p w14:paraId="68ACCEF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6）病虫害控制比较及时，园林树木有蛀干害虫危害的竹数不得超过3%；在园林树木主干、主枝上平均每100c㎡介壳虫的活虫数不得超过3头，较细枝条上平均每30cm不得超过8头，且平均被害株数不得超过5％。被虫咬的叶片每株不得超过8%。 </w:t>
      </w:r>
    </w:p>
    <w:p w14:paraId="26BB606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3.垂直绿化能根据不同植物的攀缘特点，采取相应的技术措施，视攀缘植物生长习性，覆盖率不得低于70%。开花的攀缘植物能适时开花。 </w:t>
      </w:r>
    </w:p>
    <w:p w14:paraId="16C8472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 绿地基本整洁，无明显杂物，无白色污染（树挂），绿化生产垃圾（如树枝、树叶、草屑等）、绿地内水面杂物能日产日清，能做到保洁及时。 </w:t>
      </w:r>
    </w:p>
    <w:p w14:paraId="29F1F6D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栏杆、园路、桌椅、路灯、井盖和牌示等园林设施基本完整，能进行维护。</w:t>
      </w:r>
    </w:p>
    <w:p w14:paraId="2DE1BCB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 绿地基本完整，无明显堆物、堆料、搭棚、树干上无钉拴刻画等现象。行道树下距树干2米范围内无明显的堆物、堆料、圈栏或搭棚设摊等影响树木生长和养护管理的现象。 </w:t>
      </w:r>
    </w:p>
    <w:p w14:paraId="5D1B5A7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（四）防护林带绿地养护质量标准</w:t>
      </w:r>
    </w:p>
    <w:p w14:paraId="1F49AB2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1.绿化养护技术措施基本完善，裸露土地不明显。</w:t>
      </w:r>
    </w:p>
    <w:p w14:paraId="7A43D45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园林植物 </w:t>
      </w:r>
    </w:p>
    <w:p w14:paraId="7A03B78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（1）园林树木树冠基本正常，修剪及时，无明显枯枝死叉。分枝点合适，枝条粗壮，绿地内无死树。 </w:t>
      </w:r>
    </w:p>
    <w:p w14:paraId="4483711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（2）落叶树新梢生长基本正常，叶片大小、颜色正常，在正常条件下，有黄叶、焦叶、卷叶和带虫尿、虫网叶片的株数不得超过15%，正常叶片保存率在85%以上。针叶树针叶宿存1年以上，结果枝条不超过50%。</w:t>
      </w:r>
    </w:p>
    <w:p w14:paraId="3CB510E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（3）草坪及地被植物整齐一致，覆盖率90%以上，冷季型草不得少于240天。 </w:t>
      </w:r>
    </w:p>
    <w:p w14:paraId="081E29D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（4）病虫害控制比较及时，园林树木有蛀干害虫危害的数量不得超过5%；园林树木病虫害平均被害株数不得超过5％。被虫咬的叶片每株不得超过8%。 </w:t>
      </w:r>
    </w:p>
    <w:p w14:paraId="799318F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 绿地基本整洁，无明显杂物，无白色污染（树挂），绿化生产垃圾（如树枝、树叶、草屑等）、绿地内水面杂物能日产日清，能做到保洁及时。 </w:t>
      </w:r>
    </w:p>
    <w:p w14:paraId="47B0472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 绿地基本完整，无明显堆物、堆料、搭棚、树干上无钉拴刻画等现象。 </w:t>
      </w:r>
    </w:p>
    <w:p w14:paraId="22ABA34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六、养护资料管理标准</w:t>
      </w:r>
    </w:p>
    <w:p w14:paraId="2425E55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应建立完成的绿地养护技术档案，档案包括绿地基本情况（面积、植物种类、规格、数量）、土壤主要理化性状、竣工图、养护日志（台账）、重大事件记录、新技术新工艺的应用，绿化养护方案、极端天气安全应急预案、安全生产管控及交底、养护技术交底、分项验收资料。</w:t>
      </w:r>
    </w:p>
    <w:p w14:paraId="7B0C11B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七、精细化养护管理工作标准</w:t>
      </w:r>
    </w:p>
    <w:p w14:paraId="2A14C4A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养护单位应加强绿地精细化管理，建立巡查、发现、处置、反馈的闭合管理体系，项目经理负责对生态环境局、监理单位交办、巡查发现问题及自查问题整改过程进行跟踪、督办，工作要求应符合以下要求：</w:t>
      </w:r>
    </w:p>
    <w:p w14:paraId="65F7E73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1.城市公园绿地及附属设施维护</w:t>
      </w:r>
    </w:p>
    <w:p w14:paraId="628E64D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（1）死缺株植物补植</w:t>
      </w:r>
    </w:p>
    <w:p w14:paraId="028435D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时限要求：巡查发现问题后立即登记受理并立即采取植物补植，草坪、地被、绿篱自启动整改之日起3日内完成补植工作，问题销号。桥灌木根据苗木采购数量、品种、季节等因素合理确定补栽时限。</w:t>
      </w:r>
    </w:p>
    <w:p w14:paraId="29C4FFB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质量要求：补植后的种植密度、品种、规格与原绿化效果一致，不得随意变更。</w:t>
      </w:r>
    </w:p>
    <w:p w14:paraId="30669C0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道路绿化维护作业时，应有安全技术措施，确保施工人员安全；现场警示标志完整，易辨识，夜间施工设置警示灯等安全防护措施，保障行人、车辆行驶安全；现场苗木、设备整齐、有序，维护完成后及时清理环境卫生。</w:t>
      </w:r>
    </w:p>
    <w:p w14:paraId="25BCF51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2.行道树修剪</w:t>
      </w:r>
    </w:p>
    <w:p w14:paraId="0BAC192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时限要求：行道树修剪工作应根据植物生长特效及年度修剪计划有序实施；</w:t>
      </w:r>
    </w:p>
    <w:p w14:paraId="2DD5670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质量要求：树冠完整、规格整齐、分支点高度保持一致。</w:t>
      </w:r>
    </w:p>
    <w:p w14:paraId="5E63DEE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安全及文明施工要求：设置隔离设施，确保施工人员安全；现场施工人员应配备高空作业相关安全防范设备，修剪完成后及时清理绿化垃圾。</w:t>
      </w:r>
    </w:p>
    <w:p w14:paraId="0A15BD5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（3）病虫害防治</w:t>
      </w:r>
    </w:p>
    <w:p w14:paraId="6ADD5F0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时限要求：巡查发现问题后立即登记受理并立即采取防治措施，自启动整改之日起2日内完成防治工作，并持续跟踪记录防治效果，每周汇报防治情况。</w:t>
      </w:r>
    </w:p>
    <w:p w14:paraId="33B30D1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质量要求：基本无有害生物危害状、整体枝叶受害率≤8%、树干受害率≤5%。</w:t>
      </w:r>
    </w:p>
    <w:p w14:paraId="44736FE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病虫害防治应采取生物防治及药物防治相结合的方式，道路绿化及行道树病虫害防治作业时应设置隔离设施，并避开早晚上下班高峰期实施确保行人及车辆安全，作业人员佩戴口罩、手套等防护措施。</w:t>
      </w:r>
    </w:p>
    <w:p w14:paraId="247F150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（4）时花补植更换</w:t>
      </w:r>
    </w:p>
    <w:p w14:paraId="40A6F2B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时限要求：巡查发现问题后立即登记受理并立即采取补植更换，自启动整改之日起2日内完成补植，问题销号；</w:t>
      </w:r>
    </w:p>
    <w:p w14:paraId="0CA397F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质量要求：缺株倒伏的花苗≤3%，基本无枯叶残花。</w:t>
      </w:r>
    </w:p>
    <w:p w14:paraId="064E39C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安全及文明施工要求：设置隔离设施，确保施工人员安全；现场警示标志完整易辨识，夜间施工设置警示灯；现场花卉、材料整齐有序。</w:t>
      </w:r>
    </w:p>
    <w:p w14:paraId="006E5E7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（5）公园绿地附属设施维护（游路、侧石、小品、雕塑、公园水电设施、灯具、标识牌等）</w:t>
      </w:r>
    </w:p>
    <w:p w14:paraId="16E9164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巡查发现问题后立即登记受理并立即采取警示、维护等临时措施，日常小修维护自启动整改之日起1日内完成修复并开放交通，问题销号；中修、大修及改善工程根据设施类型及其他要求合理确定工期。</w:t>
      </w:r>
    </w:p>
    <w:p w14:paraId="0A46FD8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质量要求：修复后与原设施类型效果一致。</w:t>
      </w:r>
    </w:p>
    <w:p w14:paraId="29798BF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安全及文明施工要求：设置隔离设施，确保施工人员安全；现场警示标志完整易辨识，夜间施工设置警示灯；现场材料、设备整齐有序。</w:t>
      </w:r>
    </w:p>
    <w:p w14:paraId="0957E95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（6）绿地保洁（绿化生产垃圾及日常垃圾杂物捡拾）</w:t>
      </w:r>
    </w:p>
    <w:p w14:paraId="6909E29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时限要求：重点地段要求绿化生产垃圾随产随清，其它绿地日产日清；绿地落叶、杂物保洁每日1次；绿地内砖块、塑料袋等白色垃圾落地时间不超15分钟。</w:t>
      </w:r>
    </w:p>
    <w:p w14:paraId="4300A91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质量要求：绿地干净整洁、垃圾捡拾及时</w:t>
      </w:r>
    </w:p>
    <w:p w14:paraId="53E15D1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安全及文明施工要求：工作人员穿反光背心、保洁车辆要求无损坏，符合安全使用要求。</w:t>
      </w:r>
    </w:p>
    <w:p w14:paraId="5C24779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（7）绿化应急管理工作（极端天气树木歪斜、树木断枝等影响安全问题）</w:t>
      </w:r>
    </w:p>
    <w:p w14:paraId="1276D0E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时限要求：出现极端大风天气1小时巡查一次，中雨、中风天气2小时巡查一次，发现突发情况30分钟到场处理。</w:t>
      </w:r>
    </w:p>
    <w:p w14:paraId="43DB60FD">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安全及文明施工要求：设置隔离设施，确保施工人员安全；现场警示标志完整易辨识，夜间施工设置警示灯；现场材料、设备整齐有序。</w:t>
      </w:r>
    </w:p>
    <w:p w14:paraId="431FFBF9">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（8）抗旱保苗应急工作</w:t>
      </w:r>
    </w:p>
    <w:p w14:paraId="047CE27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时限要求：启动抗旱应急工作2天内</w:t>
      </w:r>
    </w:p>
    <w:p w14:paraId="535BB621">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工作要求：积极完善各类浇灌设施，增加节水浇灌设施，对无浇灌系统覆盖区域，按照3万平米绿地配备1辆8吨以上水车标准配备抗旱浇灌水车。</w:t>
      </w:r>
    </w:p>
    <w:p w14:paraId="7B66863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八、绿地占用管理</w:t>
      </w:r>
    </w:p>
    <w:p w14:paraId="147C54B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任何单位或个人，临时或永久占用绿地需办理绿地占用手续或生态环境局下发的绿地占用通知，对于因市政应急强险的或安全应急需要占用绿地的可在占用同时向绿地行业主管部门电话报备，随后补办占用手续；</w:t>
      </w:r>
    </w:p>
    <w:p w14:paraId="55D4F54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绿化养护单位在收到占用绿地手续或占用通知后，需与占用单位办理场地移交单，明确占用范围，占用时间及苗木、设施数量，需要占用单位恢复的明确后续恢复要求、时限，绿地移交单需由绿地管理单位、生态环境局、绿地占用单位、占用工程行政管理部门四方签字盖章。</w:t>
      </w:r>
    </w:p>
    <w:p w14:paraId="382C7F4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九、资产管理要求</w:t>
      </w:r>
    </w:p>
    <w:p w14:paraId="1D5B9B7B">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1、绿化养护单位负责责任绿地内，绿化苗木、设施资产管理工作；负责制定设施、设备年度维修计划；负责苗木移植的监管工作，做好数量统计和情况记录，确保绿化资产完整，苗木去向明确；</w:t>
      </w:r>
    </w:p>
    <w:p w14:paraId="2F5984A2">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每年进行一次资产盘点，确保资产底数清楚；</w:t>
      </w:r>
    </w:p>
    <w:p w14:paraId="56BE604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2、因管理原因造成的苗木缺失，由养护单位负责赔偿，因管理缺失，设施设备破损、失修造成的设施无法使用的由由养护单位负责维修；</w:t>
      </w:r>
    </w:p>
    <w:p w14:paraId="20727400">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植物组团内因长期生长过程中植物竞争，部分弱势苗木逐年退化的苗木或树木腐烂易造成安全隐患的，由养护单位负责排查，对确需清理的由养护单位申报，监理、生态环境局审批后，进行清理，并建立资产销毁台账，对清理、销毁过程资料进行留存。</w:t>
      </w:r>
    </w:p>
    <w:p w14:paraId="4F2F4494">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4、对植物组团内因长期生长，植物相互影响，组团关系、层次混乱或绿地植物退化影响景观效果，养护单位负责排查，拿出移栽或更新调整方案，由监理、生态环境局审批后，派发工作任务单，予以实施。</w:t>
      </w:r>
    </w:p>
    <w:p w14:paraId="1E17543A">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十、绿化养护工作考核</w:t>
      </w:r>
    </w:p>
    <w:p w14:paraId="127125EC">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生态环境局每月对养护单位各养护单元绿化养护工作检查、考评，并对考评结果及处罚情况进行通报，处罚扣款直接从季度养护费用中扣除，对考评中第一次出现排名后三且考评为差（月度考评成绩70分以下）的养护单元，对项目单位公司领导及项目经理进行约谈，对养护单元管理负责人及主要管理人员进行提醒警告。累计两次出现排名后三且考评为差（月度考评成绩70分以下）的养护单元要求更换管理负责人及主要管理人员。累计三次排名后三且考评为差（月度考评成绩70分以下）的养护单元，解除该养护单元养护关系，委托其它单位负责该区域养护工作。</w:t>
      </w:r>
    </w:p>
    <w:p w14:paraId="0E9328F7">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2、生态环境局每月初召开月度绿化养护例会会议，总结、通报考评结果、安排下一步工作。</w:t>
      </w:r>
    </w:p>
    <w:p w14:paraId="2C617893">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十一、养护费用支付办理</w:t>
      </w:r>
    </w:p>
    <w:p w14:paraId="6FDA2768">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养护单位应按照合同约定进行进度款支付申请，根据月度考核、工作完成情况及月度处罚情况，对支付费用进行审核，审核时间一般不超过3个工作日；</w:t>
      </w:r>
    </w:p>
    <w:p w14:paraId="63BCDD25">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十二、绿地退场移交要求</w:t>
      </w:r>
    </w:p>
    <w:p w14:paraId="15A9461F">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料移交：移交绿地基础资料包括：项目方案、竣工图纸（纸质版2套及电子版）、绿苗木清单、土壤主要理化性状、如现场与竣工图不符需提供现场变更相关资料、养护措施、养护日志（台账）、重大事件处理、新技术新工艺的应用；</w:t>
      </w:r>
    </w:p>
    <w:p w14:paraId="1814AA16">
      <w:pPr>
        <w:shd w:val="clea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2、对照绿地竣工图纸、苗木清单及工程量清单对绿地苗木数量进行接收盘点、对竣工图与现场进行核对、对设施完整及运行情况进行核对、对电源、水源进行交接。</w:t>
      </w:r>
    </w:p>
    <w:p w14:paraId="16D35070">
      <w:pPr>
        <w:shd w:val="clear"/>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3、对照《园林绿化养护标准》及《园林绿化工程施工及验收规范》对现场养护情况进行交接检查，对绿地养护情况进行评价，对现场问题较大的由养护单位负责整改到位。</w:t>
      </w:r>
    </w:p>
    <w:p w14:paraId="43509504">
      <w:pPr>
        <w:pStyle w:val="2"/>
        <w:shd w:val="clear"/>
        <w:rPr>
          <w:rFonts w:hint="eastAsia" w:ascii="宋体" w:hAnsi="宋体" w:eastAsia="宋体" w:cs="宋体"/>
          <w:color w:val="auto"/>
          <w:highlight w:val="none"/>
          <w:lang w:val="en-US" w:eastAsia="zh-CN"/>
        </w:rPr>
      </w:pPr>
    </w:p>
    <w:p w14:paraId="64D65BB7">
      <w:pPr>
        <w:shd w:val="clear"/>
        <w:rPr>
          <w:rFonts w:hint="eastAsia" w:ascii="宋体" w:hAnsi="宋体" w:eastAsia="宋体" w:cs="宋体"/>
          <w:color w:val="auto"/>
          <w:highlight w:val="none"/>
        </w:rPr>
      </w:pPr>
    </w:p>
    <w:p w14:paraId="365967E3">
      <w:pPr>
        <w:pStyle w:val="2"/>
        <w:shd w:val="clear"/>
        <w:rPr>
          <w:rFonts w:hint="eastAsia" w:ascii="宋体" w:hAnsi="宋体" w:eastAsia="宋体" w:cs="宋体"/>
          <w:color w:val="auto"/>
          <w:highlight w:val="none"/>
          <w:lang w:val="en-US" w:eastAsia="zh-CN"/>
        </w:rPr>
      </w:pPr>
    </w:p>
    <w:p w14:paraId="587DF632">
      <w:bookmarkStart w:id="0" w:name="_GoBack"/>
      <w:bookmarkEnd w:id="0"/>
    </w:p>
    <w:sectPr>
      <w:footerReference r:id="rId14" w:type="default"/>
      <w:pgSz w:w="11900" w:h="16840"/>
      <w:pgMar w:top="1134" w:right="1134" w:bottom="1134" w:left="1134" w:header="850" w:footer="85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DBFF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1B022E">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141B022E">
                    <w:pPr>
                      <w:pStyle w:val="4"/>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91FAD">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9A6771">
                          <w:pPr>
                            <w:pStyle w:val="4"/>
                            <w:rPr>
                              <w:rFonts w:hint="eastAsia" w:ascii="宋体" w:hAnsi="宋体" w:eastAsia="宋体" w:cs="宋体"/>
                              <w:sz w:val="20"/>
                              <w:szCs w:val="20"/>
                            </w:rPr>
                          </w:pP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  \* MERGEFORMAT </w:instrText>
                          </w:r>
                          <w:r>
                            <w:rPr>
                              <w:rFonts w:hint="eastAsia" w:ascii="宋体" w:hAnsi="宋体" w:eastAsia="宋体" w:cs="宋体"/>
                              <w:sz w:val="20"/>
                              <w:szCs w:val="20"/>
                            </w:rPr>
                            <w:fldChar w:fldCharType="separate"/>
                          </w:r>
                          <w:r>
                            <w:rPr>
                              <w:rFonts w:hint="eastAsia" w:ascii="宋体" w:hAnsi="宋体" w:eastAsia="宋体" w:cs="宋体"/>
                              <w:sz w:val="20"/>
                              <w:szCs w:val="20"/>
                            </w:rPr>
                            <w:t>- 160 -</w:t>
                          </w:r>
                          <w:r>
                            <w:rPr>
                              <w:rFonts w:hint="eastAsia" w:ascii="宋体" w:hAnsi="宋体" w:eastAsia="宋体" w:cs="宋体"/>
                              <w:sz w:val="20"/>
                              <w:szCs w:val="2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B9A6771">
                    <w:pPr>
                      <w:pStyle w:val="4"/>
                      <w:rPr>
                        <w:rFonts w:hint="eastAsia" w:ascii="宋体" w:hAnsi="宋体" w:eastAsia="宋体" w:cs="宋体"/>
                        <w:sz w:val="20"/>
                        <w:szCs w:val="20"/>
                      </w:rPr>
                    </w:pP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PAGE  \* MERGEFORMAT </w:instrText>
                    </w:r>
                    <w:r>
                      <w:rPr>
                        <w:rFonts w:hint="eastAsia" w:ascii="宋体" w:hAnsi="宋体" w:eastAsia="宋体" w:cs="宋体"/>
                        <w:sz w:val="20"/>
                        <w:szCs w:val="20"/>
                      </w:rPr>
                      <w:fldChar w:fldCharType="separate"/>
                    </w:r>
                    <w:r>
                      <w:rPr>
                        <w:rFonts w:hint="eastAsia" w:ascii="宋体" w:hAnsi="宋体" w:eastAsia="宋体" w:cs="宋体"/>
                        <w:sz w:val="20"/>
                        <w:szCs w:val="20"/>
                      </w:rPr>
                      <w:t>- 160 -</w:t>
                    </w:r>
                    <w:r>
                      <w:rPr>
                        <w:rFonts w:hint="eastAsia" w:ascii="宋体" w:hAnsi="宋体" w:eastAsia="宋体" w:cs="宋体"/>
                        <w:sz w:val="20"/>
                        <w:szCs w:val="2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9787E">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A98730">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27A98730">
                    <w:pPr>
                      <w:pStyle w:val="4"/>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C459D">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601E7A">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1D601E7A">
                    <w:pPr>
                      <w:pStyle w:val="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670E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6DE403">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F6DE403">
                    <w:pPr>
                      <w:pStyle w:val="4"/>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4DA36">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AADF89">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FAADF89">
                    <w:pPr>
                      <w:pStyle w:val="4"/>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58B61">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DBD30B">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DBD30B">
                    <w:pPr>
                      <w:pStyle w:val="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8C75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F5EAEB">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7F5EAEB">
                    <w:pPr>
                      <w:pStyle w:val="4"/>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7D35">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25D31B">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925D31B">
                    <w:pPr>
                      <w:pStyle w:val="4"/>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AC807">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EEAD51">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EEAD51">
                    <w:pPr>
                      <w:pStyle w:val="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BA013"/>
    <w:multiLevelType w:val="singleLevel"/>
    <w:tmpl w:val="8D7BA013"/>
    <w:lvl w:ilvl="0" w:tentative="0">
      <w:start w:val="1"/>
      <w:numFmt w:val="decimal"/>
      <w:suff w:val="nothing"/>
      <w:lvlText w:val="%1、"/>
      <w:lvlJc w:val="left"/>
      <w:pPr>
        <w:ind w:left="0" w:firstLine="0"/>
      </w:pPr>
    </w:lvl>
  </w:abstractNum>
  <w:abstractNum w:abstractNumId="1">
    <w:nsid w:val="A9D9FA3E"/>
    <w:multiLevelType w:val="singleLevel"/>
    <w:tmpl w:val="A9D9FA3E"/>
    <w:lvl w:ilvl="0" w:tentative="0">
      <w:start w:val="1"/>
      <w:numFmt w:val="decimal"/>
      <w:suff w:val="nothing"/>
      <w:lvlText w:val="%1、"/>
      <w:lvlJc w:val="left"/>
    </w:lvl>
  </w:abstractNum>
  <w:abstractNum w:abstractNumId="2">
    <w:nsid w:val="D722CA62"/>
    <w:multiLevelType w:val="singleLevel"/>
    <w:tmpl w:val="D722CA62"/>
    <w:lvl w:ilvl="0" w:tentative="0">
      <w:start w:val="3"/>
      <w:numFmt w:val="decimal"/>
      <w:suff w:val="nothing"/>
      <w:lvlText w:val="（%1）"/>
      <w:lvlJc w:val="left"/>
    </w:lvl>
  </w:abstractNum>
  <w:abstractNum w:abstractNumId="3">
    <w:nsid w:val="75FA3E8E"/>
    <w:multiLevelType w:val="singleLevel"/>
    <w:tmpl w:val="75FA3E8E"/>
    <w:lvl w:ilvl="0" w:tentative="0">
      <w:start w:val="1"/>
      <w:numFmt w:val="decimal"/>
      <w:suff w:val="nothing"/>
      <w:lvlText w:val="%1、"/>
      <w:lvlJc w:val="left"/>
      <w:pPr>
        <w:ind w:left="0" w:firstLine="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862DC2"/>
    <w:rsid w:val="0B86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1"/>
      <w:szCs w:val="21"/>
      <w:lang w:val="en-US" w:eastAsia="en-US" w:bidi="ar-SA"/>
    </w:rPr>
  </w:style>
  <w:style w:type="paragraph" w:styleId="3">
    <w:name w:val="Plain Text"/>
    <w:basedOn w:val="1"/>
    <w:next w:val="1"/>
    <w:qFormat/>
    <w:uiPriority w:val="0"/>
    <w:rPr>
      <w:rFonts w:ascii="宋体"/>
      <w:szCs w:val="20"/>
    </w:rPr>
  </w:style>
  <w:style w:type="paragraph" w:styleId="4">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2026-07-08T09:14:00Z</dcterms:created>
  <dc:creator>ZBB</dc:creator>
  <cp:lastModifiedBy>ZBB</cp:lastModifiedBy>
  <dcterms:modified xsi:type="dcterms:W3CDTF">2026-07-08T09:14:41Z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E70859AE7A424DE89A65CD83119EBFFE_11</vt:lpwstr>
  </property>
  <property fmtid="{D5CDD505-2E9C-101B-9397-08002B2CF9AE}" pid="4" name="KSOTemplateDocerSaveRecord">
    <vt:lpwstr>eyJoZGlkIjoiMmU5ZGQzMjE0MWJhZjY4NGMyN2EwNTBlMDZlYzk4MWYiLCJ1c2VySWQiOiIyNjQ2NDU1NDQifQ==</vt:lpwstr>
  </property>
</Properties>
</file>