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A6F87C">
      <w:pPr>
        <w:pStyle w:val="9"/>
        <w:jc w:val="center"/>
        <w:outlineLvl w:val="1"/>
        <w:rPr>
          <w:rFonts w:hint="default"/>
          <w:color w:val="auto"/>
          <w:highlight w:val="none"/>
        </w:rPr>
      </w:pPr>
      <w:r>
        <w:rPr>
          <w:rFonts w:ascii="仿宋_GB2312" w:hAnsi="仿宋_GB2312" w:eastAsia="仿宋_GB2312" w:cs="仿宋_GB2312"/>
          <w:b/>
          <w:color w:val="auto"/>
          <w:sz w:val="36"/>
          <w:highlight w:val="none"/>
        </w:rPr>
        <w:t>拟签订合同文本</w:t>
      </w:r>
    </w:p>
    <w:p w14:paraId="1E97750E">
      <w:pPr>
        <w:pStyle w:val="2"/>
        <w:spacing w:line="360" w:lineRule="auto"/>
        <w:jc w:val="center"/>
        <w:rPr>
          <w:rFonts w:hint="eastAsia" w:ascii="仿宋" w:hAnsi="仿宋" w:eastAsia="仿宋" w:cs="仿宋"/>
          <w:b w:val="0"/>
          <w:color w:val="auto"/>
          <w:szCs w:val="21"/>
          <w:highlight w:val="none"/>
        </w:rPr>
      </w:pPr>
      <w:r>
        <w:rPr>
          <w:rFonts w:hint="eastAsia" w:ascii="仿宋" w:hAnsi="仿宋" w:eastAsia="仿宋" w:cs="仿宋"/>
          <w:color w:val="auto"/>
          <w:sz w:val="28"/>
          <w:szCs w:val="28"/>
          <w:highlight w:val="none"/>
        </w:rPr>
        <w:t>合同条款（草案）</w:t>
      </w:r>
    </w:p>
    <w:p w14:paraId="46499A20">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 xml:space="preserve">合同编号： </w:t>
      </w:r>
      <w:bookmarkStart w:id="0" w:name="_GoBack"/>
      <w:bookmarkEnd w:id="0"/>
    </w:p>
    <w:p w14:paraId="10AAA5C7">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 xml:space="preserve">签订地点： </w:t>
      </w:r>
    </w:p>
    <w:p w14:paraId="7DA68933">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签订时间：</w:t>
      </w:r>
    </w:p>
    <w:p w14:paraId="78EA556C">
      <w:pPr>
        <w:spacing w:line="276" w:lineRule="auto"/>
        <w:jc w:val="left"/>
        <w:rPr>
          <w:rFonts w:hint="eastAsia" w:ascii="仿宋" w:hAnsi="仿宋" w:eastAsia="仿宋"/>
          <w:color w:val="auto"/>
          <w:sz w:val="24"/>
          <w:highlight w:val="none"/>
        </w:rPr>
      </w:pPr>
    </w:p>
    <w:p w14:paraId="50DBFFA7">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采购人（甲方）：</w:t>
      </w:r>
    </w:p>
    <w:p w14:paraId="22EB8768">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供应商（乙方）：</w:t>
      </w:r>
    </w:p>
    <w:p w14:paraId="265F5971">
      <w:pPr>
        <w:spacing w:line="276" w:lineRule="auto"/>
        <w:jc w:val="left"/>
        <w:rPr>
          <w:rFonts w:hint="eastAsia" w:ascii="仿宋" w:hAnsi="仿宋" w:eastAsia="仿宋"/>
          <w:color w:val="auto"/>
          <w:sz w:val="24"/>
          <w:highlight w:val="none"/>
        </w:rPr>
      </w:pPr>
    </w:p>
    <w:p w14:paraId="2F214A43">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根据《中华人民共和国政府采购法》及实施条例、《中华人民共和国民法典》和甲方</w:t>
      </w:r>
      <w:r>
        <w:rPr>
          <w:rFonts w:hint="eastAsia" w:ascii="仿宋" w:hAnsi="仿宋" w:eastAsia="仿宋"/>
          <w:color w:val="auto"/>
          <w:sz w:val="24"/>
          <w:highlight w:val="none"/>
          <w:u w:val="single"/>
        </w:rPr>
        <w:t xml:space="preserve"> （项目名称） （项目编号：    ）</w:t>
      </w:r>
      <w:r>
        <w:rPr>
          <w:rFonts w:hint="eastAsia" w:ascii="仿宋" w:hAnsi="仿宋" w:eastAsia="仿宋"/>
          <w:color w:val="auto"/>
          <w:sz w:val="24"/>
          <w:highlight w:val="none"/>
        </w:rPr>
        <w:t>的招标文件、投标文件等有关规定，为确保甲方采购项目的顺利实施，甲、乙双方在平等自愿原则下签订本合同，并共同遵守如下条款：</w:t>
      </w:r>
    </w:p>
    <w:p w14:paraId="2B2AA7AF">
      <w:pPr>
        <w:spacing w:line="276" w:lineRule="auto"/>
        <w:jc w:val="left"/>
        <w:rPr>
          <w:rFonts w:hint="eastAsia" w:ascii="仿宋" w:hAnsi="仿宋" w:eastAsia="仿宋"/>
          <w:b/>
          <w:bCs/>
          <w:color w:val="auto"/>
          <w:sz w:val="24"/>
          <w:highlight w:val="none"/>
        </w:rPr>
      </w:pPr>
      <w:r>
        <w:rPr>
          <w:rFonts w:hint="eastAsia" w:ascii="仿宋" w:hAnsi="仿宋" w:eastAsia="仿宋"/>
          <w:b/>
          <w:bCs/>
          <w:color w:val="auto"/>
          <w:sz w:val="24"/>
          <w:highlight w:val="none"/>
        </w:rPr>
        <w:t>第一条 合同标的及数量</w:t>
      </w:r>
    </w:p>
    <w:p w14:paraId="1E6FB905">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乙方向甲方提供下列货物（产品）：</w:t>
      </w:r>
    </w:p>
    <w:p w14:paraId="3F19C37E">
      <w:pPr>
        <w:spacing w:line="276" w:lineRule="auto"/>
        <w:jc w:val="center"/>
        <w:rPr>
          <w:rFonts w:hint="eastAsia" w:ascii="仿宋" w:hAnsi="仿宋" w:eastAsia="仿宋"/>
          <w:color w:val="auto"/>
          <w:sz w:val="24"/>
          <w:highlight w:val="none"/>
        </w:rPr>
      </w:pPr>
      <w:r>
        <w:rPr>
          <w:rFonts w:hint="eastAsia" w:ascii="仿宋" w:hAnsi="仿宋" w:eastAsia="仿宋"/>
          <w:color w:val="auto"/>
          <w:sz w:val="24"/>
          <w:highlight w:val="none"/>
        </w:rPr>
        <w:t>供货一览表</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370"/>
        <w:gridCol w:w="898"/>
        <w:gridCol w:w="1176"/>
        <w:gridCol w:w="1037"/>
        <w:gridCol w:w="1037"/>
        <w:gridCol w:w="1037"/>
        <w:gridCol w:w="1037"/>
      </w:tblGrid>
      <w:tr w14:paraId="383FB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tcPr>
          <w:p w14:paraId="5A6D87F9">
            <w:pPr>
              <w:jc w:val="center"/>
              <w:rPr>
                <w:rFonts w:hint="eastAsia" w:ascii="仿宋" w:hAnsi="仿宋" w:eastAsia="仿宋"/>
                <w:color w:val="auto"/>
                <w:sz w:val="22"/>
                <w:szCs w:val="22"/>
                <w:highlight w:val="none"/>
              </w:rPr>
            </w:pPr>
            <w:r>
              <w:rPr>
                <w:rFonts w:hint="eastAsia" w:ascii="仿宋" w:hAnsi="仿宋" w:eastAsia="仿宋"/>
                <w:color w:val="auto"/>
                <w:sz w:val="22"/>
                <w:szCs w:val="22"/>
                <w:highlight w:val="none"/>
              </w:rPr>
              <w:t>序号</w:t>
            </w:r>
          </w:p>
        </w:tc>
        <w:tc>
          <w:tcPr>
            <w:tcW w:w="1370" w:type="dxa"/>
          </w:tcPr>
          <w:p w14:paraId="37063512">
            <w:pPr>
              <w:jc w:val="center"/>
              <w:rPr>
                <w:rFonts w:hint="eastAsia" w:ascii="仿宋" w:hAnsi="仿宋" w:eastAsia="仿宋"/>
                <w:color w:val="auto"/>
                <w:sz w:val="22"/>
                <w:szCs w:val="22"/>
                <w:highlight w:val="none"/>
              </w:rPr>
            </w:pPr>
            <w:r>
              <w:rPr>
                <w:rFonts w:hint="eastAsia" w:ascii="仿宋" w:hAnsi="仿宋" w:eastAsia="仿宋"/>
                <w:color w:val="auto"/>
                <w:sz w:val="22"/>
                <w:szCs w:val="22"/>
                <w:highlight w:val="none"/>
              </w:rPr>
              <w:t>产品名称</w:t>
            </w:r>
          </w:p>
        </w:tc>
        <w:tc>
          <w:tcPr>
            <w:tcW w:w="898" w:type="dxa"/>
          </w:tcPr>
          <w:p w14:paraId="042ED6AC">
            <w:pPr>
              <w:jc w:val="center"/>
              <w:rPr>
                <w:rFonts w:hint="eastAsia" w:ascii="仿宋" w:hAnsi="仿宋" w:eastAsia="仿宋"/>
                <w:color w:val="auto"/>
                <w:sz w:val="22"/>
                <w:szCs w:val="22"/>
                <w:highlight w:val="none"/>
              </w:rPr>
            </w:pPr>
            <w:r>
              <w:rPr>
                <w:rFonts w:hint="eastAsia" w:ascii="仿宋" w:hAnsi="仿宋" w:eastAsia="仿宋"/>
                <w:color w:val="auto"/>
                <w:sz w:val="22"/>
                <w:szCs w:val="22"/>
                <w:highlight w:val="none"/>
              </w:rPr>
              <w:t>品牌</w:t>
            </w:r>
          </w:p>
        </w:tc>
        <w:tc>
          <w:tcPr>
            <w:tcW w:w="1176" w:type="dxa"/>
          </w:tcPr>
          <w:p w14:paraId="13EE43E0">
            <w:pPr>
              <w:jc w:val="center"/>
              <w:rPr>
                <w:rFonts w:hint="eastAsia" w:ascii="仿宋" w:hAnsi="仿宋" w:eastAsia="仿宋"/>
                <w:color w:val="auto"/>
                <w:sz w:val="22"/>
                <w:szCs w:val="22"/>
                <w:highlight w:val="none"/>
              </w:rPr>
            </w:pPr>
            <w:r>
              <w:rPr>
                <w:rFonts w:hint="eastAsia" w:ascii="仿宋" w:hAnsi="仿宋" w:eastAsia="仿宋"/>
                <w:color w:val="auto"/>
                <w:sz w:val="22"/>
                <w:szCs w:val="22"/>
                <w:highlight w:val="none"/>
              </w:rPr>
              <w:t>规格型号</w:t>
            </w:r>
          </w:p>
        </w:tc>
        <w:tc>
          <w:tcPr>
            <w:tcW w:w="1037" w:type="dxa"/>
          </w:tcPr>
          <w:p w14:paraId="36AEB57A">
            <w:pPr>
              <w:jc w:val="center"/>
              <w:rPr>
                <w:rFonts w:hint="eastAsia" w:ascii="仿宋" w:hAnsi="仿宋" w:eastAsia="仿宋"/>
                <w:color w:val="auto"/>
                <w:sz w:val="22"/>
                <w:szCs w:val="22"/>
                <w:highlight w:val="none"/>
              </w:rPr>
            </w:pPr>
            <w:r>
              <w:rPr>
                <w:rFonts w:hint="eastAsia" w:ascii="仿宋" w:hAnsi="仿宋" w:eastAsia="仿宋"/>
                <w:color w:val="auto"/>
                <w:sz w:val="22"/>
                <w:szCs w:val="22"/>
                <w:highlight w:val="none"/>
              </w:rPr>
              <w:t>单位</w:t>
            </w:r>
          </w:p>
        </w:tc>
        <w:tc>
          <w:tcPr>
            <w:tcW w:w="1037" w:type="dxa"/>
          </w:tcPr>
          <w:p w14:paraId="6774DFA3">
            <w:pPr>
              <w:jc w:val="center"/>
              <w:rPr>
                <w:rFonts w:hint="eastAsia" w:ascii="仿宋" w:hAnsi="仿宋" w:eastAsia="仿宋"/>
                <w:color w:val="auto"/>
                <w:sz w:val="22"/>
                <w:szCs w:val="22"/>
                <w:highlight w:val="none"/>
              </w:rPr>
            </w:pPr>
            <w:r>
              <w:rPr>
                <w:rFonts w:hint="eastAsia" w:ascii="仿宋" w:hAnsi="仿宋" w:eastAsia="仿宋"/>
                <w:color w:val="auto"/>
                <w:sz w:val="22"/>
                <w:szCs w:val="22"/>
                <w:highlight w:val="none"/>
              </w:rPr>
              <w:t>数量</w:t>
            </w:r>
          </w:p>
        </w:tc>
        <w:tc>
          <w:tcPr>
            <w:tcW w:w="1037" w:type="dxa"/>
          </w:tcPr>
          <w:p w14:paraId="09B453A6">
            <w:pPr>
              <w:jc w:val="center"/>
              <w:rPr>
                <w:rFonts w:hint="eastAsia" w:ascii="仿宋" w:hAnsi="仿宋" w:eastAsia="仿宋"/>
                <w:color w:val="auto"/>
                <w:sz w:val="22"/>
                <w:szCs w:val="22"/>
                <w:highlight w:val="none"/>
              </w:rPr>
            </w:pPr>
            <w:r>
              <w:rPr>
                <w:rFonts w:hint="eastAsia" w:ascii="仿宋" w:hAnsi="仿宋" w:eastAsia="仿宋"/>
                <w:color w:val="auto"/>
                <w:sz w:val="22"/>
                <w:szCs w:val="22"/>
                <w:highlight w:val="none"/>
              </w:rPr>
              <w:t>单价（元）</w:t>
            </w:r>
          </w:p>
        </w:tc>
        <w:tc>
          <w:tcPr>
            <w:tcW w:w="1037" w:type="dxa"/>
          </w:tcPr>
          <w:p w14:paraId="65F9BC34">
            <w:pPr>
              <w:jc w:val="center"/>
              <w:rPr>
                <w:rFonts w:hint="eastAsia" w:ascii="仿宋" w:hAnsi="仿宋" w:eastAsia="仿宋"/>
                <w:color w:val="auto"/>
                <w:sz w:val="22"/>
                <w:szCs w:val="22"/>
                <w:highlight w:val="none"/>
              </w:rPr>
            </w:pPr>
            <w:r>
              <w:rPr>
                <w:rFonts w:hint="eastAsia" w:ascii="仿宋" w:hAnsi="仿宋" w:eastAsia="仿宋"/>
                <w:color w:val="auto"/>
                <w:sz w:val="22"/>
                <w:szCs w:val="22"/>
                <w:highlight w:val="none"/>
              </w:rPr>
              <w:t>金额</w:t>
            </w:r>
          </w:p>
          <w:p w14:paraId="38B5F9DF">
            <w:pPr>
              <w:jc w:val="center"/>
              <w:rPr>
                <w:rFonts w:hint="eastAsia" w:ascii="仿宋" w:hAnsi="仿宋" w:eastAsia="仿宋"/>
                <w:color w:val="auto"/>
                <w:sz w:val="22"/>
                <w:szCs w:val="22"/>
                <w:highlight w:val="none"/>
              </w:rPr>
            </w:pPr>
            <w:r>
              <w:rPr>
                <w:rFonts w:hint="eastAsia" w:ascii="仿宋" w:hAnsi="仿宋" w:eastAsia="仿宋"/>
                <w:color w:val="auto"/>
                <w:sz w:val="22"/>
                <w:szCs w:val="22"/>
                <w:highlight w:val="none"/>
              </w:rPr>
              <w:t>（元）</w:t>
            </w:r>
          </w:p>
        </w:tc>
      </w:tr>
      <w:tr w14:paraId="136E7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tcPr>
          <w:p w14:paraId="7F7C155B">
            <w:pPr>
              <w:jc w:val="center"/>
              <w:rPr>
                <w:rFonts w:hint="eastAsia" w:ascii="仿宋" w:hAnsi="仿宋" w:eastAsia="仿宋"/>
                <w:color w:val="auto"/>
                <w:sz w:val="22"/>
                <w:szCs w:val="22"/>
                <w:highlight w:val="none"/>
              </w:rPr>
            </w:pPr>
          </w:p>
        </w:tc>
        <w:tc>
          <w:tcPr>
            <w:tcW w:w="1370" w:type="dxa"/>
          </w:tcPr>
          <w:p w14:paraId="564C3FFD">
            <w:pPr>
              <w:jc w:val="center"/>
              <w:rPr>
                <w:rFonts w:hint="eastAsia" w:ascii="仿宋" w:hAnsi="仿宋" w:eastAsia="仿宋"/>
                <w:color w:val="auto"/>
                <w:sz w:val="22"/>
                <w:szCs w:val="22"/>
                <w:highlight w:val="none"/>
              </w:rPr>
            </w:pPr>
          </w:p>
        </w:tc>
        <w:tc>
          <w:tcPr>
            <w:tcW w:w="898" w:type="dxa"/>
          </w:tcPr>
          <w:p w14:paraId="463FB788">
            <w:pPr>
              <w:jc w:val="center"/>
              <w:rPr>
                <w:rFonts w:hint="eastAsia" w:ascii="仿宋" w:hAnsi="仿宋" w:eastAsia="仿宋"/>
                <w:color w:val="auto"/>
                <w:sz w:val="22"/>
                <w:szCs w:val="22"/>
                <w:highlight w:val="none"/>
              </w:rPr>
            </w:pPr>
          </w:p>
        </w:tc>
        <w:tc>
          <w:tcPr>
            <w:tcW w:w="1176" w:type="dxa"/>
          </w:tcPr>
          <w:p w14:paraId="1570C875">
            <w:pPr>
              <w:jc w:val="center"/>
              <w:rPr>
                <w:rFonts w:hint="eastAsia" w:ascii="仿宋" w:hAnsi="仿宋" w:eastAsia="仿宋"/>
                <w:color w:val="auto"/>
                <w:sz w:val="22"/>
                <w:szCs w:val="22"/>
                <w:highlight w:val="none"/>
              </w:rPr>
            </w:pPr>
          </w:p>
        </w:tc>
        <w:tc>
          <w:tcPr>
            <w:tcW w:w="1037" w:type="dxa"/>
          </w:tcPr>
          <w:p w14:paraId="22C6E122">
            <w:pPr>
              <w:jc w:val="center"/>
              <w:rPr>
                <w:rFonts w:hint="eastAsia" w:ascii="仿宋" w:hAnsi="仿宋" w:eastAsia="仿宋"/>
                <w:color w:val="auto"/>
                <w:sz w:val="22"/>
                <w:szCs w:val="22"/>
                <w:highlight w:val="none"/>
              </w:rPr>
            </w:pPr>
          </w:p>
        </w:tc>
        <w:tc>
          <w:tcPr>
            <w:tcW w:w="1037" w:type="dxa"/>
          </w:tcPr>
          <w:p w14:paraId="42B7AAC5">
            <w:pPr>
              <w:jc w:val="center"/>
              <w:rPr>
                <w:rFonts w:hint="eastAsia" w:ascii="仿宋" w:hAnsi="仿宋" w:eastAsia="仿宋"/>
                <w:color w:val="auto"/>
                <w:sz w:val="22"/>
                <w:szCs w:val="22"/>
                <w:highlight w:val="none"/>
              </w:rPr>
            </w:pPr>
          </w:p>
        </w:tc>
        <w:tc>
          <w:tcPr>
            <w:tcW w:w="1037" w:type="dxa"/>
          </w:tcPr>
          <w:p w14:paraId="1B1F241B">
            <w:pPr>
              <w:jc w:val="center"/>
              <w:rPr>
                <w:rFonts w:hint="eastAsia" w:ascii="仿宋" w:hAnsi="仿宋" w:eastAsia="仿宋"/>
                <w:color w:val="auto"/>
                <w:sz w:val="22"/>
                <w:szCs w:val="22"/>
                <w:highlight w:val="none"/>
              </w:rPr>
            </w:pPr>
          </w:p>
        </w:tc>
        <w:tc>
          <w:tcPr>
            <w:tcW w:w="1037" w:type="dxa"/>
          </w:tcPr>
          <w:p w14:paraId="14B8DFCD">
            <w:pPr>
              <w:jc w:val="center"/>
              <w:rPr>
                <w:rFonts w:hint="eastAsia" w:ascii="仿宋" w:hAnsi="仿宋" w:eastAsia="仿宋"/>
                <w:color w:val="auto"/>
                <w:sz w:val="22"/>
                <w:szCs w:val="22"/>
                <w:highlight w:val="none"/>
              </w:rPr>
            </w:pPr>
          </w:p>
        </w:tc>
      </w:tr>
      <w:tr w14:paraId="01D74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tcPr>
          <w:p w14:paraId="0F5569EF">
            <w:pPr>
              <w:jc w:val="center"/>
              <w:rPr>
                <w:rFonts w:hint="eastAsia" w:ascii="仿宋" w:hAnsi="仿宋" w:eastAsia="仿宋"/>
                <w:color w:val="auto"/>
                <w:sz w:val="22"/>
                <w:szCs w:val="22"/>
                <w:highlight w:val="none"/>
              </w:rPr>
            </w:pPr>
          </w:p>
        </w:tc>
        <w:tc>
          <w:tcPr>
            <w:tcW w:w="1370" w:type="dxa"/>
          </w:tcPr>
          <w:p w14:paraId="5ACDB5E3">
            <w:pPr>
              <w:jc w:val="center"/>
              <w:rPr>
                <w:rFonts w:hint="eastAsia" w:ascii="仿宋" w:hAnsi="仿宋" w:eastAsia="仿宋"/>
                <w:color w:val="auto"/>
                <w:sz w:val="22"/>
                <w:szCs w:val="22"/>
                <w:highlight w:val="none"/>
              </w:rPr>
            </w:pPr>
          </w:p>
        </w:tc>
        <w:tc>
          <w:tcPr>
            <w:tcW w:w="898" w:type="dxa"/>
          </w:tcPr>
          <w:p w14:paraId="20C7AAEC">
            <w:pPr>
              <w:jc w:val="center"/>
              <w:rPr>
                <w:rFonts w:hint="eastAsia" w:ascii="仿宋" w:hAnsi="仿宋" w:eastAsia="仿宋"/>
                <w:color w:val="auto"/>
                <w:sz w:val="22"/>
                <w:szCs w:val="22"/>
                <w:highlight w:val="none"/>
              </w:rPr>
            </w:pPr>
          </w:p>
        </w:tc>
        <w:tc>
          <w:tcPr>
            <w:tcW w:w="1176" w:type="dxa"/>
          </w:tcPr>
          <w:p w14:paraId="26F4D0F7">
            <w:pPr>
              <w:jc w:val="center"/>
              <w:rPr>
                <w:rFonts w:hint="eastAsia" w:ascii="仿宋" w:hAnsi="仿宋" w:eastAsia="仿宋"/>
                <w:color w:val="auto"/>
                <w:sz w:val="22"/>
                <w:szCs w:val="22"/>
                <w:highlight w:val="none"/>
              </w:rPr>
            </w:pPr>
          </w:p>
        </w:tc>
        <w:tc>
          <w:tcPr>
            <w:tcW w:w="1037" w:type="dxa"/>
          </w:tcPr>
          <w:p w14:paraId="1901542C">
            <w:pPr>
              <w:jc w:val="center"/>
              <w:rPr>
                <w:rFonts w:hint="eastAsia" w:ascii="仿宋" w:hAnsi="仿宋" w:eastAsia="仿宋"/>
                <w:color w:val="auto"/>
                <w:sz w:val="22"/>
                <w:szCs w:val="22"/>
                <w:highlight w:val="none"/>
              </w:rPr>
            </w:pPr>
          </w:p>
        </w:tc>
        <w:tc>
          <w:tcPr>
            <w:tcW w:w="1037" w:type="dxa"/>
          </w:tcPr>
          <w:p w14:paraId="6306D78D">
            <w:pPr>
              <w:jc w:val="center"/>
              <w:rPr>
                <w:rFonts w:hint="eastAsia" w:ascii="仿宋" w:hAnsi="仿宋" w:eastAsia="仿宋"/>
                <w:color w:val="auto"/>
                <w:sz w:val="22"/>
                <w:szCs w:val="22"/>
                <w:highlight w:val="none"/>
              </w:rPr>
            </w:pPr>
          </w:p>
        </w:tc>
        <w:tc>
          <w:tcPr>
            <w:tcW w:w="1037" w:type="dxa"/>
          </w:tcPr>
          <w:p w14:paraId="18882593">
            <w:pPr>
              <w:jc w:val="center"/>
              <w:rPr>
                <w:rFonts w:hint="eastAsia" w:ascii="仿宋" w:hAnsi="仿宋" w:eastAsia="仿宋"/>
                <w:color w:val="auto"/>
                <w:sz w:val="22"/>
                <w:szCs w:val="22"/>
                <w:highlight w:val="none"/>
              </w:rPr>
            </w:pPr>
          </w:p>
        </w:tc>
        <w:tc>
          <w:tcPr>
            <w:tcW w:w="1037" w:type="dxa"/>
          </w:tcPr>
          <w:p w14:paraId="3A163AB7">
            <w:pPr>
              <w:jc w:val="center"/>
              <w:rPr>
                <w:rFonts w:hint="eastAsia" w:ascii="仿宋" w:hAnsi="仿宋" w:eastAsia="仿宋"/>
                <w:color w:val="auto"/>
                <w:sz w:val="22"/>
                <w:szCs w:val="22"/>
                <w:highlight w:val="none"/>
              </w:rPr>
            </w:pPr>
          </w:p>
        </w:tc>
      </w:tr>
      <w:tr w14:paraId="0B932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tcPr>
          <w:p w14:paraId="3BF703E3">
            <w:pPr>
              <w:jc w:val="center"/>
              <w:rPr>
                <w:rFonts w:hint="eastAsia" w:ascii="仿宋" w:hAnsi="仿宋" w:eastAsia="仿宋"/>
                <w:color w:val="auto"/>
                <w:sz w:val="22"/>
                <w:szCs w:val="22"/>
                <w:highlight w:val="none"/>
              </w:rPr>
            </w:pPr>
          </w:p>
        </w:tc>
        <w:tc>
          <w:tcPr>
            <w:tcW w:w="1370" w:type="dxa"/>
          </w:tcPr>
          <w:p w14:paraId="0E5CE726">
            <w:pPr>
              <w:jc w:val="center"/>
              <w:rPr>
                <w:rFonts w:hint="eastAsia" w:ascii="仿宋" w:hAnsi="仿宋" w:eastAsia="仿宋"/>
                <w:color w:val="auto"/>
                <w:sz w:val="22"/>
                <w:szCs w:val="22"/>
                <w:highlight w:val="none"/>
              </w:rPr>
            </w:pPr>
          </w:p>
        </w:tc>
        <w:tc>
          <w:tcPr>
            <w:tcW w:w="898" w:type="dxa"/>
          </w:tcPr>
          <w:p w14:paraId="1D1C5275">
            <w:pPr>
              <w:jc w:val="center"/>
              <w:rPr>
                <w:rFonts w:hint="eastAsia" w:ascii="仿宋" w:hAnsi="仿宋" w:eastAsia="仿宋"/>
                <w:color w:val="auto"/>
                <w:sz w:val="22"/>
                <w:szCs w:val="22"/>
                <w:highlight w:val="none"/>
              </w:rPr>
            </w:pPr>
          </w:p>
        </w:tc>
        <w:tc>
          <w:tcPr>
            <w:tcW w:w="1176" w:type="dxa"/>
          </w:tcPr>
          <w:p w14:paraId="62940813">
            <w:pPr>
              <w:jc w:val="center"/>
              <w:rPr>
                <w:rFonts w:hint="eastAsia" w:ascii="仿宋" w:hAnsi="仿宋" w:eastAsia="仿宋"/>
                <w:color w:val="auto"/>
                <w:sz w:val="22"/>
                <w:szCs w:val="22"/>
                <w:highlight w:val="none"/>
              </w:rPr>
            </w:pPr>
          </w:p>
        </w:tc>
        <w:tc>
          <w:tcPr>
            <w:tcW w:w="1037" w:type="dxa"/>
          </w:tcPr>
          <w:p w14:paraId="6406BC3C">
            <w:pPr>
              <w:jc w:val="center"/>
              <w:rPr>
                <w:rFonts w:hint="eastAsia" w:ascii="仿宋" w:hAnsi="仿宋" w:eastAsia="仿宋"/>
                <w:color w:val="auto"/>
                <w:sz w:val="22"/>
                <w:szCs w:val="22"/>
                <w:highlight w:val="none"/>
              </w:rPr>
            </w:pPr>
          </w:p>
        </w:tc>
        <w:tc>
          <w:tcPr>
            <w:tcW w:w="1037" w:type="dxa"/>
          </w:tcPr>
          <w:p w14:paraId="717022E2">
            <w:pPr>
              <w:jc w:val="center"/>
              <w:rPr>
                <w:rFonts w:hint="eastAsia" w:ascii="仿宋" w:hAnsi="仿宋" w:eastAsia="仿宋"/>
                <w:color w:val="auto"/>
                <w:sz w:val="22"/>
                <w:szCs w:val="22"/>
                <w:highlight w:val="none"/>
              </w:rPr>
            </w:pPr>
          </w:p>
        </w:tc>
        <w:tc>
          <w:tcPr>
            <w:tcW w:w="1037" w:type="dxa"/>
          </w:tcPr>
          <w:p w14:paraId="75F7372D">
            <w:pPr>
              <w:jc w:val="center"/>
              <w:rPr>
                <w:rFonts w:hint="eastAsia" w:ascii="仿宋" w:hAnsi="仿宋" w:eastAsia="仿宋"/>
                <w:color w:val="auto"/>
                <w:sz w:val="22"/>
                <w:szCs w:val="22"/>
                <w:highlight w:val="none"/>
              </w:rPr>
            </w:pPr>
          </w:p>
        </w:tc>
        <w:tc>
          <w:tcPr>
            <w:tcW w:w="1037" w:type="dxa"/>
          </w:tcPr>
          <w:p w14:paraId="280CBBF3">
            <w:pPr>
              <w:jc w:val="center"/>
              <w:rPr>
                <w:rFonts w:hint="eastAsia" w:ascii="仿宋" w:hAnsi="仿宋" w:eastAsia="仿宋"/>
                <w:color w:val="auto"/>
                <w:sz w:val="22"/>
                <w:szCs w:val="22"/>
                <w:highlight w:val="none"/>
              </w:rPr>
            </w:pPr>
          </w:p>
        </w:tc>
      </w:tr>
      <w:tr w14:paraId="659C0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tcPr>
          <w:p w14:paraId="26D271F4">
            <w:pPr>
              <w:jc w:val="center"/>
              <w:rPr>
                <w:rFonts w:hint="eastAsia" w:ascii="仿宋" w:hAnsi="仿宋" w:eastAsia="仿宋"/>
                <w:color w:val="auto"/>
                <w:sz w:val="22"/>
                <w:szCs w:val="22"/>
                <w:highlight w:val="none"/>
              </w:rPr>
            </w:pPr>
          </w:p>
        </w:tc>
        <w:tc>
          <w:tcPr>
            <w:tcW w:w="1370" w:type="dxa"/>
          </w:tcPr>
          <w:p w14:paraId="726A73BB">
            <w:pPr>
              <w:jc w:val="center"/>
              <w:rPr>
                <w:rFonts w:hint="eastAsia" w:ascii="仿宋" w:hAnsi="仿宋" w:eastAsia="仿宋"/>
                <w:color w:val="auto"/>
                <w:sz w:val="22"/>
                <w:szCs w:val="22"/>
                <w:highlight w:val="none"/>
              </w:rPr>
            </w:pPr>
          </w:p>
        </w:tc>
        <w:tc>
          <w:tcPr>
            <w:tcW w:w="898" w:type="dxa"/>
          </w:tcPr>
          <w:p w14:paraId="78E6C1D2">
            <w:pPr>
              <w:jc w:val="center"/>
              <w:rPr>
                <w:rFonts w:hint="eastAsia" w:ascii="仿宋" w:hAnsi="仿宋" w:eastAsia="仿宋"/>
                <w:color w:val="auto"/>
                <w:sz w:val="22"/>
                <w:szCs w:val="22"/>
                <w:highlight w:val="none"/>
              </w:rPr>
            </w:pPr>
          </w:p>
        </w:tc>
        <w:tc>
          <w:tcPr>
            <w:tcW w:w="1176" w:type="dxa"/>
          </w:tcPr>
          <w:p w14:paraId="47A67CEA">
            <w:pPr>
              <w:jc w:val="center"/>
              <w:rPr>
                <w:rFonts w:hint="eastAsia" w:ascii="仿宋" w:hAnsi="仿宋" w:eastAsia="仿宋"/>
                <w:color w:val="auto"/>
                <w:sz w:val="22"/>
                <w:szCs w:val="22"/>
                <w:highlight w:val="none"/>
              </w:rPr>
            </w:pPr>
          </w:p>
        </w:tc>
        <w:tc>
          <w:tcPr>
            <w:tcW w:w="1037" w:type="dxa"/>
          </w:tcPr>
          <w:p w14:paraId="5912FEF0">
            <w:pPr>
              <w:jc w:val="center"/>
              <w:rPr>
                <w:rFonts w:hint="eastAsia" w:ascii="仿宋" w:hAnsi="仿宋" w:eastAsia="仿宋"/>
                <w:color w:val="auto"/>
                <w:sz w:val="22"/>
                <w:szCs w:val="22"/>
                <w:highlight w:val="none"/>
              </w:rPr>
            </w:pPr>
          </w:p>
        </w:tc>
        <w:tc>
          <w:tcPr>
            <w:tcW w:w="1037" w:type="dxa"/>
          </w:tcPr>
          <w:p w14:paraId="48CB2689">
            <w:pPr>
              <w:jc w:val="center"/>
              <w:rPr>
                <w:rFonts w:hint="eastAsia" w:ascii="仿宋" w:hAnsi="仿宋" w:eastAsia="仿宋"/>
                <w:color w:val="auto"/>
                <w:sz w:val="22"/>
                <w:szCs w:val="22"/>
                <w:highlight w:val="none"/>
              </w:rPr>
            </w:pPr>
          </w:p>
        </w:tc>
        <w:tc>
          <w:tcPr>
            <w:tcW w:w="1037" w:type="dxa"/>
          </w:tcPr>
          <w:p w14:paraId="34923E72">
            <w:pPr>
              <w:jc w:val="center"/>
              <w:rPr>
                <w:rFonts w:hint="eastAsia" w:ascii="仿宋" w:hAnsi="仿宋" w:eastAsia="仿宋"/>
                <w:color w:val="auto"/>
                <w:sz w:val="22"/>
                <w:szCs w:val="22"/>
                <w:highlight w:val="none"/>
              </w:rPr>
            </w:pPr>
          </w:p>
        </w:tc>
        <w:tc>
          <w:tcPr>
            <w:tcW w:w="1037" w:type="dxa"/>
          </w:tcPr>
          <w:p w14:paraId="69726BBC">
            <w:pPr>
              <w:jc w:val="center"/>
              <w:rPr>
                <w:rFonts w:hint="eastAsia" w:ascii="仿宋" w:hAnsi="仿宋" w:eastAsia="仿宋"/>
                <w:color w:val="auto"/>
                <w:sz w:val="22"/>
                <w:szCs w:val="22"/>
                <w:highlight w:val="none"/>
              </w:rPr>
            </w:pPr>
          </w:p>
        </w:tc>
      </w:tr>
      <w:tr w14:paraId="5EBB8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96" w:type="dxa"/>
            <w:gridSpan w:val="8"/>
          </w:tcPr>
          <w:p w14:paraId="2CD411CC">
            <w:pPr>
              <w:jc w:val="center"/>
              <w:rPr>
                <w:rFonts w:hint="eastAsia" w:ascii="仿宋" w:hAnsi="仿宋" w:eastAsia="仿宋"/>
                <w:color w:val="auto"/>
                <w:sz w:val="22"/>
                <w:szCs w:val="22"/>
                <w:highlight w:val="none"/>
              </w:rPr>
            </w:pPr>
            <w:r>
              <w:rPr>
                <w:rFonts w:hint="eastAsia" w:ascii="仿宋" w:hAnsi="仿宋" w:eastAsia="仿宋"/>
                <w:color w:val="auto"/>
                <w:sz w:val="22"/>
                <w:szCs w:val="22"/>
                <w:highlight w:val="none"/>
              </w:rPr>
              <w:t xml:space="preserve">合计：（大写）          （小写）        </w:t>
            </w:r>
          </w:p>
        </w:tc>
      </w:tr>
    </w:tbl>
    <w:p w14:paraId="5AC857E7">
      <w:pPr>
        <w:spacing w:line="276" w:lineRule="auto"/>
        <w:jc w:val="left"/>
        <w:rPr>
          <w:rFonts w:hint="eastAsia" w:ascii="仿宋" w:hAnsi="仿宋" w:eastAsia="仿宋"/>
          <w:color w:val="auto"/>
          <w:sz w:val="24"/>
          <w:highlight w:val="none"/>
        </w:rPr>
      </w:pPr>
    </w:p>
    <w:p w14:paraId="52E10D10">
      <w:pPr>
        <w:spacing w:line="276" w:lineRule="auto"/>
        <w:jc w:val="left"/>
        <w:rPr>
          <w:rFonts w:hint="eastAsia" w:ascii="仿宋" w:hAnsi="仿宋" w:eastAsia="仿宋"/>
          <w:b/>
          <w:bCs/>
          <w:color w:val="auto"/>
          <w:sz w:val="24"/>
          <w:highlight w:val="none"/>
        </w:rPr>
      </w:pPr>
      <w:r>
        <w:rPr>
          <w:rFonts w:hint="eastAsia" w:ascii="仿宋" w:hAnsi="仿宋" w:eastAsia="仿宋"/>
          <w:b/>
          <w:bCs/>
          <w:color w:val="auto"/>
          <w:sz w:val="24"/>
          <w:highlight w:val="none"/>
        </w:rPr>
        <w:t>第二条 合同价款</w:t>
      </w:r>
    </w:p>
    <w:p w14:paraId="1EBEF7FB">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1.合同总价：人民币（大写）                  元，（￥            ）。</w:t>
      </w:r>
    </w:p>
    <w:p w14:paraId="1F3C1182">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2.本合同总价是货物（产品）设计、材料、制造、包装、运输、安装、调试、检测、验收合格交付使用之前及保修期内保修服务与备用物件等其他有关各项的含税费用。</w:t>
      </w:r>
    </w:p>
    <w:p w14:paraId="5E7859FA">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3.本合同总价还包含乙方应当提供的伴随服务和售后服务费用。</w:t>
      </w:r>
    </w:p>
    <w:p w14:paraId="4A20BD09">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4.本合同执行期间合同总价不变，甲方无须另向乙方支付本合同规定之外的其他任何费用。</w:t>
      </w:r>
    </w:p>
    <w:p w14:paraId="6500EDB7">
      <w:pPr>
        <w:spacing w:line="276" w:lineRule="auto"/>
        <w:jc w:val="left"/>
        <w:rPr>
          <w:rFonts w:hint="eastAsia" w:ascii="仿宋" w:hAnsi="仿宋" w:eastAsia="仿宋"/>
          <w:b/>
          <w:bCs/>
          <w:color w:val="auto"/>
          <w:sz w:val="24"/>
          <w:highlight w:val="none"/>
        </w:rPr>
      </w:pPr>
    </w:p>
    <w:p w14:paraId="6FAC7173">
      <w:pPr>
        <w:spacing w:line="276" w:lineRule="auto"/>
        <w:jc w:val="left"/>
        <w:rPr>
          <w:rFonts w:hint="eastAsia" w:ascii="仿宋" w:hAnsi="仿宋" w:eastAsia="仿宋"/>
          <w:b/>
          <w:bCs/>
          <w:color w:val="auto"/>
          <w:sz w:val="24"/>
          <w:highlight w:val="none"/>
        </w:rPr>
      </w:pPr>
      <w:r>
        <w:rPr>
          <w:rFonts w:hint="eastAsia" w:ascii="仿宋" w:hAnsi="仿宋" w:eastAsia="仿宋"/>
          <w:b/>
          <w:bCs/>
          <w:color w:val="auto"/>
          <w:sz w:val="24"/>
          <w:highlight w:val="none"/>
        </w:rPr>
        <w:t>第三条 货款支付</w:t>
      </w:r>
    </w:p>
    <w:p w14:paraId="45893F2A">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1.支付方式：一次性付款。</w:t>
      </w:r>
    </w:p>
    <w:p w14:paraId="3D4907CC">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2.付款条件：</w:t>
      </w:r>
    </w:p>
    <w:p w14:paraId="35BCF946">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项目交付完成并验收合格后，乙方应向甲方出具书面付款通知（注明开户行及账户信息）以及符合国家财税规定的增值税发票，达到付款条件起30日内，支付合同总金额的100.00%。</w:t>
      </w:r>
    </w:p>
    <w:p w14:paraId="2DB3B5F1">
      <w:pPr>
        <w:spacing w:line="276" w:lineRule="auto"/>
        <w:jc w:val="left"/>
        <w:rPr>
          <w:rFonts w:hint="eastAsia" w:ascii="仿宋" w:hAnsi="仿宋" w:eastAsia="仿宋"/>
          <w:color w:val="auto"/>
          <w:sz w:val="24"/>
          <w:highlight w:val="none"/>
        </w:rPr>
      </w:pPr>
    </w:p>
    <w:p w14:paraId="6257AB47">
      <w:pPr>
        <w:spacing w:line="276" w:lineRule="auto"/>
        <w:jc w:val="left"/>
        <w:rPr>
          <w:rFonts w:hint="eastAsia" w:ascii="仿宋" w:hAnsi="仿宋" w:eastAsia="仿宋"/>
          <w:b/>
          <w:bCs/>
          <w:color w:val="auto"/>
          <w:sz w:val="24"/>
          <w:highlight w:val="none"/>
        </w:rPr>
      </w:pPr>
      <w:r>
        <w:rPr>
          <w:rFonts w:hint="eastAsia" w:ascii="仿宋" w:hAnsi="仿宋" w:eastAsia="仿宋"/>
          <w:b/>
          <w:bCs/>
          <w:color w:val="auto"/>
          <w:sz w:val="24"/>
          <w:highlight w:val="none"/>
        </w:rPr>
        <w:t>第四条 交货时间与地点</w:t>
      </w:r>
    </w:p>
    <w:p w14:paraId="58529CA1">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乙方在合同签订生效之日起，按甲方指定时间、方式、地点交货。</w:t>
      </w:r>
    </w:p>
    <w:p w14:paraId="744FC485">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1.</w:t>
      </w:r>
      <w:r>
        <w:rPr>
          <w:rFonts w:hint="eastAsia" w:ascii="仿宋" w:hAnsi="仿宋" w:eastAsia="仿宋"/>
          <w:color w:val="auto"/>
          <w:sz w:val="24"/>
          <w:highlight w:val="none"/>
        </w:rPr>
        <w:tab/>
      </w:r>
      <w:r>
        <w:rPr>
          <w:rFonts w:hint="eastAsia" w:ascii="仿宋" w:hAnsi="仿宋" w:eastAsia="仿宋"/>
          <w:color w:val="auto"/>
          <w:sz w:val="24"/>
          <w:highlight w:val="none"/>
        </w:rPr>
        <w:t>交货时间（期限）：合同签订之日起全部货物3个月内供货完毕；接到采购人供货通知后10个日历日内完成单次交货。</w:t>
      </w:r>
    </w:p>
    <w:p w14:paraId="33332212">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2.</w:t>
      </w:r>
      <w:r>
        <w:rPr>
          <w:rFonts w:hint="eastAsia" w:ascii="仿宋" w:hAnsi="仿宋" w:eastAsia="仿宋"/>
          <w:color w:val="auto"/>
          <w:sz w:val="24"/>
          <w:highlight w:val="none"/>
        </w:rPr>
        <w:tab/>
      </w:r>
      <w:r>
        <w:rPr>
          <w:rFonts w:hint="eastAsia" w:ascii="仿宋" w:hAnsi="仿宋" w:eastAsia="仿宋"/>
          <w:color w:val="auto"/>
          <w:sz w:val="24"/>
          <w:highlight w:val="none"/>
        </w:rPr>
        <w:t>交货方式：现场交付</w:t>
      </w:r>
    </w:p>
    <w:p w14:paraId="4BAEDAD7">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3.交货地点：采购人指定地点。</w:t>
      </w:r>
    </w:p>
    <w:p w14:paraId="0E0E3CD4">
      <w:pPr>
        <w:spacing w:line="276" w:lineRule="auto"/>
        <w:jc w:val="left"/>
        <w:rPr>
          <w:rFonts w:hint="eastAsia" w:ascii="仿宋" w:hAnsi="仿宋" w:eastAsia="仿宋"/>
          <w:b/>
          <w:bCs/>
          <w:color w:val="auto"/>
          <w:sz w:val="24"/>
          <w:highlight w:val="none"/>
        </w:rPr>
      </w:pPr>
    </w:p>
    <w:p w14:paraId="534058DF">
      <w:pPr>
        <w:spacing w:line="276" w:lineRule="auto"/>
        <w:jc w:val="left"/>
        <w:rPr>
          <w:rFonts w:hint="eastAsia" w:ascii="仿宋" w:hAnsi="仿宋" w:eastAsia="仿宋"/>
          <w:b/>
          <w:bCs/>
          <w:color w:val="auto"/>
          <w:sz w:val="24"/>
          <w:highlight w:val="none"/>
        </w:rPr>
      </w:pPr>
      <w:r>
        <w:rPr>
          <w:rFonts w:hint="eastAsia" w:ascii="仿宋" w:hAnsi="仿宋" w:eastAsia="仿宋"/>
          <w:b/>
          <w:bCs/>
          <w:color w:val="auto"/>
          <w:sz w:val="24"/>
          <w:highlight w:val="none"/>
        </w:rPr>
        <w:t>第五条 质量保证</w:t>
      </w:r>
    </w:p>
    <w:p w14:paraId="669E4444">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1.乙方须提供全新的、未使用过的合格正品货物（含零部件、配件等），完全符合合同规定的质量、规格和性能的要求。</w:t>
      </w:r>
    </w:p>
    <w:p w14:paraId="60ADDC10">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2.质量标准按照最新颁布的国家标准、行业标准或制造商企业标准确定，上述标准不一致的，以严格标准为准。</w:t>
      </w:r>
    </w:p>
    <w:p w14:paraId="08E03938">
      <w:pPr>
        <w:spacing w:line="276" w:lineRule="auto"/>
        <w:jc w:val="left"/>
        <w:rPr>
          <w:rFonts w:hint="eastAsia" w:ascii="仿宋" w:hAnsi="仿宋" w:eastAsia="仿宋"/>
          <w:b/>
          <w:bCs/>
          <w:color w:val="auto"/>
          <w:sz w:val="24"/>
          <w:highlight w:val="none"/>
        </w:rPr>
      </w:pPr>
    </w:p>
    <w:p w14:paraId="1CFFBFEF">
      <w:pPr>
        <w:spacing w:line="276" w:lineRule="auto"/>
        <w:jc w:val="left"/>
        <w:rPr>
          <w:rFonts w:hint="eastAsia" w:ascii="仿宋" w:hAnsi="仿宋" w:eastAsia="仿宋"/>
          <w:b/>
          <w:bCs/>
          <w:color w:val="auto"/>
          <w:sz w:val="24"/>
          <w:highlight w:val="none"/>
        </w:rPr>
      </w:pPr>
      <w:r>
        <w:rPr>
          <w:rFonts w:hint="eastAsia" w:ascii="仿宋" w:hAnsi="仿宋" w:eastAsia="仿宋"/>
          <w:b/>
          <w:bCs/>
          <w:color w:val="auto"/>
          <w:sz w:val="24"/>
          <w:highlight w:val="none"/>
        </w:rPr>
        <w:t>第六条 权利保证</w:t>
      </w:r>
    </w:p>
    <w:p w14:paraId="1A72FC35">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1.乙方保证对其出售的货物享有合法的权利。</w:t>
      </w:r>
    </w:p>
    <w:p w14:paraId="48424290">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2.乙方保证对其出售的货物上不存在任何未曾向甲方透露的担保物权，如抵押权、质押权、留置权。</w:t>
      </w:r>
    </w:p>
    <w:p w14:paraId="310068D4">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3.乙方保证对其出售的货物或其任何一部分没有侵犯第三方的专利权、版权、商标权或其他权利。</w:t>
      </w:r>
    </w:p>
    <w:p w14:paraId="77C250AC">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4.如甲方在使用该货物构成上述侵权的，则由乙方承担全部责任。</w:t>
      </w:r>
    </w:p>
    <w:p w14:paraId="2CB51C2A">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lang w:val="en-US" w:eastAsia="zh-CN"/>
        </w:rPr>
        <w:t>5.</w:t>
      </w:r>
      <w:r>
        <w:rPr>
          <w:rFonts w:hint="eastAsia" w:ascii="仿宋" w:hAnsi="仿宋" w:eastAsia="仿宋"/>
          <w:color w:val="auto"/>
          <w:sz w:val="24"/>
          <w:highlight w:val="none"/>
        </w:rPr>
        <w:t>采购人增加合同标的的权利</w:t>
      </w:r>
      <w:r>
        <w:rPr>
          <w:rFonts w:hint="eastAsia" w:ascii="仿宋" w:hAnsi="仿宋" w:eastAsia="仿宋"/>
          <w:color w:val="auto"/>
          <w:sz w:val="24"/>
          <w:highlight w:val="none"/>
          <w:lang w:eastAsia="zh-CN"/>
        </w:rPr>
        <w:t>：</w:t>
      </w:r>
      <w:r>
        <w:rPr>
          <w:rFonts w:hint="eastAsia" w:ascii="仿宋" w:hAnsi="仿宋" w:eastAsia="仿宋"/>
          <w:color w:val="auto"/>
          <w:sz w:val="24"/>
          <w:highlight w:val="none"/>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14:paraId="749DD782">
      <w:pPr>
        <w:spacing w:line="276" w:lineRule="auto"/>
        <w:jc w:val="left"/>
        <w:rPr>
          <w:rFonts w:hint="eastAsia" w:ascii="仿宋" w:hAnsi="仿宋" w:eastAsia="仿宋"/>
          <w:b/>
          <w:bCs/>
          <w:color w:val="auto"/>
          <w:sz w:val="24"/>
          <w:highlight w:val="none"/>
        </w:rPr>
      </w:pPr>
    </w:p>
    <w:p w14:paraId="66618E56">
      <w:pPr>
        <w:spacing w:line="276" w:lineRule="auto"/>
        <w:jc w:val="left"/>
        <w:rPr>
          <w:rFonts w:hint="eastAsia" w:ascii="仿宋" w:hAnsi="仿宋" w:eastAsia="仿宋"/>
          <w:b/>
          <w:bCs/>
          <w:color w:val="auto"/>
          <w:sz w:val="24"/>
          <w:highlight w:val="none"/>
        </w:rPr>
      </w:pPr>
      <w:r>
        <w:rPr>
          <w:rFonts w:hint="eastAsia" w:ascii="仿宋" w:hAnsi="仿宋" w:eastAsia="仿宋"/>
          <w:b/>
          <w:bCs/>
          <w:color w:val="auto"/>
          <w:sz w:val="24"/>
          <w:highlight w:val="none"/>
        </w:rPr>
        <w:t xml:space="preserve">第七条 包装要求与运输方式   </w:t>
      </w:r>
    </w:p>
    <w:p w14:paraId="479E59AD">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1.乙方根据产品特性，自行选择运输及包装方式，承担一切运输费用，运杂费包含在试剂协议单价内，包括但不限于货物运输所含的运输费、装卸费、仓储费、保险费等。</w:t>
      </w:r>
    </w:p>
    <w:p w14:paraId="20E312EC">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2.乙方保证货物安全、按期运送到达甲方指定交货地点，在交付甲方前发生的不可预见的风险均由乙方承担。</w:t>
      </w:r>
    </w:p>
    <w:p w14:paraId="4259AFBE">
      <w:pPr>
        <w:spacing w:line="276" w:lineRule="auto"/>
        <w:jc w:val="left"/>
        <w:rPr>
          <w:rFonts w:hint="eastAsia" w:ascii="仿宋" w:hAnsi="仿宋" w:eastAsia="仿宋"/>
          <w:b/>
          <w:bCs/>
          <w:color w:val="auto"/>
          <w:sz w:val="24"/>
          <w:highlight w:val="none"/>
        </w:rPr>
      </w:pPr>
    </w:p>
    <w:p w14:paraId="05B7D4DC">
      <w:pPr>
        <w:spacing w:line="276" w:lineRule="auto"/>
        <w:jc w:val="left"/>
        <w:rPr>
          <w:rFonts w:hint="eastAsia" w:ascii="仿宋" w:hAnsi="仿宋" w:eastAsia="仿宋"/>
          <w:b/>
          <w:bCs/>
          <w:color w:val="auto"/>
          <w:sz w:val="24"/>
          <w:highlight w:val="none"/>
        </w:rPr>
      </w:pPr>
      <w:r>
        <w:rPr>
          <w:rFonts w:hint="eastAsia" w:ascii="仿宋" w:hAnsi="仿宋" w:eastAsia="仿宋"/>
          <w:b/>
          <w:bCs/>
          <w:color w:val="auto"/>
          <w:sz w:val="24"/>
          <w:highlight w:val="none"/>
        </w:rPr>
        <w:t>第八条 货物验收</w:t>
      </w:r>
    </w:p>
    <w:p w14:paraId="786D9E50">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1.交付时，乙方应向甲方提供两份到货验收清单，甲方应按照到货验收清单对所供货物的质量、规格和数量等进行检验，并签字确认，双方各执一份。</w:t>
      </w:r>
    </w:p>
    <w:p w14:paraId="205F4B37">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2.甲方在验收时发现货物存在数量短缺的，乙方应当及时补货；对货物的规格、外观等有异议，或对货物的性能进行测试后，发现货物存在质量、技术性能等方面的问题，可要求乙方免费换货或直接要求退货。</w:t>
      </w:r>
    </w:p>
    <w:p w14:paraId="02D5430B">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3.交货验收后，甲方在任何时间发现货物存在假冒伪劣、以次充好或者质量不符合国家标准、合同要求等情况的，均有权要求乙方更换货物或退货，并有权要求乙方赔偿所有的经济损失。</w:t>
      </w:r>
    </w:p>
    <w:p w14:paraId="7616A3BD">
      <w:pPr>
        <w:spacing w:line="276" w:lineRule="auto"/>
        <w:jc w:val="left"/>
        <w:rPr>
          <w:rFonts w:hint="eastAsia" w:ascii="仿宋" w:hAnsi="仿宋" w:eastAsia="仿宋"/>
          <w:color w:val="auto"/>
          <w:sz w:val="24"/>
          <w:highlight w:val="none"/>
          <w:lang w:val="en-US" w:eastAsia="zh-CN"/>
        </w:rPr>
      </w:pPr>
      <w:r>
        <w:rPr>
          <w:rFonts w:hint="eastAsia" w:ascii="仿宋" w:hAnsi="仿宋" w:eastAsia="仿宋"/>
          <w:color w:val="auto"/>
          <w:sz w:val="24"/>
          <w:highlight w:val="none"/>
          <w:lang w:val="en-US" w:eastAsia="zh-CN"/>
        </w:rPr>
        <w:t>4.原厂全套资料未完整归档，不予组织验收、暂缓支付全部合同款；第三方实施升级产生故障，由仪器原厂免费返修、重新校准兜底。</w:t>
      </w:r>
    </w:p>
    <w:p w14:paraId="4A79AA1A">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lang w:val="en-US" w:eastAsia="zh-CN"/>
        </w:rPr>
        <w:t>5</w:t>
      </w:r>
      <w:r>
        <w:rPr>
          <w:rFonts w:hint="eastAsia" w:ascii="仿宋" w:hAnsi="仿宋" w:eastAsia="仿宋"/>
          <w:color w:val="auto"/>
          <w:sz w:val="24"/>
          <w:highlight w:val="none"/>
        </w:rPr>
        <w:t>.货物验收依据：</w:t>
      </w:r>
    </w:p>
    <w:p w14:paraId="387F8EA0">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（1）招标文件；</w:t>
      </w:r>
    </w:p>
    <w:p w14:paraId="108F5F2D">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（2）投标文件；</w:t>
      </w:r>
    </w:p>
    <w:p w14:paraId="67430D06">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（3）采购合同及补充协议；</w:t>
      </w:r>
    </w:p>
    <w:p w14:paraId="12578A8E">
      <w:pPr>
        <w:spacing w:line="276" w:lineRule="auto"/>
        <w:jc w:val="left"/>
        <w:rPr>
          <w:rFonts w:hint="eastAsia" w:ascii="仿宋" w:hAnsi="仿宋" w:eastAsia="仿宋"/>
          <w:b/>
          <w:bCs/>
          <w:color w:val="auto"/>
          <w:sz w:val="24"/>
          <w:highlight w:val="none"/>
        </w:rPr>
      </w:pPr>
    </w:p>
    <w:p w14:paraId="436B283A">
      <w:pPr>
        <w:spacing w:line="276" w:lineRule="auto"/>
        <w:jc w:val="left"/>
        <w:rPr>
          <w:rFonts w:hint="eastAsia" w:ascii="仿宋" w:hAnsi="仿宋" w:eastAsia="仿宋"/>
          <w:b/>
          <w:bCs/>
          <w:color w:val="auto"/>
          <w:sz w:val="24"/>
          <w:highlight w:val="none"/>
        </w:rPr>
      </w:pPr>
      <w:r>
        <w:rPr>
          <w:rFonts w:hint="eastAsia" w:ascii="仿宋" w:hAnsi="仿宋" w:eastAsia="仿宋"/>
          <w:b/>
          <w:bCs/>
          <w:color w:val="auto"/>
          <w:sz w:val="24"/>
          <w:highlight w:val="none"/>
        </w:rPr>
        <w:t>第九条 售后服务</w:t>
      </w:r>
    </w:p>
    <w:p w14:paraId="00F30D38">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乙方应按照国家有关法律法规和“三包”规定以及招标文件要求和投标文件的“服务承诺”提供服务。</w:t>
      </w:r>
    </w:p>
    <w:p w14:paraId="074ED026">
      <w:pPr>
        <w:spacing w:line="276" w:lineRule="auto"/>
        <w:jc w:val="left"/>
        <w:rPr>
          <w:rFonts w:hint="eastAsia" w:ascii="仿宋" w:hAnsi="仿宋" w:eastAsia="仿宋"/>
          <w:color w:val="auto"/>
          <w:sz w:val="24"/>
          <w:highlight w:val="none"/>
        </w:rPr>
      </w:pPr>
    </w:p>
    <w:p w14:paraId="7593FB20">
      <w:pPr>
        <w:spacing w:line="276" w:lineRule="auto"/>
        <w:jc w:val="left"/>
        <w:rPr>
          <w:rFonts w:hint="eastAsia" w:ascii="仿宋" w:hAnsi="仿宋" w:eastAsia="仿宋"/>
          <w:b/>
          <w:bCs/>
          <w:color w:val="auto"/>
          <w:sz w:val="24"/>
          <w:highlight w:val="none"/>
        </w:rPr>
      </w:pPr>
      <w:r>
        <w:rPr>
          <w:rFonts w:hint="eastAsia" w:ascii="仿宋" w:hAnsi="仿宋" w:eastAsia="仿宋"/>
          <w:b/>
          <w:bCs/>
          <w:color w:val="auto"/>
          <w:sz w:val="24"/>
          <w:highlight w:val="none"/>
        </w:rPr>
        <w:t>第十条 违约责任</w:t>
      </w:r>
    </w:p>
    <w:p w14:paraId="4915DE3E">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1.乙方除因不可抗力外，违反本合同约定的义务，均视为乙方违约。</w:t>
      </w:r>
    </w:p>
    <w:p w14:paraId="66FBCA10">
      <w:pPr>
        <w:spacing w:line="276" w:lineRule="auto"/>
        <w:ind w:firstLine="240" w:firstLineChars="100"/>
        <w:jc w:val="left"/>
        <w:rPr>
          <w:rFonts w:hint="eastAsia" w:ascii="仿宋" w:hAnsi="仿宋" w:eastAsia="仿宋"/>
          <w:color w:val="auto"/>
          <w:sz w:val="24"/>
          <w:highlight w:val="none"/>
        </w:rPr>
      </w:pPr>
      <w:r>
        <w:rPr>
          <w:rFonts w:hint="eastAsia" w:ascii="仿宋" w:hAnsi="仿宋" w:eastAsia="仿宋"/>
          <w:color w:val="auto"/>
          <w:sz w:val="24"/>
          <w:highlight w:val="none"/>
        </w:rPr>
        <w:t>（1）乙方拖延交付时间，则自违约之日起每日应按照合同未交付部分付款额的0.1％向甲方支付违约金。</w:t>
      </w:r>
    </w:p>
    <w:p w14:paraId="6483A3F9">
      <w:pPr>
        <w:spacing w:line="276" w:lineRule="auto"/>
        <w:ind w:firstLine="240" w:firstLineChars="100"/>
        <w:jc w:val="left"/>
        <w:rPr>
          <w:rFonts w:hint="eastAsia" w:ascii="仿宋" w:hAnsi="仿宋" w:eastAsia="仿宋"/>
          <w:color w:val="auto"/>
          <w:sz w:val="24"/>
          <w:highlight w:val="none"/>
        </w:rPr>
      </w:pPr>
      <w:r>
        <w:rPr>
          <w:rFonts w:hint="eastAsia" w:ascii="仿宋" w:hAnsi="仿宋" w:eastAsia="仿宋"/>
          <w:color w:val="auto"/>
          <w:sz w:val="24"/>
          <w:highlight w:val="none"/>
        </w:rPr>
        <w:t>（2）若乙方未按售后服务承诺及时提供售后服务或提供服务质量不符合承诺要求的，每次违约，乙方应按照合同总金额的0.1％向甲方支付违约金。同时，甲方有权自行聘请第三方提供相应服务，所发生的费用由乙方承担或由甲方直接从质保金中扣除（如约定质保金时），不足部分，甲方有权向乙方追偿。</w:t>
      </w:r>
    </w:p>
    <w:p w14:paraId="29367155">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2.甲方除因不可抗力外，违反本合同约定的义务，均视为甲方违约，但乙方违约在先的除外。</w:t>
      </w:r>
    </w:p>
    <w:p w14:paraId="28A6969B">
      <w:pPr>
        <w:spacing w:line="276" w:lineRule="auto"/>
        <w:ind w:firstLine="240" w:firstLineChars="100"/>
        <w:jc w:val="left"/>
        <w:rPr>
          <w:rFonts w:hint="eastAsia" w:ascii="仿宋" w:hAnsi="仿宋" w:eastAsia="仿宋"/>
          <w:color w:val="auto"/>
          <w:sz w:val="24"/>
          <w:highlight w:val="none"/>
        </w:rPr>
      </w:pPr>
      <w:r>
        <w:rPr>
          <w:rFonts w:hint="eastAsia" w:ascii="仿宋" w:hAnsi="仿宋" w:eastAsia="仿宋"/>
          <w:color w:val="auto"/>
          <w:sz w:val="24"/>
          <w:highlight w:val="none"/>
        </w:rPr>
        <w:t>（1）甲方未按合同约定支付合同金额，则自违约之日起每日按照未支付合同金额的0.1％向乙方支付违约金。</w:t>
      </w:r>
    </w:p>
    <w:p w14:paraId="19EC9226">
      <w:pPr>
        <w:spacing w:line="276" w:lineRule="auto"/>
        <w:ind w:firstLine="240" w:firstLineChars="100"/>
        <w:jc w:val="left"/>
        <w:rPr>
          <w:rFonts w:hint="eastAsia" w:ascii="仿宋" w:hAnsi="仿宋" w:eastAsia="仿宋"/>
          <w:color w:val="auto"/>
          <w:sz w:val="24"/>
          <w:highlight w:val="none"/>
        </w:rPr>
      </w:pPr>
      <w:r>
        <w:rPr>
          <w:rFonts w:hint="eastAsia" w:ascii="仿宋" w:hAnsi="仿宋" w:eastAsia="仿宋"/>
          <w:color w:val="auto"/>
          <w:sz w:val="24"/>
          <w:highlight w:val="none"/>
        </w:rPr>
        <w:t>（2）双方同意，在不可抗力的影响下，受阻方可暂时停止执行本合同的受阻部分。当不可抗力事件持续的时间超过30日时，双方可就解除本合同及其未尽事宜进行协商处理。任何一方无须对不履行或延迟交货所引起的损失或损害负赔偿责任，但受影响一方应立即通知另一方，并提供有权部门的书面证明。因受影响一方未及时通知导致损失扩大的，损失扩大部分的违约责任由受影响的一方承担。</w:t>
      </w:r>
    </w:p>
    <w:p w14:paraId="23AF8D7B">
      <w:pPr>
        <w:spacing w:line="276" w:lineRule="auto"/>
        <w:ind w:firstLine="240" w:firstLineChars="100"/>
        <w:jc w:val="left"/>
        <w:rPr>
          <w:rFonts w:hint="eastAsia" w:ascii="仿宋" w:hAnsi="仿宋" w:eastAsia="仿宋"/>
          <w:color w:val="auto"/>
          <w:sz w:val="24"/>
          <w:highlight w:val="none"/>
        </w:rPr>
      </w:pPr>
      <w:r>
        <w:rPr>
          <w:rFonts w:hint="eastAsia" w:ascii="仿宋" w:hAnsi="仿宋" w:eastAsia="仿宋"/>
          <w:color w:val="auto"/>
          <w:sz w:val="24"/>
          <w:highlight w:val="none"/>
        </w:rPr>
        <w:t>（3）如发生违约事件，守约方要求违约方支付违约金时，以书面方式通知违约方，内容包括违约事件、违约金、支付时间和方式等;违约方在收到上述通知后，应于30个工作日内答复对方，并支付违约金。</w:t>
      </w:r>
    </w:p>
    <w:p w14:paraId="20D35AB6">
      <w:pPr>
        <w:spacing w:line="276" w:lineRule="auto"/>
        <w:jc w:val="left"/>
        <w:rPr>
          <w:rFonts w:hint="eastAsia" w:ascii="仿宋" w:hAnsi="仿宋" w:eastAsia="仿宋"/>
          <w:color w:val="auto"/>
          <w:sz w:val="24"/>
          <w:highlight w:val="none"/>
        </w:rPr>
      </w:pPr>
    </w:p>
    <w:p w14:paraId="674BC657">
      <w:pPr>
        <w:spacing w:line="276" w:lineRule="auto"/>
        <w:jc w:val="left"/>
        <w:rPr>
          <w:rFonts w:hint="eastAsia" w:ascii="仿宋" w:hAnsi="仿宋" w:eastAsia="仿宋"/>
          <w:b/>
          <w:bCs/>
          <w:color w:val="auto"/>
          <w:sz w:val="24"/>
          <w:highlight w:val="none"/>
        </w:rPr>
      </w:pPr>
      <w:r>
        <w:rPr>
          <w:rFonts w:hint="eastAsia" w:ascii="仿宋" w:hAnsi="仿宋" w:eastAsia="仿宋"/>
          <w:b/>
          <w:bCs/>
          <w:color w:val="auto"/>
          <w:sz w:val="24"/>
          <w:highlight w:val="none"/>
        </w:rPr>
        <w:t>第十一条 保密</w:t>
      </w:r>
    </w:p>
    <w:p w14:paraId="6104E9B8">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1.甲乙双方应对在本合同签订或履行过程中所接触的对方信息，包括但不限于知识产权、技术资料、技术诀窍、内部管理及其他相关信息，负有保密责任。</w:t>
      </w:r>
    </w:p>
    <w:p w14:paraId="14872A30">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2.乙方在使用甲方为乙方及其工作人员提供的数据、程序、用户名、口令、资料及甲方相关的业务和技术文档，包括政策、方案设计细节、程序文件、数据结构，以及相关业务系统的硬软件、文档、测试和测试产生的数据时，应遵循以下规定：</w:t>
      </w:r>
    </w:p>
    <w:p w14:paraId="206A2DF5">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（1）应以审慎态度避免泄露、公开或传播甲方的信息；</w:t>
      </w:r>
    </w:p>
    <w:p w14:paraId="2471E486">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（2）未经甲方书面许可，不得对有关信息进行修改、补充、复制；</w:t>
      </w:r>
    </w:p>
    <w:p w14:paraId="4058BE53">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（3）未经甲方许可，不得将信息以任何方式(如E－mail)携带出甲方场所；</w:t>
      </w:r>
    </w:p>
    <w:p w14:paraId="278A413B">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（4）未经甲方许可，不得将信息透露给任何其他人；</w:t>
      </w:r>
    </w:p>
    <w:p w14:paraId="7DF54E6B">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（5）甲方以书面形式提出的其他保密措施。</w:t>
      </w:r>
    </w:p>
    <w:p w14:paraId="46CE64D8">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3.保密期限不受合同有效期的限制，在合同及质保期结束后，信息接受方仍应承担保密义务，直至该等信息成为公开信息。</w:t>
      </w:r>
    </w:p>
    <w:p w14:paraId="76FF839D">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4.甲乙双方如出现泄密行为，泄密方应承担相关的法律责任，包括但是不限于对由此给对方造成的经济损失进行赔偿。</w:t>
      </w:r>
    </w:p>
    <w:p w14:paraId="4369135F">
      <w:pPr>
        <w:spacing w:line="276" w:lineRule="auto"/>
        <w:jc w:val="left"/>
        <w:rPr>
          <w:rFonts w:hint="eastAsia" w:ascii="仿宋" w:hAnsi="仿宋" w:eastAsia="仿宋"/>
          <w:b/>
          <w:bCs/>
          <w:color w:val="auto"/>
          <w:sz w:val="24"/>
          <w:highlight w:val="none"/>
        </w:rPr>
      </w:pPr>
    </w:p>
    <w:p w14:paraId="31190EBC">
      <w:pPr>
        <w:spacing w:line="276" w:lineRule="auto"/>
        <w:jc w:val="left"/>
        <w:rPr>
          <w:rFonts w:hint="eastAsia" w:ascii="仿宋" w:hAnsi="仿宋" w:eastAsia="仿宋"/>
          <w:b/>
          <w:bCs/>
          <w:color w:val="auto"/>
          <w:sz w:val="24"/>
          <w:highlight w:val="none"/>
        </w:rPr>
      </w:pPr>
      <w:r>
        <w:rPr>
          <w:rFonts w:hint="eastAsia" w:ascii="仿宋" w:hAnsi="仿宋" w:eastAsia="仿宋"/>
          <w:b/>
          <w:bCs/>
          <w:color w:val="auto"/>
          <w:sz w:val="24"/>
          <w:highlight w:val="none"/>
        </w:rPr>
        <w:t>第十二条 争议的解决</w:t>
      </w:r>
    </w:p>
    <w:p w14:paraId="2957195E">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1.因货物的质量问题发生争议，由质量技术监督部门或其指定的质量鉴定机构进行质量鉴定。货物符合标准的，鉴定费由甲方承担；货物不符合质量标准的，鉴定费由乙方承担。</w:t>
      </w:r>
    </w:p>
    <w:p w14:paraId="0D74E12D">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2.因履行本合同引起的或与本合同有关的争议，甲、乙双方应首先通过友好协商解决，如果协商不成，则采取以下第（1）种方式解决争议：</w:t>
      </w:r>
    </w:p>
    <w:p w14:paraId="57EF2D66">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（1）向甲方所在地有管辖权的人民法院提起诉讼；</w:t>
      </w:r>
    </w:p>
    <w:p w14:paraId="0DAD88C9">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（2）向____________仲裁委员会按其仲裁规则申请仲裁。</w:t>
      </w:r>
    </w:p>
    <w:p w14:paraId="55653B9E">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3.在仲裁期间，本合同应继续履行。</w:t>
      </w:r>
    </w:p>
    <w:p w14:paraId="27AD09DF">
      <w:pPr>
        <w:spacing w:line="276" w:lineRule="auto"/>
        <w:jc w:val="left"/>
        <w:rPr>
          <w:rFonts w:hint="eastAsia" w:ascii="仿宋" w:hAnsi="仿宋" w:eastAsia="仿宋"/>
          <w:b/>
          <w:bCs/>
          <w:color w:val="auto"/>
          <w:sz w:val="24"/>
          <w:highlight w:val="none"/>
        </w:rPr>
      </w:pPr>
    </w:p>
    <w:p w14:paraId="346071F3">
      <w:pPr>
        <w:spacing w:line="276" w:lineRule="auto"/>
        <w:jc w:val="left"/>
        <w:rPr>
          <w:rFonts w:hint="eastAsia" w:ascii="仿宋" w:hAnsi="仿宋" w:eastAsia="仿宋"/>
          <w:b/>
          <w:bCs/>
          <w:color w:val="auto"/>
          <w:sz w:val="24"/>
          <w:highlight w:val="none"/>
        </w:rPr>
      </w:pPr>
      <w:r>
        <w:rPr>
          <w:rFonts w:hint="eastAsia" w:ascii="仿宋" w:hAnsi="仿宋" w:eastAsia="仿宋"/>
          <w:b/>
          <w:bCs/>
          <w:color w:val="auto"/>
          <w:sz w:val="24"/>
          <w:highlight w:val="none"/>
        </w:rPr>
        <w:t>第十三条 合同文件</w:t>
      </w:r>
    </w:p>
    <w:p w14:paraId="73004B1F">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详细技术说明及其他有关合同项目的特定信息由合同附件予以说明，下列文件构成本合同的组成部分，应该认为是一个整体，彼此相互解释，相互补充。组成合同的多个文件的优先支配地位的次序如下：</w:t>
      </w:r>
    </w:p>
    <w:p w14:paraId="6D4EC7EA">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1.本合同书</w:t>
      </w:r>
    </w:p>
    <w:p w14:paraId="02584C54">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2.成交通知书</w:t>
      </w:r>
    </w:p>
    <w:p w14:paraId="1074F0C9">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3.协议</w:t>
      </w:r>
    </w:p>
    <w:p w14:paraId="71460052">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4.招标文件(含澄清或者修改文件)</w:t>
      </w:r>
    </w:p>
    <w:p w14:paraId="25874E90">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5.投标文件</w:t>
      </w:r>
    </w:p>
    <w:p w14:paraId="52DDBF0E">
      <w:pPr>
        <w:spacing w:line="276" w:lineRule="auto"/>
        <w:jc w:val="left"/>
        <w:rPr>
          <w:rFonts w:hint="eastAsia" w:ascii="仿宋" w:hAnsi="仿宋" w:eastAsia="仿宋"/>
          <w:b/>
          <w:bCs/>
          <w:color w:val="auto"/>
          <w:sz w:val="24"/>
          <w:highlight w:val="none"/>
        </w:rPr>
      </w:pPr>
    </w:p>
    <w:p w14:paraId="1FF766A3">
      <w:pPr>
        <w:spacing w:line="276" w:lineRule="auto"/>
        <w:jc w:val="left"/>
        <w:rPr>
          <w:rFonts w:hint="eastAsia" w:ascii="仿宋" w:hAnsi="仿宋" w:eastAsia="仿宋"/>
          <w:b/>
          <w:bCs/>
          <w:color w:val="auto"/>
          <w:sz w:val="24"/>
          <w:highlight w:val="none"/>
        </w:rPr>
      </w:pPr>
      <w:r>
        <w:rPr>
          <w:rFonts w:hint="eastAsia" w:ascii="仿宋" w:hAnsi="仿宋" w:eastAsia="仿宋"/>
          <w:b/>
          <w:bCs/>
          <w:color w:val="auto"/>
          <w:sz w:val="24"/>
          <w:highlight w:val="none"/>
        </w:rPr>
        <w:t>第十四条 合同生效及其他</w:t>
      </w:r>
    </w:p>
    <w:p w14:paraId="712939ED">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1.如有未尽事宜，由双方依法订立补充合同。</w:t>
      </w:r>
    </w:p>
    <w:p w14:paraId="55A03A93">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2.本合同自签订之日起生效。</w:t>
      </w:r>
    </w:p>
    <w:p w14:paraId="7EF3EE71">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3.本合同一式陆份，具有同等法律效力，甲乙双方各执贰份。</w:t>
      </w:r>
    </w:p>
    <w:p w14:paraId="6F0F6B78">
      <w:pPr>
        <w:spacing w:line="276" w:lineRule="auto"/>
        <w:jc w:val="left"/>
        <w:rPr>
          <w:rFonts w:hint="eastAsia" w:ascii="仿宋" w:hAnsi="仿宋" w:eastAsia="仿宋"/>
          <w:color w:val="auto"/>
          <w:sz w:val="24"/>
          <w:highlight w:val="none"/>
        </w:rPr>
      </w:pPr>
    </w:p>
    <w:p w14:paraId="3D9AD5B4">
      <w:pPr>
        <w:spacing w:line="276" w:lineRule="auto"/>
        <w:jc w:val="left"/>
        <w:rPr>
          <w:rFonts w:hint="eastAsia" w:ascii="仿宋" w:hAnsi="仿宋" w:eastAsia="仿宋"/>
          <w:color w:val="auto"/>
          <w:sz w:val="24"/>
          <w:highlight w:val="none"/>
        </w:rPr>
      </w:pPr>
    </w:p>
    <w:p w14:paraId="78051EA6">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甲方：   （盖章）                  乙方：   （盖章）</w:t>
      </w:r>
    </w:p>
    <w:p w14:paraId="7775B259">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法定代表人/委托代理人：            法定代表人/委托代理人：</w:t>
      </w:r>
    </w:p>
    <w:p w14:paraId="7947FDD5">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地    址：                         地    址：</w:t>
      </w:r>
    </w:p>
    <w:p w14:paraId="59E1DE2C">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开户银行：                         开户银行：</w:t>
      </w:r>
    </w:p>
    <w:p w14:paraId="49151952">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账    号：                         账    号：</w:t>
      </w:r>
    </w:p>
    <w:p w14:paraId="497948BD">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电    话：                         电    话：</w:t>
      </w:r>
    </w:p>
    <w:p w14:paraId="4CE84E5B">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传    真：                         传    真：</w:t>
      </w:r>
    </w:p>
    <w:p w14:paraId="0712CEC8">
      <w:pPr>
        <w:spacing w:line="276" w:lineRule="auto"/>
        <w:jc w:val="left"/>
        <w:rPr>
          <w:rFonts w:hint="eastAsia" w:ascii="仿宋" w:hAnsi="仿宋" w:eastAsia="仿宋"/>
          <w:color w:val="auto"/>
          <w:sz w:val="24"/>
          <w:highlight w:val="none"/>
        </w:rPr>
      </w:pPr>
      <w:r>
        <w:rPr>
          <w:rFonts w:hint="eastAsia" w:ascii="仿宋" w:hAnsi="仿宋" w:eastAsia="仿宋"/>
          <w:color w:val="auto"/>
          <w:sz w:val="24"/>
          <w:highlight w:val="none"/>
        </w:rPr>
        <w:t>签约日期：    年  月  日           签约日期：    年  月  日</w:t>
      </w:r>
    </w:p>
    <w:p w14:paraId="77937A56">
      <w:pPr>
        <w:spacing w:line="276" w:lineRule="auto"/>
        <w:jc w:val="left"/>
        <w:rPr>
          <w:rFonts w:hint="eastAsia" w:ascii="仿宋" w:hAnsi="仿宋" w:eastAsia="仿宋"/>
          <w:color w:val="auto"/>
          <w:sz w:val="24"/>
          <w:highlight w:val="none"/>
        </w:rPr>
      </w:pPr>
    </w:p>
    <w:p w14:paraId="6FC93179">
      <w:pPr>
        <w:jc w:val="left"/>
        <w:rPr>
          <w:rFonts w:hint="eastAsia" w:ascii="仿宋" w:hAnsi="仿宋" w:eastAsia="仿宋"/>
          <w:color w:val="auto"/>
          <w:sz w:val="28"/>
          <w:szCs w:val="36"/>
          <w:highlight w:val="none"/>
        </w:rPr>
      </w:pPr>
    </w:p>
    <w:p w14:paraId="147BCF18">
      <w:pPr>
        <w:pStyle w:val="9"/>
        <w:rPr>
          <w:rFonts w:ascii="仿宋" w:hAnsi="仿宋" w:eastAsia="仿宋" w:cs="仿宋"/>
          <w:color w:val="auto"/>
          <w:highlight w:val="none"/>
        </w:rPr>
      </w:pPr>
      <w:r>
        <w:rPr>
          <w:rFonts w:ascii="仿宋" w:hAnsi="仿宋" w:eastAsia="仿宋" w:cs="仿宋"/>
          <w:color w:val="auto"/>
          <w:highlight w:val="none"/>
        </w:rPr>
        <w:t xml:space="preserve"> </w:t>
      </w:r>
    </w:p>
    <w:p w14:paraId="40BC7DA1"/>
    <w:sectPr>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roma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43447B">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EEA0E1">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3EEA0E1">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7C863D">
    <w:pPr>
      <w:spacing w:line="360" w:lineRule="auto"/>
      <w:jc w:val="center"/>
      <w:rPr>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45185C"/>
    <w:multiLevelType w:val="multilevel"/>
    <w:tmpl w:val="1245185C"/>
    <w:lvl w:ilvl="0" w:tentative="0">
      <w:start w:val="1"/>
      <w:numFmt w:val="chineseCountingThousand"/>
      <w:suff w:val="space"/>
      <w:lvlText w:val="第%1章"/>
      <w:lvlJc w:val="left"/>
      <w:pPr>
        <w:ind w:left="0" w:firstLine="0"/>
      </w:pPr>
      <w:rPr>
        <w:rFonts w:hint="eastAsia" w:eastAsia="方正小标宋简体"/>
        <w:sz w:val="32"/>
      </w:rPr>
    </w:lvl>
    <w:lvl w:ilvl="1" w:tentative="0">
      <w:start w:val="1"/>
      <w:numFmt w:val="decimal"/>
      <w:isLgl/>
      <w:suff w:val="space"/>
      <w:lvlText w:val="%1.%2"/>
      <w:lvlJc w:val="left"/>
      <w:pPr>
        <w:ind w:left="0" w:firstLine="0"/>
      </w:pPr>
      <w:rPr>
        <w:rFonts w:hint="eastAsia"/>
      </w:rPr>
    </w:lvl>
    <w:lvl w:ilvl="2" w:tentative="0">
      <w:start w:val="1"/>
      <w:numFmt w:val="decimal"/>
      <w:pStyle w:val="4"/>
      <w:isLgl/>
      <w:suff w:val="space"/>
      <w:lvlText w:val="%1.%2.%3"/>
      <w:lvlJc w:val="left"/>
      <w:pPr>
        <w:ind w:left="0" w:firstLine="0"/>
      </w:pPr>
      <w:rPr>
        <w:rFonts w:hint="eastAsia"/>
      </w:rPr>
    </w:lvl>
    <w:lvl w:ilvl="3" w:tentative="0">
      <w:start w:val="1"/>
      <w:numFmt w:val="decimal"/>
      <w:isLgl/>
      <w:suff w:val="space"/>
      <w:lvlText w:val="%1.%2.%3.%4"/>
      <w:lvlJc w:val="left"/>
      <w:pPr>
        <w:ind w:left="0" w:firstLine="0"/>
      </w:pPr>
      <w:rPr>
        <w:rFonts w:hint="eastAsia"/>
      </w:rPr>
    </w:lvl>
    <w:lvl w:ilvl="4" w:tentative="0">
      <w:start w:val="1"/>
      <w:numFmt w:val="decimal"/>
      <w:isLgl/>
      <w:suff w:val="space"/>
      <w:lvlText w:val="%1.%2.%3.%4.%5"/>
      <w:lvlJc w:val="left"/>
      <w:pPr>
        <w:ind w:left="0" w:firstLine="0"/>
      </w:pPr>
      <w:rPr>
        <w:rFonts w:hint="eastAsia"/>
      </w:rPr>
    </w:lvl>
    <w:lvl w:ilvl="5" w:tentative="0">
      <w:start w:val="1"/>
      <w:numFmt w:val="decimal"/>
      <w:isLgl/>
      <w:suff w:val="space"/>
      <w:lvlText w:val="%1.%2.%3.%4.%5.%6"/>
      <w:lvlJc w:val="left"/>
      <w:pPr>
        <w:ind w:left="0" w:firstLine="0"/>
      </w:pPr>
      <w:rPr>
        <w:rFonts w:hint="eastAsia"/>
      </w:rPr>
    </w:lvl>
    <w:lvl w:ilvl="6" w:tentative="0">
      <w:start w:val="1"/>
      <w:numFmt w:val="decimal"/>
      <w:lvlText w:val="%1.%2.%3.%4.%5.%6.%7"/>
      <w:lvlJc w:val="left"/>
      <w:pPr>
        <w:tabs>
          <w:tab w:val="left" w:pos="4024"/>
        </w:tabs>
        <w:ind w:left="4024" w:hanging="1276"/>
      </w:pPr>
      <w:rPr>
        <w:rFonts w:hint="eastAsia"/>
      </w:rPr>
    </w:lvl>
    <w:lvl w:ilvl="7" w:tentative="0">
      <w:start w:val="1"/>
      <w:numFmt w:val="decimal"/>
      <w:lvlText w:val="%1.%2.%3.%4.%5.%6.%7.%8"/>
      <w:lvlJc w:val="left"/>
      <w:pPr>
        <w:tabs>
          <w:tab w:val="left" w:pos="4591"/>
        </w:tabs>
        <w:ind w:left="4591" w:hanging="1418"/>
      </w:pPr>
      <w:rPr>
        <w:rFonts w:hint="eastAsia"/>
      </w:rPr>
    </w:lvl>
    <w:lvl w:ilvl="8" w:tentative="0">
      <w:start w:val="1"/>
      <w:numFmt w:val="decimal"/>
      <w:lvlText w:val="%1.%2.%3.%4.%5.%6.%7.%8.%9"/>
      <w:lvlJc w:val="left"/>
      <w:pPr>
        <w:tabs>
          <w:tab w:val="left" w:pos="5299"/>
        </w:tabs>
        <w:ind w:left="5299"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BC05DA"/>
    <w:rsid w:val="34454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eastAsia="宋体" w:cs="宋体"/>
      <w:b/>
      <w:kern w:val="44"/>
      <w:sz w:val="48"/>
      <w:szCs w:val="48"/>
      <w:lang w:val="en-US" w:eastAsia="zh-CN" w:bidi="ar"/>
    </w:rPr>
  </w:style>
  <w:style w:type="paragraph" w:styleId="3">
    <w:name w:val="heading 2"/>
    <w:basedOn w:val="1"/>
    <w:next w:val="1"/>
    <w:qFormat/>
    <w:uiPriority w:val="0"/>
    <w:pPr>
      <w:keepNext/>
      <w:keepLines/>
      <w:spacing w:before="120" w:beforeLines="0" w:after="120" w:afterLines="0" w:line="360" w:lineRule="auto"/>
      <w:jc w:val="center"/>
      <w:outlineLvl w:val="1"/>
    </w:pPr>
    <w:rPr>
      <w:rFonts w:ascii="Arial" w:hAnsi="Arial"/>
      <w:b/>
      <w:bCs/>
      <w:kern w:val="0"/>
      <w:sz w:val="28"/>
      <w:szCs w:val="32"/>
    </w:rPr>
  </w:style>
  <w:style w:type="paragraph" w:styleId="4">
    <w:name w:val="heading 3"/>
    <w:basedOn w:val="1"/>
    <w:next w:val="1"/>
    <w:unhideWhenUsed/>
    <w:qFormat/>
    <w:uiPriority w:val="9"/>
    <w:pPr>
      <w:keepNext/>
      <w:keepLines/>
      <w:numPr>
        <w:ilvl w:val="2"/>
        <w:numId w:val="1"/>
      </w:numPr>
      <w:spacing w:before="120" w:after="120"/>
      <w:ind w:firstLineChars="0"/>
      <w:outlineLvl w:val="2"/>
    </w:pPr>
    <w:rPr>
      <w:b/>
      <w:bCs/>
      <w:sz w:val="32"/>
      <w:szCs w:val="32"/>
    </w:rPr>
  </w:style>
  <w:style w:type="character" w:default="1" w:styleId="8">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4165</Words>
  <Characters>4506</Characters>
  <Lines>0</Lines>
  <Paragraphs>0</Paragraphs>
  <TotalTime>0</TotalTime>
  <ScaleCrop>false</ScaleCrop>
  <LinksUpToDate>false</LinksUpToDate>
  <CharactersWithSpaces>4741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2026-06-12T02:02:00Z</dcterms:created>
  <dc:creator>wxzbx</dc:creator>
  <cp:lastModifiedBy>WPS_1564808538</cp:lastModifiedBy>
  <dcterms:modified xsi:type="dcterms:W3CDTF">2026-07-20T08:34:33Z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eyJoZGlkIjoiOWRkYWJjMGI3NGU0YmE5NTE3ZDEwOTc3YWU0ODhlZjkiLCJ1c2VySWQiOiI2MjY1MTc1NzQifQ==</vt:lpwstr>
  </property>
  <property fmtid="{D5CDD505-2E9C-101B-9397-08002B2CF9AE}" pid="4" name="ICV">
    <vt:lpwstr>D8CAB990704D4563AD376D57184623E4_12</vt:lpwstr>
  </property>
</Properties>
</file>